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sz w:val="26"/>
        </w:rPr>
        <w:t>PANORAMA HEALTH SYSTEMS, INC.</w:t>
      </w:r>
    </w:p>
    <w:p>
      <w:pPr>
        <w:spacing w:after="120"/>
        <w:jc w:val="center"/>
      </w:pPr>
      <w:r>
        <w:rPr>
          <w:b w:val="0"/>
          <w:i/>
        </w:rPr>
        <w:t>Office of the General Counsel</w:t>
      </w:r>
    </w:p>
    <w:p>
      <w:pPr>
        <w:spacing w:after="160"/>
        <w:jc w:val="center"/>
      </w:pPr>
      <w:r>
        <w:rPr>
          <w:b/>
          <w:i w:val="0"/>
          <w:sz w:val="28"/>
        </w:rPr>
        <w:t>ISSUE MEMORANDUM AND TIER 1 RISK ASSESSMENT</w:t>
      </w:r>
    </w:p>
    <w:tbl>
      <w:tblPr>
        <w:tblStyle w:val="TableGrid"/>
        <w:tblW w:type="auto" w:w="0"/>
        <w:jc w:val="center"/>
        <w:tblLook w:firstColumn="1" w:firstRow="1" w:lastColumn="0" w:lastRow="0" w:noHBand="0" w:noVBand="1" w:val="04A0"/>
      </w:tblPr>
      <w:tblGrid>
        <w:gridCol w:w="4824"/>
        <w:gridCol w:w="4824"/>
      </w:tblGrid>
      <w:tr>
        <w:tc>
          <w:tcPr>
            <w:tcW w:type="dxa" w:w="1296"/>
            <w:shd w:val="clear" w:color="auto" w:fill="FFFFFF"/>
          </w:tcPr>
          <w:p>
            <w:r/>
            <w:r>
              <w:rPr>
                <w:b/>
                <w:color w:val="FFFFFF"/>
                <w:sz w:val="19"/>
              </w:rPr>
            </w:r>
          </w:p>
        </w:tc>
        <w:tc>
          <w:tcPr>
            <w:tcW w:type="dxa" w:w="8352"/>
            <w:shd w:val="clear" w:color="auto" w:fill="FFFFFF"/>
          </w:tcPr>
          <w:p>
            <w:r/>
            <w:r>
              <w:rPr>
                <w:b/>
                <w:color w:val="FFFFFF"/>
                <w:sz w:val="19"/>
              </w:rPr>
            </w:r>
          </w:p>
        </w:tc>
      </w:tr>
      <w:tr>
        <w:tc>
          <w:tcPr>
            <w:tcW w:type="dxa" w:w="1296"/>
          </w:tcPr>
          <w:p>
            <w:r/>
            <w:r>
              <w:rPr>
                <w:b/>
                <w:sz w:val="19"/>
              </w:rPr>
              <w:t>TO:</w:t>
            </w:r>
          </w:p>
        </w:tc>
        <w:tc>
          <w:tcPr>
            <w:tcW w:type="dxa" w:w="8352"/>
          </w:tcPr>
          <w:p>
            <w:r/>
            <w:r>
              <w:rPr>
                <w:sz w:val="19"/>
              </w:rPr>
              <w:t>Margaret Tsai, General Counsel</w:t>
            </w:r>
          </w:p>
        </w:tc>
      </w:tr>
      <w:tr>
        <w:tc>
          <w:tcPr>
            <w:tcW w:type="dxa" w:w="1296"/>
          </w:tcPr>
          <w:p>
            <w:r/>
            <w:r>
              <w:rPr>
                <w:b/>
                <w:sz w:val="19"/>
              </w:rPr>
              <w:t>FROM:</w:t>
            </w:r>
          </w:p>
        </w:tc>
        <w:tc>
          <w:tcPr>
            <w:tcW w:type="dxa" w:w="8352"/>
          </w:tcPr>
          <w:p>
            <w:r/>
            <w:r>
              <w:rPr>
                <w:sz w:val="19"/>
              </w:rPr>
              <w:t>Priya Narayanan, Senior Counsel (draft prepared for review)</w:t>
            </w:r>
          </w:p>
        </w:tc>
      </w:tr>
      <w:tr>
        <w:tc>
          <w:tcPr>
            <w:tcW w:type="dxa" w:w="1296"/>
          </w:tcPr>
          <w:p>
            <w:r/>
            <w:r>
              <w:rPr>
                <w:b/>
                <w:sz w:val="19"/>
              </w:rPr>
              <w:t>CC:</w:t>
            </w:r>
          </w:p>
        </w:tc>
        <w:tc>
          <w:tcPr>
            <w:tcW w:type="dxa" w:w="8352"/>
          </w:tcPr>
          <w:p>
            <w:r/>
            <w:r>
              <w:rPr>
                <w:sz w:val="19"/>
              </w:rPr>
              <w:t>Derek Rollins, VP of Information Technology (business sponsor) — business sections only; see Section 1.4 on distribution</w:t>
            </w:r>
          </w:p>
        </w:tc>
      </w:tr>
      <w:tr>
        <w:tc>
          <w:tcPr>
            <w:tcW w:type="dxa" w:w="1296"/>
          </w:tcPr>
          <w:p>
            <w:r/>
            <w:r>
              <w:rPr>
                <w:b/>
                <w:sz w:val="19"/>
              </w:rPr>
              <w:t>DATE:</w:t>
            </w:r>
          </w:p>
        </w:tc>
        <w:tc>
          <w:tcPr>
            <w:tcW w:type="dxa" w:w="8352"/>
          </w:tcPr>
          <w:p>
            <w:r/>
            <w:r>
              <w:rPr>
                <w:sz w:val="19"/>
              </w:rPr>
              <w:t>October 10, 2024</w:t>
            </w:r>
          </w:p>
        </w:tc>
      </w:tr>
      <w:tr>
        <w:tc>
          <w:tcPr>
            <w:tcW w:type="dxa" w:w="1296"/>
          </w:tcPr>
          <w:p>
            <w:r/>
            <w:r>
              <w:rPr>
                <w:b/>
                <w:sz w:val="19"/>
              </w:rPr>
              <w:t>RE:</w:t>
            </w:r>
          </w:p>
        </w:tc>
        <w:tc>
          <w:tcPr>
            <w:tcW w:type="dxa" w:w="8352"/>
          </w:tcPr>
          <w:p>
            <w:r/>
            <w:r>
              <w:rPr>
                <w:sz w:val="19"/>
              </w:rPr>
              <w:t>Vaultline Software, Inc. — Proposed Master Software-as-a-Service Agreement for Vaultline Prism (vendor draft dated October 7, 2024, prepared by Garner Whitlock LLP) — Playbook Gap Analysis, Prioritized Deviations, and Recommended Redline Positions</w:t>
            </w:r>
          </w:p>
        </w:tc>
      </w:tr>
      <w:tr>
        <w:tc>
          <w:tcPr>
            <w:tcW w:type="dxa" w:w="1296"/>
          </w:tcPr>
          <w:p>
            <w:r/>
            <w:r>
              <w:rPr>
                <w:b/>
                <w:sz w:val="19"/>
              </w:rPr>
              <w:t>TIER:</w:t>
            </w:r>
          </w:p>
        </w:tc>
        <w:tc>
          <w:tcPr>
            <w:tcW w:type="dxa" w:w="8352"/>
          </w:tcPr>
          <w:p>
            <w:r/>
            <w:r>
              <w:rPr>
                <w:sz w:val="19"/>
              </w:rPr>
              <w:t>Tier 1 — Critical (annual subscription $1,140,000 &gt; $1,000,000 AND vendor will process PHI). All deviations from Required positions require General Counsel approval before execution.</w:t>
            </w:r>
          </w:p>
        </w:tc>
      </w:tr>
    </w:tbl>
    <w:p>
      <w:pPr>
        <w:spacing w:after="40"/>
      </w:pPr>
    </w:p>
    <w:p>
      <w:pPr>
        <w:pStyle w:val="Heading1"/>
      </w:pPr>
      <w:r>
        <w:t>1. Executive Summary</w:t>
      </w:r>
    </w:p>
    <w:p>
      <w:pPr>
        <w:spacing w:after="120"/>
      </w:pPr>
      <w:r>
        <w:rPr>
          <w:b w:val="0"/>
          <w:i w:val="0"/>
        </w:rPr>
        <w:t>Bottom line: the Vaultline draft is a vendor-favorable form that is not executable in its current form. Measured against the Panorama SaaS Contracting Playbook (v3.2, last updated March 15, 2024), it deviates from Required positions in every major risk area the Playbook covers, and it fails all six substantive Ridgecrest Capital Partners vendor-management requirements that apply to a PHI vendor: SOC 2 Type II, the $10M cyber insurance minimum, data return, certified data destruction, consent to assignment/change of control, and a BAA executed before any PHI flows. Several of the gaps go to HIPAA compliance itself, not just commercial risk.</w:t>
      </w:r>
    </w:p>
    <w:p>
      <w:pPr>
        <w:spacing w:after="40"/>
      </w:pPr>
      <w:r>
        <w:rPr>
          <w:b/>
          <w:i w:val="0"/>
        </w:rPr>
        <w:t>Must be resolved before execution (Category A, Priority 1). These are walk-away items:</w:t>
      </w:r>
    </w:p>
    <w:p>
      <w:pPr>
        <w:pStyle w:val="ListBullet"/>
        <w:spacing w:after="40"/>
      </w:pPr>
      <w:r>
        <w:t>No BAA. The draft only commits to negotiate one “within 90 days,” while PHI will flow from MedBridge EHR during implementation starting in November 2024 (Issue 1).</w:t>
      </w:r>
    </w:p>
    <w:p>
      <w:pPr>
        <w:pStyle w:val="ListBullet"/>
        <w:spacing w:after="40"/>
      </w:pPr>
      <w:r>
        <w:t>Vaultline would own, and could sell to third parties, “Aggregated De-Identified Data” de-identified to a non-HIPAA standard, through an assignment from Panorama (Issue 2).</w:t>
      </w:r>
    </w:p>
    <w:p>
      <w:pPr>
        <w:pStyle w:val="ListBullet"/>
        <w:spacing w:after="40"/>
      </w:pPr>
      <w:r>
        <w:t>There is no SOC 2 Type II obligation and no audit right, and the only security commitment is “commercially reasonable” safeguards (Issue 3). Breach notice is due 72 hours after Vaultline “confirms” an incident, and Vaultline bears no costs (Issue 4).</w:t>
      </w:r>
    </w:p>
    <w:p>
      <w:pPr>
        <w:pStyle w:val="ListBullet"/>
        <w:spacing w:after="40"/>
      </w:pPr>
      <w:r>
        <w:t>Liability is capped at six months’ fees “actually paid.” Because fees are paid annually in advance, the cap is about $0 for roughly half of each contract year, and there are no carve-outs. The consequential-damages waiver is unqualified and expressly covers loss of data (Issue 5).</w:t>
      </w:r>
    </w:p>
    <w:p>
      <w:pPr>
        <w:pStyle w:val="ListBullet"/>
        <w:spacing w:after="40"/>
      </w:pPr>
      <w:r>
        <w:t>The IP indemnity excludes combinations with products Vaultline did not provide. That carve-out captures the MedBridge EHR integration, which is the core use case, and makes the indemnity illusory (Issue 6).</w:t>
      </w:r>
    </w:p>
    <w:p>
      <w:pPr>
        <w:pStyle w:val="ListBullet"/>
        <w:spacing w:after="40"/>
      </w:pPr>
      <w:r>
        <w:t>Cyber insurance is $5M against the $10M requirement, and there is no Tech E&amp;O (Issue 7). On exit, Panorama only gets a self-service download, after which Vaultline “may delete” the data, and there is no destruction certification (Issue 8).</w:t>
      </w:r>
    </w:p>
    <w:p>
      <w:pPr>
        <w:pStyle w:val="ListBullet"/>
        <w:spacing w:after="40"/>
      </w:pPr>
      <w:r>
        <w:t>Vaultline may assign the agreement without consent in a merger or acquisition (Issue 9). There is no source code escrow even though Vaultline’s reported ARR is about $72M, below the $100M threshold (Issue 10). Vaultline alone may terminate for convenience on 180 days’ notice (Issue 11).</w:t>
      </w:r>
    </w:p>
    <w:p>
      <w:pPr>
        <w:spacing w:after="80"/>
      </w:pPr>
      <w:r>
        <w:rPr>
          <w:b w:val="0"/>
          <w:i w:val="0"/>
        </w:rPr>
        <w:t>High-priority Required deviations (Category A, Priority 2): the SLA (99.5% “commercially reasonable efforts,” 8 hours/week of excluded maintenance, a 10% credit cap, credits on claim only, sole remedy); 5-business-day deemed acceptance; Net 15 terms with $1,425,000 prepaid before go-live; escalation at the greater of 5% or CPI-U from Year 2; a 60-day cure period with no PHI-breach termination right; force majeure that covers hosting failures and runs 180 days; Texas law and venue; a 120-day non-renewal notice; a 3-year post-term confidentiality tail; and a narrow Customer Data definition.</w:t>
      </w:r>
    </w:p>
    <w:p>
      <w:pPr>
        <w:spacing w:after="120"/>
      </w:pPr>
      <w:r>
        <w:rPr>
          <w:b w:val="0"/>
          <w:i w:val="0"/>
        </w:rPr>
        <w:t>Recommendation: send Vaultline a full Panorama redline on these terms before the October 14 call. Make Panorama’s form BAA (Exhibit C), an escrow agreement (Exhibit D) and an Acceptance Test Plan (Exhibit E) part of the signing package. Tell Vaultline now that no PHI will be transmitted, and no implementation data migration will begin, until the BAA is signed. If necessary, move the November 1, 2024 Effective Date rather than accept a deferred BAA. Of the Required deviations, governing law and venue is the most realistic candidate for a GC-approved trade, and only for meaningful commercial concessions.</w:t>
      </w:r>
    </w:p>
    <w:p>
      <w:pPr>
        <w:pStyle w:val="Heading2"/>
      </w:pPr>
      <w:r>
        <w:t>1.1 Key deal facts and economics</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3A5F"/>
          </w:tcPr>
          <w:p>
            <w:r/>
            <w:r>
              <w:rPr>
                <w:b/>
                <w:color w:val="FFFFFF"/>
                <w:sz w:val="17"/>
              </w:rPr>
              <w:t>Item</w:t>
            </w:r>
          </w:p>
        </w:tc>
        <w:tc>
          <w:tcPr>
            <w:tcW w:type="dxa" w:w="5616"/>
            <w:shd w:val="clear" w:color="auto" w:fill="1F3A5F"/>
          </w:tcPr>
          <w:p>
            <w:r/>
            <w:r>
              <w:rPr>
                <w:b/>
                <w:color w:val="FFFFFF"/>
                <w:sz w:val="17"/>
              </w:rPr>
              <w:t>Detail</w:t>
            </w:r>
          </w:p>
        </w:tc>
        <w:tc>
          <w:tcPr>
            <w:tcW w:type="dxa" w:w="2016"/>
            <w:shd w:val="clear" w:color="auto" w:fill="1F3A5F"/>
          </w:tcPr>
          <w:p>
            <w:r/>
            <w:r>
              <w:rPr>
                <w:b/>
                <w:color w:val="FFFFFF"/>
                <w:sz w:val="17"/>
              </w:rPr>
              <w:t>Source</w:t>
            </w:r>
          </w:p>
        </w:tc>
      </w:tr>
      <w:tr>
        <w:tc>
          <w:tcPr>
            <w:tcW w:type="dxa" w:w="2016"/>
          </w:tcPr>
          <w:p>
            <w:r/>
            <w:r>
              <w:rPr>
                <w:sz w:val="17"/>
              </w:rPr>
              <w:t>Vendor / Platform</w:t>
            </w:r>
          </w:p>
        </w:tc>
        <w:tc>
          <w:tcPr>
            <w:tcW w:type="dxa" w:w="5616"/>
          </w:tcPr>
          <w:p>
            <w:r/>
            <w:r>
              <w:rPr>
                <w:sz w:val="17"/>
              </w:rPr>
              <w:t>Vaultline Software, Inc. (Delaware; Austin, TX) — Vaultline Prism clinical analytics; hosted on AWS us-east-1 and us-west-2</w:t>
            </w:r>
          </w:p>
        </w:tc>
        <w:tc>
          <w:tcPr>
            <w:tcW w:type="dxa" w:w="2016"/>
          </w:tcPr>
          <w:p>
            <w:r/>
            <w:r>
              <w:rPr>
                <w:sz w:val="17"/>
              </w:rPr>
              <w:t>MSA preamble, §§ 1.18, 7.1</w:t>
            </w:r>
          </w:p>
        </w:tc>
      </w:tr>
      <w:tr>
        <w:tc>
          <w:tcPr>
            <w:tcW w:type="dxa" w:w="2016"/>
          </w:tcPr>
          <w:p>
            <w:r/>
            <w:r>
              <w:rPr>
                <w:sz w:val="17"/>
              </w:rPr>
              <w:t>Use case</w:t>
            </w:r>
          </w:p>
        </w:tc>
        <w:tc>
          <w:tcPr>
            <w:tcW w:type="dxa" w:w="5616"/>
          </w:tcPr>
          <w:p>
            <w:r/>
            <w:r>
              <w:rPr>
                <w:sz w:val="17"/>
              </w:rPr>
              <w:t>Predictive patient outcome dashboards, population health analytics, regulatory reporting across 14 clinics; MedBridge EHR integration is “the critical requirement”</w:t>
            </w:r>
          </w:p>
        </w:tc>
        <w:tc>
          <w:tcPr>
            <w:tcW w:type="dxa" w:w="2016"/>
          </w:tcPr>
          <w:p>
            <w:r/>
            <w:r>
              <w:rPr>
                <w:sz w:val="17"/>
              </w:rPr>
              <w:t>Rollins email (Oct. 7); MSA § 4.1(b)</w:t>
            </w:r>
          </w:p>
        </w:tc>
      </w:tr>
      <w:tr>
        <w:tc>
          <w:tcPr>
            <w:tcW w:type="dxa" w:w="2016"/>
          </w:tcPr>
          <w:p>
            <w:r/>
            <w:r>
              <w:rPr>
                <w:sz w:val="17"/>
              </w:rPr>
              <w:t>Users / fees</w:t>
            </w:r>
          </w:p>
        </w:tc>
        <w:tc>
          <w:tcPr>
            <w:tcW w:type="dxa" w:w="5616"/>
          </w:tcPr>
          <w:p>
            <w:r/>
            <w:r>
              <w:rPr>
                <w:sz w:val="17"/>
              </w:rPr>
              <w:t>400 named users x $2,850 = $1,140,000/yr (monthly equivalent $95,000); Implementation Fee $285,000</w:t>
            </w:r>
          </w:p>
        </w:tc>
        <w:tc>
          <w:tcPr>
            <w:tcW w:type="dxa" w:w="2016"/>
          </w:tcPr>
          <w:p>
            <w:r/>
            <w:r>
              <w:rPr>
                <w:sz w:val="17"/>
              </w:rPr>
              <w:t>Exhibit A</w:t>
            </w:r>
          </w:p>
        </w:tc>
      </w:tr>
      <w:tr>
        <w:tc>
          <w:tcPr>
            <w:tcW w:type="dxa" w:w="2016"/>
          </w:tcPr>
          <w:p>
            <w:r/>
            <w:r>
              <w:rPr>
                <w:sz w:val="17"/>
              </w:rPr>
              <w:t>Term</w:t>
            </w:r>
          </w:p>
        </w:tc>
        <w:tc>
          <w:tcPr>
            <w:tcW w:type="dxa" w:w="5616"/>
          </w:tcPr>
          <w:p>
            <w:r/>
            <w:r>
              <w:rPr>
                <w:sz w:val="17"/>
              </w:rPr>
              <w:t>Nov. 1, 2024 – Oct. 31, 2027; 1-year auto-renewals; 120-day non-renewal notice (deadline July 3, 2027)</w:t>
            </w:r>
          </w:p>
        </w:tc>
        <w:tc>
          <w:tcPr>
            <w:tcW w:type="dxa" w:w="2016"/>
          </w:tcPr>
          <w:p>
            <w:r/>
            <w:r>
              <w:rPr>
                <w:sz w:val="17"/>
              </w:rPr>
              <w:t>MSA §§ 1.11, 11.1–11.2</w:t>
            </w:r>
          </w:p>
        </w:tc>
      </w:tr>
      <w:tr>
        <w:tc>
          <w:tcPr>
            <w:tcW w:type="dxa" w:w="2016"/>
          </w:tcPr>
          <w:p>
            <w:r/>
            <w:r>
              <w:rPr>
                <w:sz w:val="17"/>
              </w:rPr>
              <w:t>Contract value</w:t>
            </w:r>
          </w:p>
        </w:tc>
        <w:tc>
          <w:tcPr>
            <w:tcW w:type="dxa" w:w="5616"/>
          </w:tcPr>
          <w:p>
            <w:r/>
            <w:r>
              <w:rPr>
                <w:sz w:val="17"/>
              </w:rPr>
              <w:t>$3,705,000 quoted (flat). At the draft’s 5% minimum escalation: $3,878,850 (+$173,850)</w:t>
            </w:r>
          </w:p>
        </w:tc>
        <w:tc>
          <w:tcPr>
            <w:tcW w:type="dxa" w:w="2016"/>
          </w:tcPr>
          <w:p>
            <w:r/>
            <w:r>
              <w:rPr>
                <w:sz w:val="17"/>
              </w:rPr>
              <w:t>Exhibit A; § 3.3 (computed)</w:t>
            </w:r>
          </w:p>
        </w:tc>
      </w:tr>
      <w:tr>
        <w:tc>
          <w:tcPr>
            <w:tcW w:type="dxa" w:w="2016"/>
          </w:tcPr>
          <w:p>
            <w:r/>
            <w:r>
              <w:rPr>
                <w:sz w:val="17"/>
              </w:rPr>
              <w:t>Cash at risk at signing</w:t>
            </w:r>
          </w:p>
        </w:tc>
        <w:tc>
          <w:tcPr>
            <w:tcW w:type="dxa" w:w="5616"/>
          </w:tcPr>
          <w:p>
            <w:r/>
            <w:r>
              <w:rPr>
                <w:sz w:val="17"/>
              </w:rPr>
              <w:t>$1,425,000 due ~Nov. 16, 2024 (Net 15), ~2.5 months before targeted go-live (Jan. 31, 2025)</w:t>
            </w:r>
          </w:p>
        </w:tc>
        <w:tc>
          <w:tcPr>
            <w:tcW w:type="dxa" w:w="2016"/>
          </w:tcPr>
          <w:p>
            <w:r/>
            <w:r>
              <w:rPr>
                <w:sz w:val="17"/>
              </w:rPr>
              <w:t>MSA § 3.2; Exhibit A</w:t>
            </w:r>
          </w:p>
        </w:tc>
      </w:tr>
      <w:tr>
        <w:tc>
          <w:tcPr>
            <w:tcW w:type="dxa" w:w="2016"/>
          </w:tcPr>
          <w:p>
            <w:r/>
            <w:r>
              <w:rPr>
                <w:sz w:val="17"/>
              </w:rPr>
              <w:t>PHI volume</w:t>
            </w:r>
          </w:p>
        </w:tc>
        <w:tc>
          <w:tcPr>
            <w:tcW w:type="dxa" w:w="5616"/>
          </w:tcPr>
          <w:p>
            <w:r/>
            <w:r>
              <w:rPr>
                <w:sz w:val="17"/>
              </w:rPr>
              <w:t>~2.3 million patient encounters per year; Azure (Panorama) to AWS (Vaultline) cross-cloud flows</w:t>
            </w:r>
          </w:p>
        </w:tc>
        <w:tc>
          <w:tcPr>
            <w:tcW w:type="dxa" w:w="2016"/>
          </w:tcPr>
          <w:p>
            <w:r/>
            <w:r>
              <w:rPr>
                <w:sz w:val="17"/>
              </w:rPr>
              <w:t>Rollins email</w:t>
            </w:r>
          </w:p>
        </w:tc>
      </w:tr>
      <w:tr>
        <w:tc>
          <w:tcPr>
            <w:tcW w:type="dxa" w:w="2016"/>
          </w:tcPr>
          <w:p>
            <w:r/>
            <w:r>
              <w:rPr>
                <w:sz w:val="17"/>
              </w:rPr>
              <w:t>Vendor profile</w:t>
            </w:r>
          </w:p>
        </w:tc>
        <w:tc>
          <w:tcPr>
            <w:tcW w:type="dxa" w:w="5616"/>
          </w:tcPr>
          <w:p>
            <w:r/>
            <w:r>
              <w:rPr>
                <w:sz w:val="17"/>
              </w:rPr>
              <w:t>~$72M ARR, ~320 employees; reported as a likely acquisition target (HealthTech Weekly) — trade press, to be confirmed</w:t>
            </w:r>
          </w:p>
        </w:tc>
        <w:tc>
          <w:tcPr>
            <w:tcW w:type="dxa" w:w="2016"/>
          </w:tcPr>
          <w:p>
            <w:r/>
            <w:r>
              <w:rPr>
                <w:sz w:val="17"/>
              </w:rPr>
              <w:t>Rollins email; Playbook §§ 11, 13</w:t>
            </w:r>
          </w:p>
        </w:tc>
      </w:tr>
      <w:tr>
        <w:tc>
          <w:tcPr>
            <w:tcW w:type="dxa" w:w="2016"/>
          </w:tcPr>
          <w:p>
            <w:r/>
            <w:r>
              <w:rPr>
                <w:sz w:val="17"/>
              </w:rPr>
              <w:t>Liability cap (draft vs. Playbook)</w:t>
            </w:r>
          </w:p>
        </w:tc>
        <w:tc>
          <w:tcPr>
            <w:tcW w:type="dxa" w:w="5616"/>
          </w:tcPr>
          <w:p>
            <w:r/>
            <w:r>
              <w:rPr>
                <w:sz w:val="17"/>
              </w:rPr>
              <w:t>Draft: fees actually paid in prior 6 months (range ~$0 to $1,425,000). Playbook Required minimum: 2x trailing 12 months = $2,280,000; Preferred 3x = $3,420,000</w:t>
            </w:r>
          </w:p>
        </w:tc>
        <w:tc>
          <w:tcPr>
            <w:tcW w:type="dxa" w:w="2016"/>
          </w:tcPr>
          <w:p>
            <w:r/>
            <w:r>
              <w:rPr>
                <w:sz w:val="17"/>
              </w:rPr>
              <w:t>MSA § 12.1; Playbook § 8.1</w:t>
            </w:r>
          </w:p>
        </w:tc>
      </w:tr>
    </w:tbl>
    <w:p>
      <w:pPr>
        <w:spacing w:after="40"/>
      </w:pPr>
    </w:p>
    <w:p>
      <w:pPr>
        <w:pStyle w:val="Heading2"/>
      </w:pPr>
      <w:r>
        <w:t>1.2 Tier classification and approval path</w:t>
      </w:r>
    </w:p>
    <w:p>
      <w:pPr>
        <w:spacing w:after="40"/>
      </w:pPr>
      <w:r>
        <w:rPr>
          <w:b w:val="0"/>
          <w:i w:val="0"/>
        </w:rPr>
        <w:t>The agreement is Tier 1 — Critical on both independent criteria (Playbook § 2): annual fees exceed $1,000,000, and Vaultline will create, receive, maintain and transmit PHI. Consequences:</w:t>
      </w:r>
    </w:p>
    <w:p>
      <w:pPr>
        <w:pStyle w:val="ListBullet"/>
        <w:spacing w:after="40"/>
      </w:pPr>
      <w:r>
        <w:t>Every deviation from a Required position needs the General Counsel’s written approval. Each approved deviation must be documented here (specific deviation, vendor rationale, residual risk, mitigating factors) before execution (Playbook §§ 2, 3 Step 5).</w:t>
      </w:r>
    </w:p>
    <w:p>
      <w:pPr>
        <w:pStyle w:val="ListBullet"/>
        <w:spacing w:after="40"/>
      </w:pPr>
      <w:r>
        <w:t>Final approval of the negotiated agreement rests with the General Counsel (Step 7). Within 10 business days of execution, Ridgecrest’s legal team must receive a copy of the executed MSA and BAA (Step 8). Any approved deviation from a Ridgecrest requirement must be reported in the quarterly compliance report (Appendix B).</w:t>
      </w:r>
    </w:p>
    <w:p>
      <w:pPr>
        <w:pStyle w:val="ListBullet"/>
        <w:spacing w:after="40"/>
      </w:pPr>
      <w:r>
        <w:t>Outside counsel (Thornfield &amp; Associates LLP) may be engaged with GC authorization for complex IP matters. The IP indemnity, de-identification and escrow issues may qualify if Vaultline pushes back (Playbook § 3).</w:t>
      </w:r>
    </w:p>
    <w:p>
      <w:pPr>
        <w:pStyle w:val="ListBullet"/>
        <w:spacing w:after="40"/>
      </w:pPr>
      <w:r>
        <w:t>Calendar: Tier 1 target turnaround is 5 business days from complete intake. The business deadline is October 11 for Derek’s October 14 call with Jason Kettler. Confirm that Form LC-SaaS-01 (intake) and Form LC-SaaS-02 (gap analysis) are on file. This memorandum is the Step 4 issue memorandum.</w:t>
      </w:r>
    </w:p>
    <w:p>
      <w:pPr>
        <w:pStyle w:val="Heading2"/>
      </w:pPr>
      <w:r>
        <w:t>1.3 How to read this memorandum</w:t>
      </w:r>
    </w:p>
    <w:p>
      <w:pPr>
        <w:spacing w:after="80"/>
      </w:pPr>
      <w:r>
        <w:rPr>
          <w:b w:val="0"/>
          <w:i w:val="0"/>
        </w:rPr>
        <w:t>Each issue is categorized per Playbook § 3 Step 4: Category A = must be resolved before execution; Category B = should be resolved if commercially practicable; Category C = acceptable with documented justification. Priority: P1 Critical (regulatory/Sponsor/non-negotiable or walk-away), P2 High (Required deviation with significant financial or operational exposure), P3 Medium, P4 Low. Each detailed issue sets out the provision, the Playbook position, the gap, the risk, our recommended position, proposed redline language (bracketed alternatives show opening position vs. Required minimum), the fallback, and the approval needed. In response to my October 8 question, the memo includes specific redline language so it can be converted to a markup immediately after your review.</w:t>
      </w:r>
    </w:p>
    <w:p>
      <w:pPr>
        <w:pStyle w:val="Heading2"/>
      </w:pPr>
      <w:r>
        <w:t>1.4 Distribution and privilege</w:t>
      </w:r>
    </w:p>
    <w:p>
      <w:pPr>
        <w:spacing w:after="80"/>
      </w:pPr>
      <w:r>
        <w:rPr>
          <w:b w:val="0"/>
          <w:i w:val="0"/>
        </w:rPr>
        <w:t>You noted the memo may be shared with Ridgecrest’s legal team. Sharing privileged legal analysis with Ridgecrest (a separate entity, even as 68% equity holder) can risk a privilege-waiver argument unless a common-interest arrangement applies. Two options: share only the Ridgecrest compliance matrix (Section 4) and a non-privileged status summary, or confirm a common-interest basis before sharing the full memo. The negotiation positions in Sections 2–3 and 5 should not go to Vaultline or to the business sponsor’s commercial contacts.</w:t>
      </w:r>
    </w:p>
    <w:p>
      <w:pPr>
        <w:pStyle w:val="Heading1"/>
      </w:pPr>
      <w:r>
        <w:t>2. Prioritized Deviation Summary</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432"/>
            <w:shd w:val="clear" w:color="auto" w:fill="1F3A5F"/>
          </w:tcPr>
          <w:p>
            <w:r/>
            <w:r>
              <w:rPr>
                <w:b/>
                <w:color w:val="FFFFFF"/>
                <w:sz w:val="16"/>
              </w:rPr>
              <w:t>#</w:t>
            </w:r>
          </w:p>
        </w:tc>
        <w:tc>
          <w:tcPr>
            <w:tcW w:type="dxa" w:w="3744"/>
            <w:shd w:val="clear" w:color="auto" w:fill="1F3A5F"/>
          </w:tcPr>
          <w:p>
            <w:r/>
            <w:r>
              <w:rPr>
                <w:b/>
                <w:color w:val="FFFFFF"/>
                <w:sz w:val="16"/>
              </w:rPr>
              <w:t>Issue</w:t>
            </w:r>
          </w:p>
        </w:tc>
        <w:tc>
          <w:tcPr>
            <w:tcW w:type="dxa" w:w="1440"/>
            <w:shd w:val="clear" w:color="auto" w:fill="1F3A5F"/>
          </w:tcPr>
          <w:p>
            <w:r/>
            <w:r>
              <w:rPr>
                <w:b/>
                <w:color w:val="FFFFFF"/>
                <w:sz w:val="16"/>
              </w:rPr>
              <w:t>MSA ref.</w:t>
            </w:r>
          </w:p>
        </w:tc>
        <w:tc>
          <w:tcPr>
            <w:tcW w:type="dxa" w:w="1152"/>
            <w:shd w:val="clear" w:color="auto" w:fill="1F3A5F"/>
          </w:tcPr>
          <w:p>
            <w:r/>
            <w:r>
              <w:rPr>
                <w:b/>
                <w:color w:val="FFFFFF"/>
                <w:sz w:val="16"/>
              </w:rPr>
              <w:t>Priority</w:t>
            </w:r>
          </w:p>
        </w:tc>
        <w:tc>
          <w:tcPr>
            <w:tcW w:type="dxa" w:w="576"/>
            <w:shd w:val="clear" w:color="auto" w:fill="1F3A5F"/>
          </w:tcPr>
          <w:p>
            <w:r/>
            <w:r>
              <w:rPr>
                <w:b/>
                <w:color w:val="FFFFFF"/>
                <w:sz w:val="16"/>
              </w:rPr>
              <w:t>Cat.</w:t>
            </w:r>
          </w:p>
        </w:tc>
        <w:tc>
          <w:tcPr>
            <w:tcW w:type="dxa" w:w="2304"/>
            <w:shd w:val="clear" w:color="auto" w:fill="1F3A5F"/>
          </w:tcPr>
          <w:p>
            <w:r/>
            <w:r>
              <w:rPr>
                <w:b/>
                <w:color w:val="FFFFFF"/>
                <w:sz w:val="16"/>
              </w:rPr>
              <w:t>Approval / deviation status</w:t>
            </w:r>
          </w:p>
        </w:tc>
      </w:tr>
      <w:tr>
        <w:tc>
          <w:tcPr>
            <w:tcW w:type="dxa" w:w="432"/>
          </w:tcPr>
          <w:p>
            <w:r/>
            <w:r>
              <w:rPr>
                <w:sz w:val="16"/>
              </w:rPr>
              <w:t>1</w:t>
            </w:r>
          </w:p>
        </w:tc>
        <w:tc>
          <w:tcPr>
            <w:tcW w:type="dxa" w:w="3744"/>
          </w:tcPr>
          <w:p>
            <w:r/>
            <w:r>
              <w:rPr>
                <w:sz w:val="16"/>
              </w:rPr>
              <w:t>Business Associate Agreement deferred; no BAA attached</w:t>
            </w:r>
          </w:p>
        </w:tc>
        <w:tc>
          <w:tcPr>
            <w:tcW w:type="dxa" w:w="1440"/>
          </w:tcPr>
          <w:p>
            <w:r/>
            <w:r>
              <w:rPr>
                <w:sz w:val="16"/>
              </w:rPr>
              <w:t>MSA § 7.5</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No deviation permitted.</w:t>
            </w:r>
          </w:p>
        </w:tc>
      </w:tr>
      <w:tr>
        <w:tc>
          <w:tcPr>
            <w:tcW w:type="dxa" w:w="432"/>
          </w:tcPr>
          <w:p>
            <w:r/>
            <w:r>
              <w:rPr>
                <w:sz w:val="16"/>
              </w:rPr>
              <w:t>2</w:t>
            </w:r>
          </w:p>
        </w:tc>
        <w:tc>
          <w:tcPr>
            <w:tcW w:type="dxa" w:w="3744"/>
          </w:tcPr>
          <w:p>
            <w:r/>
            <w:r>
              <w:rPr>
                <w:sz w:val="16"/>
              </w:rPr>
              <w:t>Vendor ownership and commercial sale of “Aggregated De-Identified Data”; non-HIPAA de-identification standard</w:t>
            </w:r>
          </w:p>
        </w:tc>
        <w:tc>
          <w:tcPr>
            <w:tcW w:type="dxa" w:w="1440"/>
          </w:tcPr>
          <w:p>
            <w:r/>
            <w:r>
              <w:rPr>
                <w:sz w:val="16"/>
              </w:rPr>
              <w:t>MSA § 6.3</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GC approval required for any deviation from the four Required conditions.</w:t>
            </w:r>
          </w:p>
        </w:tc>
      </w:tr>
      <w:tr>
        <w:tc>
          <w:tcPr>
            <w:tcW w:type="dxa" w:w="432"/>
          </w:tcPr>
          <w:p>
            <w:r/>
            <w:r>
              <w:rPr>
                <w:sz w:val="16"/>
              </w:rPr>
              <w:t>3</w:t>
            </w:r>
          </w:p>
        </w:tc>
        <w:tc>
          <w:tcPr>
            <w:tcW w:type="dxa" w:w="3744"/>
          </w:tcPr>
          <w:p>
            <w:r/>
            <w:r>
              <w:rPr>
                <w:sz w:val="16"/>
              </w:rPr>
              <w:t>Security commitments limited to “commercially reasonable” safeguards; no SOC 2 Type II; no audit rights</w:t>
            </w:r>
          </w:p>
        </w:tc>
        <w:tc>
          <w:tcPr>
            <w:tcW w:type="dxa" w:w="1440"/>
          </w:tcPr>
          <w:p>
            <w:r/>
            <w:r>
              <w:rPr>
                <w:sz w:val="16"/>
              </w:rPr>
              <w:t>MSA § 7.2 (no audit or SOC 2 provision anywhere in the MSA)</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SOC 2 Type II: no deviation (report any to Ridgecrest). Audit-right modifications: GC approval.</w:t>
            </w:r>
          </w:p>
        </w:tc>
      </w:tr>
      <w:tr>
        <w:tc>
          <w:tcPr>
            <w:tcW w:type="dxa" w:w="432"/>
          </w:tcPr>
          <w:p>
            <w:r/>
            <w:r>
              <w:rPr>
                <w:sz w:val="16"/>
              </w:rPr>
              <w:t>4</w:t>
            </w:r>
          </w:p>
        </w:tc>
        <w:tc>
          <w:tcPr>
            <w:tcW w:type="dxa" w:w="3744"/>
          </w:tcPr>
          <w:p>
            <w:r/>
            <w:r>
              <w:rPr>
                <w:sz w:val="16"/>
              </w:rPr>
              <w:t>Security Incident notice: 72 hours from “confirmation”; incomplete content; no cost allocation</w:t>
            </w:r>
          </w:p>
        </w:tc>
        <w:tc>
          <w:tcPr>
            <w:tcW w:type="dxa" w:w="1440"/>
          </w:tcPr>
          <w:p>
            <w:r/>
            <w:r>
              <w:rPr>
                <w:sz w:val="16"/>
              </w:rPr>
              <w:t>MSA § 7.3</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Any notice period &gt;24 hours or confirmation trigger: GC approval (not recommended).</w:t>
            </w:r>
          </w:p>
        </w:tc>
      </w:tr>
      <w:tr>
        <w:tc>
          <w:tcPr>
            <w:tcW w:type="dxa" w:w="432"/>
          </w:tcPr>
          <w:p>
            <w:r/>
            <w:r>
              <w:rPr>
                <w:sz w:val="16"/>
              </w:rPr>
              <w:t>5</w:t>
            </w:r>
          </w:p>
        </w:tc>
        <w:tc>
          <w:tcPr>
            <w:tcW w:type="dxa" w:w="3744"/>
          </w:tcPr>
          <w:p>
            <w:r/>
            <w:r>
              <w:rPr>
                <w:sz w:val="16"/>
              </w:rPr>
              <w:t>Liability cap of six months’ fees “actually paid”; no uncapped carve-outs; unqualified consequential-damages waiver</w:t>
            </w:r>
          </w:p>
        </w:tc>
        <w:tc>
          <w:tcPr>
            <w:tcW w:type="dxa" w:w="1440"/>
          </w:tcPr>
          <w:p>
            <w:r/>
            <w:r>
              <w:rPr>
                <w:sz w:val="16"/>
              </w:rPr>
              <w:t>MSA §§ 12.1–12.4</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Cap &lt;2x or any super-cap in lieu of uncapped categories: GC approval with risk-assessment memorandum.</w:t>
            </w:r>
          </w:p>
        </w:tc>
      </w:tr>
      <w:tr>
        <w:tc>
          <w:tcPr>
            <w:tcW w:type="dxa" w:w="432"/>
          </w:tcPr>
          <w:p>
            <w:r/>
            <w:r>
              <w:rPr>
                <w:sz w:val="16"/>
              </w:rPr>
              <w:t>6</w:t>
            </w:r>
          </w:p>
        </w:tc>
        <w:tc>
          <w:tcPr>
            <w:tcW w:type="dxa" w:w="3744"/>
          </w:tcPr>
          <w:p>
            <w:r/>
            <w:r>
              <w:rPr>
                <w:sz w:val="16"/>
              </w:rPr>
              <w:t>IP indemnity: combination carve-out negates coverage for the MedBridge EHR integration; Documentation carve-out; narrow scope</w:t>
            </w:r>
          </w:p>
        </w:tc>
        <w:tc>
          <w:tcPr>
            <w:tcW w:type="dxa" w:w="1440"/>
          </w:tcPr>
          <w:p>
            <w:r/>
            <w:r>
              <w:rPr>
                <w:sz w:val="16"/>
              </w:rPr>
              <w:t>MSA §§ 10.1, 10.2, 1.7</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Any carve-out that reaches the MedBridge integration or any cap on IP indemnity: GC approval (not recommended).</w:t>
            </w:r>
          </w:p>
        </w:tc>
      </w:tr>
      <w:tr>
        <w:tc>
          <w:tcPr>
            <w:tcW w:type="dxa" w:w="432"/>
          </w:tcPr>
          <w:p>
            <w:r/>
            <w:r>
              <w:rPr>
                <w:sz w:val="16"/>
              </w:rPr>
              <w:t>7</w:t>
            </w:r>
          </w:p>
        </w:tc>
        <w:tc>
          <w:tcPr>
            <w:tcW w:type="dxa" w:w="3744"/>
          </w:tcPr>
          <w:p>
            <w:r/>
            <w:r>
              <w:rPr>
                <w:sz w:val="16"/>
              </w:rPr>
              <w:t>Cyber insurance $5M (vs. $10M); no Technology E&amp;O; 12-month tail; no additional insured; certificates only on request</w:t>
            </w:r>
          </w:p>
        </w:tc>
        <w:tc>
          <w:tcPr>
            <w:tcW w:type="dxa" w:w="1440"/>
          </w:tcPr>
          <w:p>
            <w:r/>
            <w:r>
              <w:rPr>
                <w:sz w:val="16"/>
              </w:rPr>
              <w:t>MSA §§ 13.1(c), 13.2</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Below $10M: not approvable without Ridgecrest reporting; GC approval required for any other deviation.</w:t>
            </w:r>
          </w:p>
        </w:tc>
      </w:tr>
      <w:tr>
        <w:tc>
          <w:tcPr>
            <w:tcW w:type="dxa" w:w="432"/>
          </w:tcPr>
          <w:p>
            <w:r/>
            <w:r>
              <w:rPr>
                <w:sz w:val="16"/>
              </w:rPr>
              <w:t>8</w:t>
            </w:r>
          </w:p>
        </w:tc>
        <w:tc>
          <w:tcPr>
            <w:tcW w:type="dxa" w:w="3744"/>
          </w:tcPr>
          <w:p>
            <w:r/>
            <w:r>
              <w:rPr>
                <w:sz w:val="16"/>
              </w:rPr>
              <w:t>Data return limited to 30-day self-service download; permissive deletion; no destruction certification</w:t>
            </w:r>
          </w:p>
        </w:tc>
        <w:tc>
          <w:tcPr>
            <w:tcW w:type="dxa" w:w="1440"/>
          </w:tcPr>
          <w:p>
            <w:r/>
            <w:r>
              <w:rPr>
                <w:sz w:val="16"/>
              </w:rPr>
              <w:t>MSA § 11.6</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No deviation on return/destruction/certification (Ridgecrest).</w:t>
            </w:r>
          </w:p>
        </w:tc>
      </w:tr>
      <w:tr>
        <w:tc>
          <w:tcPr>
            <w:tcW w:type="dxa" w:w="432"/>
          </w:tcPr>
          <w:p>
            <w:r/>
            <w:r>
              <w:rPr>
                <w:sz w:val="16"/>
              </w:rPr>
              <w:t>9</w:t>
            </w:r>
          </w:p>
        </w:tc>
        <w:tc>
          <w:tcPr>
            <w:tcW w:type="dxa" w:w="3744"/>
          </w:tcPr>
          <w:p>
            <w:r/>
            <w:r>
              <w:rPr>
                <w:sz w:val="16"/>
              </w:rPr>
              <w:t>Assignment clause permits assignment by merger, acquisition, or asset sale without consent</w:t>
            </w:r>
          </w:p>
        </w:tc>
        <w:tc>
          <w:tcPr>
            <w:tcW w:type="dxa" w:w="1440"/>
          </w:tcPr>
          <w:p>
            <w:r/>
            <w:r>
              <w:rPr>
                <w:sz w:val="16"/>
              </w:rPr>
              <w:t>MSA § 14.3</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Any CoC carve-out: not approvable (Ridgecrest). Dropping the Preferred termination right: document rationale.</w:t>
            </w:r>
          </w:p>
        </w:tc>
      </w:tr>
      <w:tr>
        <w:tc>
          <w:tcPr>
            <w:tcW w:type="dxa" w:w="432"/>
          </w:tcPr>
          <w:p>
            <w:r/>
            <w:r>
              <w:rPr>
                <w:sz w:val="16"/>
              </w:rPr>
              <w:t>10</w:t>
            </w:r>
          </w:p>
        </w:tc>
        <w:tc>
          <w:tcPr>
            <w:tcW w:type="dxa" w:w="3744"/>
          </w:tcPr>
          <w:p>
            <w:r/>
            <w:r>
              <w:rPr>
                <w:sz w:val="16"/>
              </w:rPr>
              <w:t>No source code escrow (Vaultline ARR ~ $72M, below $100M threshold)</w:t>
            </w:r>
          </w:p>
        </w:tc>
        <w:tc>
          <w:tcPr>
            <w:tcW w:type="dxa" w:w="1440"/>
          </w:tcPr>
          <w:p>
            <w:r/>
            <w:r>
              <w:rPr>
                <w:sz w:val="16"/>
              </w:rPr>
              <w:t>None (MSA silent)</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Omission of escrow or any release trigger: GC approval (not recommended).</w:t>
            </w:r>
          </w:p>
        </w:tc>
      </w:tr>
      <w:tr>
        <w:tc>
          <w:tcPr>
            <w:tcW w:type="dxa" w:w="432"/>
          </w:tcPr>
          <w:p>
            <w:r/>
            <w:r>
              <w:rPr>
                <w:sz w:val="16"/>
              </w:rPr>
              <w:t>11</w:t>
            </w:r>
          </w:p>
        </w:tc>
        <w:tc>
          <w:tcPr>
            <w:tcW w:type="dxa" w:w="3744"/>
          </w:tcPr>
          <w:p>
            <w:r/>
            <w:r>
              <w:rPr>
                <w:sz w:val="16"/>
              </w:rPr>
              <w:t>Vendor-only termination for convenience (180 days); no Customer termination for convenience</w:t>
            </w:r>
          </w:p>
        </w:tc>
        <w:tc>
          <w:tcPr>
            <w:tcW w:type="dxa" w:w="1440"/>
          </w:tcPr>
          <w:p>
            <w:r/>
            <w:r>
              <w:rPr>
                <w:sz w:val="16"/>
              </w:rPr>
              <w:t>MSA § 11.4</w:t>
            </w:r>
          </w:p>
        </w:tc>
        <w:tc>
          <w:tcPr>
            <w:tcW w:type="dxa" w:w="1152"/>
            <w:shd w:val="clear" w:color="auto" w:fill="F4CCCC"/>
          </w:tcPr>
          <w:p>
            <w:r/>
            <w:r>
              <w:rPr>
                <w:b/>
                <w:sz w:val="16"/>
              </w:rPr>
              <w:t>P1 - Critical</w:t>
            </w:r>
          </w:p>
        </w:tc>
        <w:tc>
          <w:tcPr>
            <w:tcW w:type="dxa" w:w="576"/>
          </w:tcPr>
          <w:p>
            <w:r/>
            <w:r>
              <w:rPr>
                <w:sz w:val="16"/>
              </w:rPr>
              <w:t>A</w:t>
            </w:r>
          </w:p>
        </w:tc>
        <w:tc>
          <w:tcPr>
            <w:tcW w:type="dxa" w:w="2304"/>
          </w:tcPr>
          <w:p>
            <w:r/>
            <w:r>
              <w:rPr>
                <w:sz w:val="16"/>
              </w:rPr>
              <w:t>Any vendor TfC: GC approval; vendor-only TfC is non-negotiable and must be rejected.</w:t>
            </w:r>
          </w:p>
        </w:tc>
      </w:tr>
      <w:tr>
        <w:tc>
          <w:tcPr>
            <w:tcW w:type="dxa" w:w="432"/>
          </w:tcPr>
          <w:p>
            <w:r/>
            <w:r>
              <w:rPr>
                <w:sz w:val="16"/>
              </w:rPr>
              <w:t>12</w:t>
            </w:r>
          </w:p>
        </w:tc>
        <w:tc>
          <w:tcPr>
            <w:tcW w:type="dxa" w:w="3744"/>
          </w:tcPr>
          <w:p>
            <w:r/>
            <w:r>
              <w:rPr>
                <w:sz w:val="16"/>
              </w:rPr>
              <w:t>SLA: 99.5% “commercially reasonable efforts”; 8 hours/week maintenance exclusion; 2%-per-1% credits on claim; 10% cap; sole remedy; no reporting</w:t>
            </w:r>
          </w:p>
        </w:tc>
        <w:tc>
          <w:tcPr>
            <w:tcW w:type="dxa" w:w="1440"/>
          </w:tcPr>
          <w:p>
            <w:r/>
            <w:r>
              <w:rPr>
                <w:sz w:val="16"/>
              </w:rPr>
              <w:t>Exhibit B §§ B.1–B.6</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Any uptime &lt; 99.9% or other Required SLA deviation: GC approval with risk memorandum.</w:t>
            </w:r>
          </w:p>
        </w:tc>
      </w:tr>
      <w:tr>
        <w:tc>
          <w:tcPr>
            <w:tcW w:type="dxa" w:w="432"/>
          </w:tcPr>
          <w:p>
            <w:r/>
            <w:r>
              <w:rPr>
                <w:sz w:val="16"/>
              </w:rPr>
              <w:t>13</w:t>
            </w:r>
          </w:p>
        </w:tc>
        <w:tc>
          <w:tcPr>
            <w:tcW w:type="dxa" w:w="3744"/>
          </w:tcPr>
          <w:p>
            <w:r/>
            <w:r>
              <w:rPr>
                <w:sz w:val="16"/>
              </w:rPr>
              <w:t>Deemed acceptance after 5 business days; production use = acceptance; no acceptance criteria, UAT period, or remediation limit</w:t>
            </w:r>
          </w:p>
        </w:tc>
        <w:tc>
          <w:tcPr>
            <w:tcW w:type="dxa" w:w="1440"/>
          </w:tcPr>
          <w:p>
            <w:r/>
            <w:r>
              <w:rPr>
                <w:sz w:val="16"/>
              </w:rPr>
              <w:t>MSA § 4.3</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Deemed acceptance in any form: GC approval (not recommended).</w:t>
            </w:r>
          </w:p>
        </w:tc>
      </w:tr>
      <w:tr>
        <w:tc>
          <w:tcPr>
            <w:tcW w:type="dxa" w:w="432"/>
          </w:tcPr>
          <w:p>
            <w:r/>
            <w:r>
              <w:rPr>
                <w:sz w:val="16"/>
              </w:rPr>
              <w:t>14</w:t>
            </w:r>
          </w:p>
        </w:tc>
        <w:tc>
          <w:tcPr>
            <w:tcW w:type="dxa" w:w="3744"/>
          </w:tcPr>
          <w:p>
            <w:r/>
            <w:r>
              <w:rPr>
                <w:sz w:val="16"/>
              </w:rPr>
              <w:t>Net 15 payment terms; full annual subscription and implementation fee prepaid before go-live</w:t>
            </w:r>
          </w:p>
        </w:tc>
        <w:tc>
          <w:tcPr>
            <w:tcW w:type="dxa" w:w="1440"/>
          </w:tcPr>
          <w:p>
            <w:r/>
            <w:r>
              <w:rPr>
                <w:sz w:val="16"/>
              </w:rPr>
              <w:t>MSA §§ 3.2(a)–(b), 3.2(d), 3.4, 4.4</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Net &lt; 45 or pre-payment before services: GC approval.</w:t>
            </w:r>
          </w:p>
        </w:tc>
      </w:tr>
      <w:tr>
        <w:tc>
          <w:tcPr>
            <w:tcW w:type="dxa" w:w="432"/>
          </w:tcPr>
          <w:p>
            <w:r/>
            <w:r>
              <w:rPr>
                <w:sz w:val="16"/>
              </w:rPr>
              <w:t>15</w:t>
            </w:r>
          </w:p>
        </w:tc>
        <w:tc>
          <w:tcPr>
            <w:tcW w:type="dxa" w:w="3744"/>
          </w:tcPr>
          <w:p>
            <w:r/>
            <w:r>
              <w:rPr>
                <w:sz w:val="16"/>
              </w:rPr>
              <w:t>Price escalation: greater of 5% or CPI-U, annually during the Initial Term, with no cap</w:t>
            </w:r>
          </w:p>
        </w:tc>
        <w:tc>
          <w:tcPr>
            <w:tcW w:type="dxa" w:w="1440"/>
          </w:tcPr>
          <w:p>
            <w:r/>
            <w:r>
              <w:rPr>
                <w:sz w:val="16"/>
              </w:rPr>
              <w:t>MSA § 3.3</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Any escalation in Initial Term, any floor, or cap &gt; 3%: GC approval.</w:t>
            </w:r>
          </w:p>
        </w:tc>
      </w:tr>
      <w:tr>
        <w:tc>
          <w:tcPr>
            <w:tcW w:type="dxa" w:w="432"/>
          </w:tcPr>
          <w:p>
            <w:r/>
            <w:r>
              <w:rPr>
                <w:sz w:val="16"/>
              </w:rPr>
              <w:t>16</w:t>
            </w:r>
          </w:p>
        </w:tc>
        <w:tc>
          <w:tcPr>
            <w:tcW w:type="dxa" w:w="3744"/>
          </w:tcPr>
          <w:p>
            <w:r/>
            <w:r>
              <w:rPr>
                <w:sz w:val="16"/>
              </w:rPr>
              <w:t>Termination for cause: 60-day cure; no immediate termination for data breach, insurance lapse, or unconsented change of control; no refund</w:t>
            </w:r>
          </w:p>
        </w:tc>
        <w:tc>
          <w:tcPr>
            <w:tcW w:type="dxa" w:w="1440"/>
          </w:tcPr>
          <w:p>
            <w:r/>
            <w:r>
              <w:rPr>
                <w:sz w:val="16"/>
              </w:rPr>
              <w:t>MSA § 11.3</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Cure &gt; 30 days or omission of any immediate-termination event: GC approval.</w:t>
            </w:r>
          </w:p>
        </w:tc>
      </w:tr>
      <w:tr>
        <w:tc>
          <w:tcPr>
            <w:tcW w:type="dxa" w:w="432"/>
          </w:tcPr>
          <w:p>
            <w:r/>
            <w:r>
              <w:rPr>
                <w:sz w:val="16"/>
              </w:rPr>
              <w:t>17</w:t>
            </w:r>
          </w:p>
        </w:tc>
        <w:tc>
          <w:tcPr>
            <w:tcW w:type="dxa" w:w="3744"/>
          </w:tcPr>
          <w:p>
            <w:r/>
            <w:r>
              <w:rPr>
                <w:sz w:val="16"/>
              </w:rPr>
              <w:t>Force majeure includes hosting-provider failures, power and telecom outages; 180-day suspension before termination; no refund</w:t>
            </w:r>
          </w:p>
        </w:tc>
        <w:tc>
          <w:tcPr>
            <w:tcW w:type="dxa" w:w="1440"/>
          </w:tcPr>
          <w:p>
            <w:r/>
            <w:r>
              <w:rPr>
                <w:sz w:val="16"/>
              </w:rPr>
              <w:t>MSA § 14.4</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Any deviation: GC approval.</w:t>
            </w:r>
          </w:p>
        </w:tc>
      </w:tr>
      <w:tr>
        <w:tc>
          <w:tcPr>
            <w:tcW w:type="dxa" w:w="432"/>
          </w:tcPr>
          <w:p>
            <w:r/>
            <w:r>
              <w:rPr>
                <w:sz w:val="16"/>
              </w:rPr>
              <w:t>18</w:t>
            </w:r>
          </w:p>
        </w:tc>
        <w:tc>
          <w:tcPr>
            <w:tcW w:type="dxa" w:w="3744"/>
          </w:tcPr>
          <w:p>
            <w:r/>
            <w:r>
              <w:rPr>
                <w:sz w:val="16"/>
              </w:rPr>
              <w:t>Texas governing law; exclusive Travis County, Texas venue</w:t>
            </w:r>
          </w:p>
        </w:tc>
        <w:tc>
          <w:tcPr>
            <w:tcW w:type="dxa" w:w="1440"/>
          </w:tcPr>
          <w:p>
            <w:r/>
            <w:r>
              <w:rPr>
                <w:sz w:val="16"/>
              </w:rPr>
              <w:t>MSA §§ 14.1, 14.2</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GC approval required for any deviation (Tier 1).</w:t>
            </w:r>
          </w:p>
        </w:tc>
      </w:tr>
      <w:tr>
        <w:tc>
          <w:tcPr>
            <w:tcW w:type="dxa" w:w="432"/>
          </w:tcPr>
          <w:p>
            <w:r/>
            <w:r>
              <w:rPr>
                <w:sz w:val="16"/>
              </w:rPr>
              <w:t>19</w:t>
            </w:r>
          </w:p>
        </w:tc>
        <w:tc>
          <w:tcPr>
            <w:tcW w:type="dxa" w:w="3744"/>
          </w:tcPr>
          <w:p>
            <w:r/>
            <w:r>
              <w:rPr>
                <w:sz w:val="16"/>
              </w:rPr>
              <w:t>Auto-renewal with 120-day non-renewal notice</w:t>
            </w:r>
          </w:p>
        </w:tc>
        <w:tc>
          <w:tcPr>
            <w:tcW w:type="dxa" w:w="1440"/>
          </w:tcPr>
          <w:p>
            <w:r/>
            <w:r>
              <w:rPr>
                <w:sz w:val="16"/>
              </w:rPr>
              <w:t>MSA § 11.2</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&gt; 60 days: GC approval.</w:t>
            </w:r>
          </w:p>
        </w:tc>
      </w:tr>
      <w:tr>
        <w:tc>
          <w:tcPr>
            <w:tcW w:type="dxa" w:w="432"/>
          </w:tcPr>
          <w:p>
            <w:r/>
            <w:r>
              <w:rPr>
                <w:sz w:val="16"/>
              </w:rPr>
              <w:t>20</w:t>
            </w:r>
          </w:p>
        </w:tc>
        <w:tc>
          <w:tcPr>
            <w:tcW w:type="dxa" w:w="3744"/>
          </w:tcPr>
          <w:p>
            <w:r/>
            <w:r>
              <w:rPr>
                <w:sz w:val="16"/>
              </w:rPr>
              <w:t>Confidentiality: 3-year post-term tail; Customer Data not expressly Confidential Information; backup-retention exception; no carve-out from liability limits</w:t>
            </w:r>
          </w:p>
        </w:tc>
        <w:tc>
          <w:tcPr>
            <w:tcW w:type="dxa" w:w="1440"/>
          </w:tcPr>
          <w:p>
            <w:r/>
            <w:r>
              <w:rPr>
                <w:sz w:val="16"/>
              </w:rPr>
              <w:t>MSA §§ 1.5, 8.1, 8.4</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&lt; 5 years from disclosure: GC approval.</w:t>
            </w:r>
          </w:p>
        </w:tc>
      </w:tr>
      <w:tr>
        <w:tc>
          <w:tcPr>
            <w:tcW w:type="dxa" w:w="432"/>
          </w:tcPr>
          <w:p>
            <w:r/>
            <w:r>
              <w:rPr>
                <w:sz w:val="16"/>
              </w:rPr>
              <w:t>21</w:t>
            </w:r>
          </w:p>
        </w:tc>
        <w:tc>
          <w:tcPr>
            <w:tcW w:type="dxa" w:w="3744"/>
          </w:tcPr>
          <w:p>
            <w:r/>
            <w:r>
              <w:rPr>
                <w:sz w:val="16"/>
              </w:rPr>
              <w:t>“Customer Data” definition omits generated, derived, metadata and usage data; vendor license lacks automatic termination</w:t>
            </w:r>
          </w:p>
        </w:tc>
        <w:tc>
          <w:tcPr>
            <w:tcW w:type="dxa" w:w="1440"/>
          </w:tcPr>
          <w:p>
            <w:r/>
            <w:r>
              <w:rPr>
                <w:sz w:val="16"/>
              </w:rPr>
              <w:t>MSA §§ 1.6, 6.2, 6.1</w:t>
            </w:r>
          </w:p>
        </w:tc>
        <w:tc>
          <w:tcPr>
            <w:tcW w:type="dxa" w:w="1152"/>
            <w:shd w:val="clear" w:color="auto" w:fill="FCE5CD"/>
          </w:tcPr>
          <w:p>
            <w:r/>
            <w:r>
              <w:rPr>
                <w:b/>
                <w:sz w:val="16"/>
              </w:rPr>
              <w:t>P2 - High</w:t>
            </w:r>
          </w:p>
        </w:tc>
        <w:tc>
          <w:tcPr>
            <w:tcW w:type="dxa" w:w="576"/>
          </w:tcPr>
          <w:p>
            <w:r/>
            <w:r>
              <w:rPr>
                <w:sz w:val="16"/>
              </w:rPr>
              <w:t>A</w:t>
            </w:r>
          </w:p>
        </w:tc>
        <w:tc>
          <w:tcPr>
            <w:tcW w:type="dxa" w:w="2304"/>
          </w:tcPr>
          <w:p>
            <w:r/>
            <w:r>
              <w:rPr>
                <w:sz w:val="16"/>
              </w:rPr>
              <w:t>Any narrowing of Customer Data ownership: GC approval.</w:t>
            </w:r>
          </w:p>
        </w:tc>
      </w:tr>
      <w:tr>
        <w:tc>
          <w:tcPr>
            <w:tcW w:type="dxa" w:w="432"/>
          </w:tcPr>
          <w:p>
            <w:r/>
            <w:r>
              <w:rPr>
                <w:sz w:val="16"/>
              </w:rPr>
              <w:t>22</w:t>
            </w:r>
          </w:p>
        </w:tc>
        <w:tc>
          <w:tcPr>
            <w:tcW w:type="dxa" w:w="3744"/>
          </w:tcPr>
          <w:p>
            <w:r/>
            <w:r>
              <w:rPr>
                <w:sz w:val="16"/>
              </w:rPr>
              <w:t>Order of precedence: Exhibits (incl. SLA sole-remedy) override the MSA; BAA not first</w:t>
            </w:r>
          </w:p>
        </w:tc>
        <w:tc>
          <w:tcPr>
            <w:tcW w:type="dxa" w:w="1440"/>
          </w:tcPr>
          <w:p>
            <w:r/>
            <w:r>
              <w:rPr>
                <w:sz w:val="16"/>
              </w:rPr>
              <w:t>MSA § 14.6</w:t>
            </w:r>
          </w:p>
        </w:tc>
        <w:tc>
          <w:tcPr>
            <w:tcW w:type="dxa" w:w="1152"/>
            <w:shd w:val="clear" w:color="auto" w:fill="FFF2CC"/>
          </w:tcPr>
          <w:p>
            <w:r/>
            <w:r>
              <w:rPr>
                <w:b/>
                <w:sz w:val="16"/>
              </w:rPr>
              <w:t>P3 - Medium</w:t>
            </w:r>
          </w:p>
        </w:tc>
        <w:tc>
          <w:tcPr>
            <w:tcW w:type="dxa" w:w="576"/>
          </w:tcPr>
          <w:p>
            <w:r/>
            <w:r>
              <w:rPr>
                <w:sz w:val="16"/>
              </w:rPr>
              <w:t>B</w:t>
            </w:r>
          </w:p>
        </w:tc>
        <w:tc>
          <w:tcPr>
            <w:tcW w:type="dxa" w:w="2304"/>
          </w:tcPr>
          <w:p>
            <w:r/>
            <w:r>
              <w:rPr>
                <w:sz w:val="16"/>
              </w:rPr>
              <w:t>Senior Counsel / document in memo.</w:t>
            </w:r>
          </w:p>
        </w:tc>
      </w:tr>
    </w:tbl>
    <w:p>
      <w:pPr>
        <w:spacing w:after="40"/>
      </w:pPr>
    </w:p>
    <w:p>
      <w:pPr>
        <w:spacing w:after="80"/>
      </w:pPr>
      <w:r>
        <w:rPr>
          <w:b w:val="0"/>
          <w:i/>
          <w:sz w:val="18"/>
        </w:rPr>
        <w:t>Additional Preferred-position gaps and miscellaneous checklist items are summarized in Section 3.23 and Section 3.24. Provisions that already meet the Playbook are listed in Section 3.25.</w:t>
      </w:r>
    </w:p>
    <w:p>
      <w:pPr>
        <w:pStyle w:val="Heading1"/>
      </w:pPr>
      <w:r>
        <w:t>3. Detailed Issue Analysis and Recommended Redline Positions</w:t>
      </w:r>
    </w:p>
    <w:p>
      <w:pPr>
        <w:pStyle w:val="Heading2"/>
      </w:pPr>
      <w:r>
        <w:t>3.1  Issue 1: Business Associate Agreement deferred; no BAA attached</w:t>
      </w:r>
    </w:p>
    <w:p>
      <w:pPr>
        <w:spacing w:after="80"/>
      </w:pPr>
      <w:r>
        <w:rPr>
          <w:b/>
        </w:rPr>
        <w:t xml:space="preserve">Priority / Category: </w:t>
      </w:r>
      <w:r>
        <w:rPr>
          <w:b w:val="0"/>
        </w:rPr>
        <w:t xml:space="preserve">P1 - Critical / Category A   |   </w:t>
      </w:r>
      <w:r>
        <w:rPr>
          <w:b/>
        </w:rPr>
        <w:t xml:space="preserve">Agreement: </w:t>
      </w:r>
      <w:r>
        <w:rPr>
          <w:b w:val="0"/>
        </w:rPr>
        <w:t xml:space="preserve">MSA § 7.5; § 1.4; § 14.6; Exhibit list (Exhibits A and B only)   |   </w:t>
      </w:r>
      <w:r>
        <w:rPr>
          <w:b/>
        </w:rPr>
        <w:t xml:space="preserve">Playbook: </w:t>
      </w:r>
      <w:r>
        <w:rPr>
          <w:b w:val="0"/>
        </w:rPr>
        <w:t>Playbook § 7.1 (Required); App. B (Ridgecrest)</w:t>
      </w:r>
    </w:p>
    <w:p>
      <w:pPr>
        <w:spacing w:after="80"/>
      </w:pPr>
      <w:r>
        <w:rPr>
          <w:b/>
        </w:rPr>
        <w:t xml:space="preserve">Vaultline draft. </w:t>
      </w:r>
      <w:r>
        <w:rPr>
          <w:b w:val="0"/>
        </w:rPr>
        <w:t>Section 7.5 states only that a BAA “may be required” and that the parties “shall negotiate in good faith to execute a BAA within ninety (90) days of the Effective Date.” No BAA is attached; Section 14.6 refers to “any subsequently executed Business Associate Agreement.”</w:t>
      </w:r>
    </w:p>
    <w:p>
      <w:pPr>
        <w:spacing w:after="80"/>
      </w:pPr>
      <w:r>
        <w:rPr>
          <w:b/>
        </w:rPr>
        <w:t xml:space="preserve">Playbook position. </w:t>
      </w:r>
      <w:r>
        <w:rPr>
          <w:b w:val="0"/>
        </w:rPr>
        <w:t>A BAA conforming to 45 CFR §§ 164.502(e) and 164.504(e) must be fully executed as a condition precedent to the earlier of the Effective Date or any PHI transfer, attached as an exhibit or signed simultaneously. “Negotiate in good faith” / deferred BAA language must be rejected. Panorama form BAA preferred. Ridgecrest: deferred BAA execution is not acceptable.</w:t>
      </w:r>
    </w:p>
    <w:p>
      <w:pPr>
        <w:spacing w:after="80"/>
      </w:pPr>
      <w:r>
        <w:rPr>
          <w:b/>
        </w:rPr>
        <w:t xml:space="preserve">Gap analysis. </w:t>
      </w:r>
      <w:r>
        <w:rPr>
          <w:b w:val="0"/>
        </w:rPr>
        <w:t>Direct deviation from a non-negotiable Required position and a Ridgecrest mandate. The draft does not even concede that Vaultline is a business associate. The timing makes the gap acute: under Order Form Exhibit A, implementation begins within 10 business days of November 1, 2024, with MedBridge EHR integration by December 31, 2024 and data migration by January 15, 2025 — i.e., PHI from ~2.3 million annual encounters would flow to Vaultline (and its Subprocessor AWS) well before the 90-day window (January 30, 2025) closes, and an “agreement to negotiate” is likely unenforceable in any event.</w:t>
      </w:r>
    </w:p>
    <w:p>
      <w:pPr>
        <w:spacing w:after="80"/>
      </w:pPr>
      <w:r>
        <w:rPr>
          <w:b/>
        </w:rPr>
        <w:t xml:space="preserve">Risk to Panorama. </w:t>
      </w:r>
      <w:r>
        <w:rPr>
          <w:b w:val="0"/>
        </w:rPr>
        <w:t>Critical. Disclosure of PHI to a business associate without a compliant BAA is a direct HIPAA Privacy/Security Rule violation by Panorama as covered entity (civil monetary penalty exposure, OCR corrective action plan), and a Ridgecrest compliance failure.</w:t>
      </w:r>
    </w:p>
    <w:p>
      <w:pPr>
        <w:spacing w:after="80"/>
      </w:pPr>
      <w:r>
        <w:rPr>
          <w:b/>
        </w:rPr>
        <w:t xml:space="preserve">Recommended position. </w:t>
      </w:r>
      <w:r>
        <w:rPr>
          <w:b w:val="0"/>
        </w:rPr>
        <w:t>Reject § 7.5. Make execution of Panorama’s form BAA (attached as Exhibit C) a condition precedent to the Effective Date and to any PHI access. Order of precedence: BAA controls. If Vaultline insists on its own BAA form, Legal must review it against Playbook § 7 and Appendix B before signature; do not sign the MSA without the BAA. If the BAA cannot be finalized by November 1, move the Effective Date (and the fee start) rather than defer the BAA.</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Section 7.5 with: “7.5 Business Associate Agreement. Vaultline acknowledges that it will create, receive, maintain, and transmit Protected Health Information on behalf of Customer and is a ‘business associate’ of Customer as defined at 45 CFR § 160.103. Concurrently with the execution of this Agreement, the parties shall execute the Business Associate Agreement attached hereto as Exhibit C (the ‘BAA’). Execution of the BAA by both parties is a condition precedent to the effectiveness of this Agreement and to any access to, or transfer or disclosure of, Protected Health Information to Vaultline or any Subprocessor. In the event of any conflict between the BAA and this Agreement, the BAA shall control.” Conform § 1.4 and § 14.6 (delete “any subsequently executed”) and add Exhibit C to the List of Exhibits.</w:t>
            </w:r>
          </w:p>
        </w:tc>
      </w:tr>
    </w:tbl>
    <w:p>
      <w:pPr>
        <w:spacing w:after="0"/>
      </w:pPr>
    </w:p>
    <w:p>
      <w:pPr>
        <w:spacing w:after="60"/>
      </w:pPr>
      <w:r>
        <w:rPr>
          <w:b/>
        </w:rPr>
        <w:t xml:space="preserve">Fallback. </w:t>
      </w:r>
      <w:r>
        <w:rPr>
          <w:b w:val="0"/>
        </w:rPr>
        <w:t>None. This is a non-negotiable Required position (no GC deviation should be sought). The only flexibility is the BAA form (Vaultline paper acceptable if it meets Playbook § 7 and App. B).</w:t>
      </w:r>
    </w:p>
    <w:p>
      <w:pPr>
        <w:spacing w:after="160"/>
      </w:pPr>
      <w:r>
        <w:rPr>
          <w:b/>
        </w:rPr>
        <w:t xml:space="preserve">Approval. </w:t>
      </w:r>
      <w:r>
        <w:rPr>
          <w:b w:val="0"/>
        </w:rPr>
        <w:t>No deviation permitted.</w:t>
      </w:r>
    </w:p>
    <w:p>
      <w:pPr>
        <w:pStyle w:val="Heading2"/>
      </w:pPr>
      <w:r>
        <w:t>3.2  Issue 2: Vendor ownership and commercial sale of “Aggregated De-Identified Data”; non-HIPAA de-identification standard</w:t>
      </w:r>
    </w:p>
    <w:p>
      <w:pPr>
        <w:spacing w:after="80"/>
      </w:pPr>
      <w:r>
        <w:rPr>
          <w:b/>
        </w:rPr>
        <w:t xml:space="preserve">Priority / Category: </w:t>
      </w:r>
      <w:r>
        <w:rPr>
          <w:b w:val="0"/>
        </w:rPr>
        <w:t xml:space="preserve">P1 - Critical / Category A   |   </w:t>
      </w:r>
      <w:r>
        <w:rPr>
          <w:b/>
        </w:rPr>
        <w:t xml:space="preserve">Agreement: </w:t>
      </w:r>
      <w:r>
        <w:rPr>
          <w:b w:val="0"/>
        </w:rPr>
        <w:t xml:space="preserve">MSA § 6.3; § 1.2; § 11.5(d) (Section 6 survives)   |   </w:t>
      </w:r>
      <w:r>
        <w:rPr>
          <w:b/>
        </w:rPr>
        <w:t xml:space="preserve">Playbook: </w:t>
      </w:r>
      <w:r>
        <w:rPr>
          <w:b w:val="0"/>
        </w:rPr>
        <w:t>Playbook § 6.1 (Required: Aggregated and De-Identified Data; Preferred: no derivative rights)</w:t>
      </w:r>
    </w:p>
    <w:p>
      <w:pPr>
        <w:spacing w:after="80"/>
      </w:pPr>
      <w:r>
        <w:rPr>
          <w:b/>
        </w:rPr>
        <w:t xml:space="preserve">Vaultline draft. </w:t>
      </w:r>
      <w:r>
        <w:rPr>
          <w:b w:val="0"/>
        </w:rPr>
        <w:t>Notwithstanding Customer ownership in § 6.2, § 6.3 gives Vaultline ownership of all Aggregated De-Identified Data, the right to use it “for any lawful purpose, including … research, and commercial sale to third parties,” and an affirmative assignment from Customer with a further-assurances covenant. “De-identified” is defined only as data that “does not identify Customer or any individual.” The right survives termination (§ 11.5(d)).</w:t>
      </w:r>
    </w:p>
    <w:p>
      <w:pPr>
        <w:spacing w:after="80"/>
      </w:pPr>
      <w:r>
        <w:rPr>
          <w:b/>
        </w:rPr>
        <w:t xml:space="preserve">Playbook position. </w:t>
      </w:r>
      <w:r>
        <w:rPr>
          <w:b w:val="0"/>
        </w:rPr>
        <w:t>Any vendor use of de-identified data requires: (a) HIPAA de-identification under Safe Harbor (45 CFR § 164.514(b)) or Expert Determination (§ 164.514(a)), with the method specified; (b) no re-identification of Customer, any patient, individual, or facility, and no re-identification attempts; (c) use limited to internal product improvement and internal benchmarking — no sale, licensing, or distribution to third parties without Customer’s prior written consent in its sole discretion; (d) BAA addresses the methodology and Customer has audit rights over the de-identification process. Preferred: no vendor rights in derivatives at all.</w:t>
      </w:r>
    </w:p>
    <w:p>
      <w:pPr>
        <w:spacing w:after="80"/>
      </w:pPr>
      <w:r>
        <w:rPr>
          <w:b/>
        </w:rPr>
        <w:t xml:space="preserve">Gap analysis. </w:t>
      </w:r>
      <w:r>
        <w:rPr>
          <w:b w:val="0"/>
        </w:rPr>
        <w:t>Fails all four Required conditions. The generic “does not identify” standard is exactly the formulation the Playbook rejects; the definition does not protect against identification of Panorama facilities or re-identification; commercial sale is expressly permitted; ownership is transferred (not licensed) and is perpetual; there is no BAA and no audit right. Note also the asymmetry with § 2.2(i), which prohibits Panorama from using the Platform for benchmarking while Vaultline may sell benchmarks built from Panorama data.</w:t>
      </w:r>
    </w:p>
    <w:p>
      <w:pPr>
        <w:spacing w:after="80"/>
      </w:pPr>
      <w:r>
        <w:rPr>
          <w:b/>
        </w:rPr>
        <w:t xml:space="preserve">Risk to Panorama. </w:t>
      </w:r>
      <w:r>
        <w:rPr>
          <w:b w:val="0"/>
        </w:rPr>
        <w:t>Critical. The creation of de-identified data from PHI is itself a use of PHI that must be permitted by the BAA; data that is not de-identified to the HIPAA standard remains PHI, and its sale would be an impermissible disclosure/sale of PHI (45 CFR § 164.502(a)(5)(ii)). Reputational exposure across 14 clinics; competitive exposure if datasets reach competitors or an acquirer.</w:t>
      </w:r>
    </w:p>
    <w:p>
      <w:pPr>
        <w:spacing w:after="80"/>
      </w:pPr>
      <w:r>
        <w:rPr>
          <w:b/>
        </w:rPr>
        <w:t xml:space="preserve">Recommended position. </w:t>
      </w:r>
      <w:r>
        <w:rPr>
          <w:b w:val="0"/>
        </w:rPr>
        <w:t>Open with the Preferred position: delete § 6.3 and § 1.2 entirely. Fallback (Required minimum): non-exclusive, revocable license (no assignment, no Vaultline ownership) to HIPAA-de-identified data, internal product improvement/benchmarking only, no third-party sale/licensing, no re-identification, method specified, audit right, terminates with the Agreement, and covered by the BAA.</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Delete Section 1.2 and replace Section 6.3 with: “6.3 De-Identified Data. Vaultline shall not de-identify, aggregate, or create derivatives of Customer Data except as expressly permitted in this Section 6.3. Subject to the BAA, Customer grants Vaultline a limited, non-exclusive, non-transferable, revocable license during the Term to create data de-identified in accordance with [the Safe Harbor method at 45 CFR § 164.514(b)(2)] [the Expert Determination method at 45 CFR § 164.514(b)(1)] (‘De-Identified Data’), and to use De-Identified Data solely for Vaultline’s internal product improvement and internal benchmarking. De-Identified Data shall not identify, and shall not be reasonably capable of being used to re-identify, Customer, any Customer facility, any patient, or any other individual. Vaultline shall not (a) attempt to re-identify any De-Identified Data, or (b) sell, license, disclose, or otherwise make available De-Identified Data or any data set or output derived therefrom to any third party without Customer’s prior written consent, which Customer may withhold in its sole discretion. Customer may audit Vaultline’s de-identification processes in accordance with Section 7.8. As between the parties, Customer retains all right, title, and interest in De-Identified Data; nothing herein assigns any right to Vaultline.”</w:t>
            </w:r>
          </w:p>
        </w:tc>
      </w:tr>
    </w:tbl>
    <w:p>
      <w:pPr>
        <w:spacing w:after="0"/>
      </w:pPr>
    </w:p>
    <w:p>
      <w:pPr>
        <w:spacing w:after="60"/>
      </w:pPr>
      <w:r>
        <w:rPr>
          <w:b/>
        </w:rPr>
        <w:t xml:space="preserve">Fallback. </w:t>
      </w:r>
      <w:r>
        <w:rPr>
          <w:b w:val="0"/>
        </w:rPr>
        <w:t>Fallback is the Required minimum above. Any broader right (e.g., third-party research use) would be a deviation from a Required position requiring GC approval and should not be offered.</w:t>
      </w:r>
    </w:p>
    <w:p>
      <w:pPr>
        <w:spacing w:after="160"/>
      </w:pPr>
      <w:r>
        <w:rPr>
          <w:b/>
        </w:rPr>
        <w:t xml:space="preserve">Approval. </w:t>
      </w:r>
      <w:r>
        <w:rPr>
          <w:b w:val="0"/>
        </w:rPr>
        <w:t>GC approval required for any deviation from the four Required conditions.</w:t>
      </w:r>
    </w:p>
    <w:p>
      <w:pPr>
        <w:pStyle w:val="Heading2"/>
      </w:pPr>
      <w:r>
        <w:t>3.3  Issue 3: Security commitments limited to “commercially reasonable” safeguards; no SOC 2 Type II; no audit rights</w:t>
      </w:r>
    </w:p>
    <w:p>
      <w:pPr>
        <w:spacing w:after="80"/>
      </w:pPr>
      <w:r>
        <w:rPr>
          <w:b/>
        </w:rPr>
        <w:t xml:space="preserve">Priority / Category: </w:t>
      </w:r>
      <w:r>
        <w:rPr>
          <w:b w:val="0"/>
        </w:rPr>
        <w:t xml:space="preserve">P1 - Critical / Category A   |   </w:t>
      </w:r>
      <w:r>
        <w:rPr>
          <w:b/>
        </w:rPr>
        <w:t xml:space="preserve">Agreement: </w:t>
      </w:r>
      <w:r>
        <w:rPr>
          <w:b w:val="0"/>
        </w:rPr>
        <w:t xml:space="preserve">MSA § 7.2 (no audit or SOC 2 provision anywhere in the MSA)   |   </w:t>
      </w:r>
      <w:r>
        <w:rPr>
          <w:b/>
        </w:rPr>
        <w:t xml:space="preserve">Playbook: </w:t>
      </w:r>
      <w:r>
        <w:rPr>
          <w:b w:val="0"/>
        </w:rPr>
        <w:t>Playbook § 7.2 (Required: SOC 2 Type II; Audit Rights; Specific Security Commitments; Ridgecrest Requirement); App. B</w:t>
      </w:r>
    </w:p>
    <w:p>
      <w:pPr>
        <w:spacing w:after="80"/>
      </w:pPr>
      <w:r>
        <w:rPr>
          <w:b/>
        </w:rPr>
        <w:t xml:space="preserve">Vaultline draft. </w:t>
      </w:r>
      <w:r>
        <w:rPr>
          <w:b w:val="0"/>
        </w:rPr>
        <w:t>Section 7.2 commits Vaultline only to “commercially reasonable administrative, physical, and technical safeguards designed to” protect Customer Data, with periodic review. There is no SOC 2 Type II obligation, no reporting of audit results, and no Customer audit right. The SLA also provides no right to audit uptime data (see Issue 12).</w:t>
      </w:r>
    </w:p>
    <w:p>
      <w:pPr>
        <w:spacing w:after="80"/>
      </w:pPr>
      <w:r>
        <w:rPr>
          <w:b/>
        </w:rPr>
        <w:t xml:space="preserve">Playbook position. </w:t>
      </w:r>
      <w:r>
        <w:rPr>
          <w:b w:val="0"/>
        </w:rPr>
        <w:t>Vendor must maintain current SOC 2 Type II covering Security, Availability, and Confidentiality; provide the latest report on request, annually, and within 30 days of issuance. Customer audit right (itself or a qualified independent third party), at Customer’s expense, on 30 days’ notice, once per year plus after a Security Incident/breach/reasonable suspicion; full cooperation; no separate NDA condition. Specific safeguards consistent with the HIPAA Security Rule (45 CFR Part 164, Subpart C) and NIST CSF — not “commercially reasonable” or “industry standard.” Ridgecrest: SOC 2 Type II non-negotiable for PHI vendors.</w:t>
      </w:r>
    </w:p>
    <w:p>
      <w:pPr>
        <w:spacing w:after="80"/>
      </w:pPr>
      <w:r>
        <w:rPr>
          <w:b/>
        </w:rPr>
        <w:t xml:space="preserve">Gap analysis. </w:t>
      </w:r>
      <w:r>
        <w:rPr>
          <w:b w:val="0"/>
        </w:rPr>
        <w:t>All three Required elements are missing (confirming the GC’s preliminary read). We also do not know whether Vaultline currently holds a SOC 2 Type II report; if it does not, the Playbook treats that as a material deviation that may warrant rejection of a Tier 1 engagement.</w:t>
      </w:r>
    </w:p>
    <w:p>
      <w:pPr>
        <w:spacing w:after="80"/>
      </w:pPr>
      <w:r>
        <w:rPr>
          <w:b/>
        </w:rPr>
        <w:t xml:space="preserve">Risk to Panorama. </w:t>
      </w:r>
      <w:r>
        <w:rPr>
          <w:b w:val="0"/>
        </w:rPr>
        <w:t>Critical. Vague standards give no measurable baseline for breach claims; inability to verify controls for a platform holding high-volume PHI on AWS with cross-cloud flows from Panorama’s Azure environment; Ridgecrest non-compliance reportable in the quarterly report.</w:t>
      </w:r>
    </w:p>
    <w:p>
      <w:pPr>
        <w:spacing w:after="80"/>
      </w:pPr>
      <w:r>
        <w:rPr>
          <w:b/>
        </w:rPr>
        <w:t xml:space="preserve">Recommended position. </w:t>
      </w:r>
      <w:r>
        <w:rPr>
          <w:b w:val="0"/>
        </w:rPr>
        <w:t>Request Vaultline’s current SOC 2 Type II report (and bridge letter) immediately, before the October 14 call if possible. Insert a new security exhibit and the provisions below. Add encryption in transit and at rest for the Azure-to-AWS data flows Derek identified.</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Section 7.2 and add Sections 7.7–7.8: “7.2 Security Program. Vaultline shall implement and maintain a written information security program with administrative, physical, and technical safeguards that (a) comply with the HIPAA Security Rule (45 CFR Part 164, Subpart C) and (b) are consistent with the NIST Cybersecurity Framework, including, at a minimum, encryption of Customer Data in transit (TLS 1.2 or higher, including all data flows between Customer’s Microsoft Azure environment and the Platform) and at rest (AES-256 or equivalent), multi-factor authentication for administrative access, role-based access controls, logging and monitoring, vulnerability management and annual third-party penetration testing, and tested backup and disaster recovery. 7.7 SOC 2. Vaultline shall maintain throughout the Term a current SOC 2 Type II report covering, at a minimum, the Security, Availability, and Confidentiality trust services criteria, and shall deliver the most recent report to Customer upon execution, upon request, and within thirty (30) days after issuance of each new report. Vaultline shall promptly remediate any exceptions noted. 7.8 Audit. Upon not less than thirty (30) days’ prior written notice, Customer or a qualified independent third party designated by Customer may, at Customer’s expense and not more than once per calendar year (provided that additional audits may be conducted following a Security Incident or where Customer reasonably suspects non-compliance), audit Vaultline’s security practices, data handling procedures, physical and logical access controls, de-identification processes, and compliance with this Agreement and the BAA. Vaultline shall cooperate fully and provide timely access to relevant records, personnel, and systems. No audit shall be conditioned on any confidentiality agreement other than Section 8.”</w:t>
            </w:r>
          </w:p>
        </w:tc>
      </w:tr>
    </w:tbl>
    <w:p>
      <w:pPr>
        <w:spacing w:after="0"/>
      </w:pPr>
    </w:p>
    <w:p>
      <w:pPr>
        <w:spacing w:after="60"/>
      </w:pPr>
      <w:r>
        <w:rPr>
          <w:b/>
        </w:rPr>
        <w:t xml:space="preserve">Fallback. </w:t>
      </w:r>
      <w:r>
        <w:rPr>
          <w:b w:val="0"/>
        </w:rPr>
        <w:t>Customer may accept that the annual audit is satisfied in the first instance by the SOC 2 Type II report plus a security questionnaire, provided the on-site/third-party audit right remains available after a Security Incident or reasonable suspicion of non-compliance. SOC 2 Type II itself has no fallback (Ridgecrest).</w:t>
      </w:r>
    </w:p>
    <w:p>
      <w:pPr>
        <w:spacing w:after="160"/>
      </w:pPr>
      <w:r>
        <w:rPr>
          <w:b/>
        </w:rPr>
        <w:t xml:space="preserve">Approval. </w:t>
      </w:r>
      <w:r>
        <w:rPr>
          <w:b w:val="0"/>
        </w:rPr>
        <w:t>SOC 2 Type II: no deviation (report any to Ridgecrest). Audit-right modifications: GC approval.</w:t>
      </w:r>
    </w:p>
    <w:p>
      <w:pPr>
        <w:pStyle w:val="Heading2"/>
      </w:pPr>
      <w:r>
        <w:t>3.4  Issue 4: Security Incident notice: 72 hours from “confirmation”; incomplete content; no cost allocation</w:t>
      </w:r>
    </w:p>
    <w:p>
      <w:pPr>
        <w:spacing w:after="80"/>
      </w:pPr>
      <w:r>
        <w:rPr>
          <w:b/>
        </w:rPr>
        <w:t xml:space="preserve">Priority / Category: </w:t>
      </w:r>
      <w:r>
        <w:rPr>
          <w:b w:val="0"/>
        </w:rPr>
        <w:t xml:space="preserve">P1 - Critical / Category A   |   </w:t>
      </w:r>
      <w:r>
        <w:rPr>
          <w:b/>
        </w:rPr>
        <w:t xml:space="preserve">Agreement: </w:t>
      </w:r>
      <w:r>
        <w:rPr>
          <w:b w:val="0"/>
        </w:rPr>
        <w:t xml:space="preserve">MSA § 7.3; § 1.16   |   </w:t>
      </w:r>
      <w:r>
        <w:rPr>
          <w:b/>
        </w:rPr>
        <w:t xml:space="preserve">Playbook: </w:t>
      </w:r>
      <w:r>
        <w:rPr>
          <w:b w:val="0"/>
        </w:rPr>
        <w:t>Playbook § 7.3 (Required: timeline, content, cooperation and cost; Preferred: 12 hours, vendor bears all costs)</w:t>
      </w:r>
    </w:p>
    <w:p>
      <w:pPr>
        <w:spacing w:after="80"/>
      </w:pPr>
      <w:r>
        <w:rPr>
          <w:b/>
        </w:rPr>
        <w:t xml:space="preserve">Vaultline draft. </w:t>
      </w:r>
      <w:r>
        <w:rPr>
          <w:b w:val="0"/>
        </w:rPr>
        <w:t>Notice within 72 hours “of confirming the occurrence” of a Security Incident. Content omits whether PHI is involved/specific data elements and a designated vendor point of contact. Vaultline must “cooperate,” but bears no notification, credit-monitoring, forensic, or regulatory costs. “Security Incident” (§ 1.16) omits “destruction” of Customer Data.</w:t>
      </w:r>
    </w:p>
    <w:p>
      <w:pPr>
        <w:spacing w:after="80"/>
      </w:pPr>
      <w:r>
        <w:rPr>
          <w:b/>
        </w:rPr>
        <w:t xml:space="preserve">Playbook position. </w:t>
      </w:r>
      <w:r>
        <w:rPr>
          <w:b w:val="0"/>
        </w:rPr>
        <w:t>Notice within 24 hours of discovery, or of when Vaultline knew or reasonably should have known — triggered by discovery or reasonable belief, not confirmation. Content: nature/scope incl. categories and number of records; specific data elements incl. PHI; corrective actions; named point of contact; ongoing supplemental reports. Vendor bears notification, credit monitoring, forensics, regulatory response and remediation costs to the extent caused by its acts/omissions. Definition must include destruction. Preferred: 12 hours; vendor bears all costs regardless of fault.</w:t>
      </w:r>
    </w:p>
    <w:p>
      <w:pPr>
        <w:spacing w:after="80"/>
      </w:pPr>
      <w:r>
        <w:rPr>
          <w:b/>
        </w:rPr>
        <w:t xml:space="preserve">Gap analysis. </w:t>
      </w:r>
      <w:r>
        <w:rPr>
          <w:b w:val="0"/>
        </w:rPr>
        <w:t>Clock is 3x longer and starts at the wrong trigger (the “confirmation” standard the Playbook specifically rejects), so the effective delay is open-ended. Missing content elements and cost allocation. Definition gap on destruction (e.g., ransomware wiping data).</w:t>
      </w:r>
    </w:p>
    <w:p>
      <w:pPr>
        <w:spacing w:after="80"/>
      </w:pPr>
      <w:r>
        <w:rPr>
          <w:b/>
        </w:rPr>
        <w:t xml:space="preserve">Risk to Panorama. </w:t>
      </w:r>
      <w:r>
        <w:rPr>
          <w:b w:val="0"/>
        </w:rPr>
        <w:t>Critical. Panorama’s own HIPAA breach-notification clock (45 CFR § 164.404, 60 days from discovery, with discovery imputed when a business associate agent knows) and state-law clocks can run while Vaultline is still “confirming.” Costs of notifying patients from ~2.3 million annual encounters would fall on Panorama and, under § 12.2, may be unrecoverable as consequential damages.</w:t>
      </w:r>
    </w:p>
    <w:p>
      <w:pPr>
        <w:spacing w:after="80"/>
      </w:pPr>
      <w:r>
        <w:rPr>
          <w:b/>
        </w:rPr>
        <w:t xml:space="preserve">Recommended position. </w:t>
      </w:r>
      <w:r>
        <w:rPr>
          <w:b w:val="0"/>
        </w:rPr>
        <w:t>Open at Preferred (12 hours; vendor bears all costs). Accept no less than Required (24 hours from discovery/reasonable belief; fault-based cost allocation). Conform the BAA.</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Amend § 1.16 to add “destruction of, or loss of access to,” after “disclosure of,” and add “whether or not such event constitutes a ‘breach’ under HIPAA or state law.” Replace the first sentence of § 7.3 with: “Vaultline shall notify Customer in writing without unreasonable delay and in no event later than [twelve (12)] [twenty-four (24)] hours after Vaultline discovers, or reasonably believes, that a Security Incident has occurred (or the time at which Vaultline knew or reasonably should have known of such Security Incident).” Add to the content list: “(e) the specific data elements affected, including whether Protected Health Information was involved; and (f) the name, title, and contact information of Vaultline’s designated point of contact for the Security Incident.” Add: “To the extent a Security Incident results from the acts or omissions of Vaultline or its Subprocessors or a breach of this Agreement or the BAA, Vaultline shall reimburse Customer for all reasonable costs of investigation, forensic analysis, notification of individuals, regulators and media as required by law, call-center support, credit and identity monitoring for affected individuals for not less than twenty-four (24) months, regulatory response, and other remediation. Such costs shall be deemed direct damages.”</w:t>
            </w:r>
          </w:p>
        </w:tc>
      </w:tr>
    </w:tbl>
    <w:p>
      <w:pPr>
        <w:spacing w:after="0"/>
      </w:pPr>
    </w:p>
    <w:p>
      <w:pPr>
        <w:spacing w:after="60"/>
      </w:pPr>
      <w:r>
        <w:rPr>
          <w:b/>
        </w:rPr>
        <w:t xml:space="preserve">Fallback. </w:t>
      </w:r>
      <w:r>
        <w:rPr>
          <w:b w:val="0"/>
        </w:rPr>
        <w:t>Required minimum: 24 hours from discovery/reasonable belief and fault-based cost allocation. No fallback beyond that.</w:t>
      </w:r>
    </w:p>
    <w:p>
      <w:pPr>
        <w:spacing w:after="160"/>
      </w:pPr>
      <w:r>
        <w:rPr>
          <w:b/>
        </w:rPr>
        <w:t xml:space="preserve">Approval. </w:t>
      </w:r>
      <w:r>
        <w:rPr>
          <w:b w:val="0"/>
        </w:rPr>
        <w:t>Any notice period &gt;24 hours or confirmation trigger: GC approval (not recommended).</w:t>
      </w:r>
    </w:p>
    <w:p>
      <w:pPr>
        <w:pStyle w:val="Heading2"/>
      </w:pPr>
      <w:r>
        <w:t>3.5  Issue 5: Liability cap of six months’ fees “actually paid”; no uncapped carve-outs; unqualified consequential-damages waiver</w:t>
      </w:r>
    </w:p>
    <w:p>
      <w:pPr>
        <w:spacing w:after="80"/>
      </w:pPr>
      <w:r>
        <w:rPr>
          <w:b/>
        </w:rPr>
        <w:t xml:space="preserve">Priority / Category: </w:t>
      </w:r>
      <w:r>
        <w:rPr>
          <w:b w:val="0"/>
        </w:rPr>
        <w:t xml:space="preserve">P1 - Critical / Category A   |   </w:t>
      </w:r>
      <w:r>
        <w:rPr>
          <w:b/>
        </w:rPr>
        <w:t xml:space="preserve">Agreement: </w:t>
      </w:r>
      <w:r>
        <w:rPr>
          <w:b w:val="0"/>
        </w:rPr>
        <w:t xml:space="preserve">MSA §§ 12.1–12.4; § 10.2 (sole remedy); Exhibit B § B.5   |   </w:t>
      </w:r>
      <w:r>
        <w:rPr>
          <w:b/>
        </w:rPr>
        <w:t xml:space="preserve">Playbook: </w:t>
      </w:r>
      <w:r>
        <w:rPr>
          <w:b w:val="0"/>
        </w:rPr>
        <w:t>Playbook § 8.1 (Required: cap ≥ 2x trailing-12-month fees; uncapped categories; consequential carve-outs; Preferred: 3x and no waiver); § 16 (confidentiality carve-out)</w:t>
      </w:r>
    </w:p>
    <w:p>
      <w:pPr>
        <w:spacing w:after="80"/>
      </w:pPr>
      <w:r>
        <w:rPr>
          <w:b/>
        </w:rPr>
        <w:t xml:space="preserve">Vaultline draft. </w:t>
      </w:r>
      <w:r>
        <w:rPr>
          <w:b w:val="0"/>
        </w:rPr>
        <w:t>Mutual aggregate cap equal to fees “actually paid by Customer … in the six (6)-month period immediately preceding the event.” No exclusions from the cap. Mutual waiver of indirect, consequential, special, incidental and punitive damages and “any loss of … data,” with no carve-outs, applying even on failure of essential purpose.</w:t>
      </w:r>
    </w:p>
    <w:p>
      <w:pPr>
        <w:spacing w:after="80"/>
      </w:pPr>
      <w:r>
        <w:rPr>
          <w:b/>
        </w:rPr>
        <w:t xml:space="preserve">Playbook position. </w:t>
      </w:r>
      <w:r>
        <w:rPr>
          <w:b w:val="0"/>
        </w:rPr>
        <w:t>Cap no less than 2x the fees paid or payable in the 12 months preceding the event (minimum $2,280,000 on $1,140,000 annual fees; Preferred 3x = $3,420,000). Uncapped: (a) data protection/security/confidentiality breaches incl. Security Incidents; (b) IP indemnity; (c) confidentiality breach; (d) gross negligence/willful misconduct; (e) BAA obligations. Any consequential-damages waiver must carve out data breaches/Security Incidents, confidentiality breaches and IP indemnity.</w:t>
      </w:r>
    </w:p>
    <w:p>
      <w:pPr>
        <w:spacing w:after="80"/>
      </w:pPr>
      <w:r>
        <w:rPr>
          <w:b/>
        </w:rPr>
        <w:t xml:space="preserve">Gap analysis. </w:t>
      </w:r>
      <w:r>
        <w:rPr>
          <w:b w:val="0"/>
        </w:rPr>
        <w:t>The cap is roughly one quarter of the Required minimum on its face (6 months of $1,140,000 = $570,000 vs. $2,280,000). Worse, because fees are payable annually in advance (§ 3.2(b)) and the cap counts only fees “actually paid” in the prior six months, the cap would be approximately $0 for any claim arising roughly six months after each annual payment (e.g., an event in June–October 2025, when no payment has been made since mid-November 2024), and up to $1,425,000 for an event shortly after the Year 1 payments. None of the five Required uncapped categories is carved out, and the consequential waiver expressly bars recovery of lost data and would capture breach-notification, credit-monitoring, forensic and regulatory costs.</w:t>
      </w:r>
    </w:p>
    <w:p>
      <w:pPr>
        <w:spacing w:after="80"/>
      </w:pPr>
      <w:r>
        <w:rPr>
          <w:b/>
        </w:rPr>
        <w:t xml:space="preserve">Risk to Panorama. </w:t>
      </w:r>
      <w:r>
        <w:rPr>
          <w:b w:val="0"/>
        </w:rPr>
        <w:t>Critical. A material PHI breach involving data from ~2.3 million annual encounters could generate eight-figure costs; the draft effectively immunizes Vaultline from the harms most likely to result from its own breach, and limits the value of the IP indemnity.</w:t>
      </w:r>
    </w:p>
    <w:p>
      <w:pPr>
        <w:spacing w:after="80"/>
      </w:pPr>
      <w:r>
        <w:rPr>
          <w:b/>
        </w:rPr>
        <w:t xml:space="preserve">Recommended position. </w:t>
      </w:r>
      <w:r>
        <w:rPr>
          <w:b w:val="0"/>
        </w:rPr>
        <w:t>Open at Preferred: 3x trailing 12 months fees paid or payable; delete the consequential waiver or carve out all five categories. Required minimum: 2x with the five uncapped categories and three consequential carve-outs. Also strike “actually paid” and the six-month lookback, and carve the Customer’s payment obligations out of the mutual cap only if Vaultline insists on symmetry.</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12.1 with: “EXCEPT FOR EXCLUDED CLAIMS, EACH PARTY’S AGGREGATE LIABILITY ARISING OUT OF OR RELATED TO THIS AGREEMENT SHALL NOT EXCEED [THREE (3)] [TWO (2)] TIMES THE TOTAL FEES PAID OR PAYABLE BY CUSTOMER UNDER THIS AGREEMENT IN THE TWELVE (12) MONTH PERIOD IMMEDIATELY PRECEDING THE EVENT GIVING RISE TO THE CLAIM (OR, FOR CLAIMS ARISING IN THE FIRST CONTRACT YEAR, THE FEES PAYABLE FOR THE FIRST CONTRACT YEAR).” Add § 12.5: “‘Excluded Claims’ means (a) Vaultline’s breach of Section 7 (Data Protection and Security), Section 8 (Confidentiality), or the BAA, including any Security Incident; (b) Vaultline’s indemnification obligations under Section 10.1; (c) a party’s gross negligence, fraud, or willful misconduct; and (d) Vaultline’s obligations under the BAA. The limitations in Sections 12.1 and 12.2 shall not apply to Excluded Claims.” Amend § 12.2 to begin “EXCEPT FOR EXCLUDED CLAIMS,” and delete “DATA,” from the list of excluded losses.</w:t>
            </w:r>
          </w:p>
        </w:tc>
      </w:tr>
    </w:tbl>
    <w:p>
      <w:pPr>
        <w:spacing w:after="0"/>
      </w:pPr>
    </w:p>
    <w:p>
      <w:pPr>
        <w:spacing w:after="60"/>
      </w:pPr>
      <w:r>
        <w:rPr>
          <w:b/>
        </w:rPr>
        <w:t xml:space="preserve">Fallback. </w:t>
      </w:r>
      <w:r>
        <w:rPr>
          <w:b w:val="0"/>
        </w:rPr>
        <w:t>If Vaultline will not accept uncapped security exposure, a separate “super-cap” for data-breach claims is a deviation from a Required position requiring GC approval; it should be no less than the $10,000,000 cyber/E&amp;O insurance limit and paired with the Issue 6 insurance increase. IP indemnity, confidentiality, gross negligence/willful misconduct and BAA obligations should remain uncapped.</w:t>
      </w:r>
    </w:p>
    <w:p>
      <w:pPr>
        <w:spacing w:after="160"/>
      </w:pPr>
      <w:r>
        <w:rPr>
          <w:b/>
        </w:rPr>
        <w:t xml:space="preserve">Approval. </w:t>
      </w:r>
      <w:r>
        <w:rPr>
          <w:b w:val="0"/>
        </w:rPr>
        <w:t>Cap &lt;2x or any super-cap in lieu of uncapped categories: GC approval with risk-assessment memorandum.</w:t>
      </w:r>
    </w:p>
    <w:p>
      <w:pPr>
        <w:pStyle w:val="Heading2"/>
      </w:pPr>
      <w:r>
        <w:t>3.6  Issue 6: IP indemnity: combination carve-out negates coverage for the MedBridge EHR integration; Documentation carve-out; narrow scope</w:t>
      </w:r>
    </w:p>
    <w:p>
      <w:pPr>
        <w:spacing w:after="80"/>
      </w:pPr>
      <w:r>
        <w:rPr>
          <w:b/>
        </w:rPr>
        <w:t xml:space="preserve">Priority / Category: </w:t>
      </w:r>
      <w:r>
        <w:rPr>
          <w:b w:val="0"/>
        </w:rPr>
        <w:t xml:space="preserve">P1 - Critical / Category A   |   </w:t>
      </w:r>
      <w:r>
        <w:rPr>
          <w:b/>
        </w:rPr>
        <w:t xml:space="preserve">Agreement: </w:t>
      </w:r>
      <w:r>
        <w:rPr>
          <w:b w:val="0"/>
        </w:rPr>
        <w:t xml:space="preserve">MSA §§ 10.1, 10.2, 1.7; § 4.1(b); Exhibit A (Integration)   |   </w:t>
      </w:r>
      <w:r>
        <w:rPr>
          <w:b/>
        </w:rPr>
        <w:t xml:space="preserve">Playbook: </w:t>
      </w:r>
      <w:r>
        <w:rPr>
          <w:b w:val="0"/>
        </w:rPr>
        <w:t>Playbook § 8.2 (Required: Vendor IP Indemnity; No Carve-Outs for Authorized Use; Remediation; Preferred: full, uncapped, no carve-outs); § 8.1(b) (uncapped)</w:t>
      </w:r>
    </w:p>
    <w:p>
      <w:pPr>
        <w:spacing w:after="80"/>
      </w:pPr>
      <w:r>
        <w:rPr>
          <w:b/>
        </w:rPr>
        <w:t xml:space="preserve">Vaultline draft. </w:t>
      </w:r>
      <w:r>
        <w:rPr>
          <w:b w:val="0"/>
        </w:rPr>
        <w:t>Vaultline indemnifies Customer and its officers, directors, employees and agents (not Affiliates) only for claims that use of the Platform infringes a United States patent, copyright or trademark or misappropriates a trade secret, excluding claims arising from (i) unauthorized modification, (ii) “Customer’s combination of the Platform with any products, services, data, or technology not provided by Vaultline,” or (iii) use other than in accordance with the Documentation. Remedies in § 10.2 are at Vaultline’s option (“may”), and §§ 10.1–10.2 are the “sole and exclusive remedy” for IP Claims. The indemnity is subject to the six-month cap (Issue 5).</w:t>
      </w:r>
    </w:p>
    <w:p>
      <w:pPr>
        <w:spacing w:after="80"/>
      </w:pPr>
      <w:r>
        <w:rPr>
          <w:b/>
        </w:rPr>
        <w:t xml:space="preserve">Playbook position. </w:t>
      </w:r>
      <w:r>
        <w:rPr>
          <w:b w:val="0"/>
        </w:rPr>
        <w:t>Indemnity must cover Customer and its affiliates, officers, directors, employees and agents against claims that authorized use infringes or misappropriates any third-party IP right (patents, copyrights, trademarks, trade secrets, other proprietary rights). No carve-out may negate coverage for contemplated use; a combination carve-out is unacceptable where the platform is designed to integrate with third-party systems such as MedBridge EHR; a Documentation carve-out is acceptable only if the Documentation fully reflects the contracted use and integrations. Remediation must be mandatory (procure, modify, or terminate with pro-rata refund). IP indemnity must be uncapped.</w:t>
      </w:r>
    </w:p>
    <w:p>
      <w:pPr>
        <w:spacing w:after="80"/>
      </w:pPr>
      <w:r>
        <w:rPr>
          <w:b/>
        </w:rPr>
        <w:t xml:space="preserve">Gap analysis. </w:t>
      </w:r>
      <w:r>
        <w:rPr>
          <w:b w:val="0"/>
        </w:rPr>
        <w:t>The combination carve-out squarely captures the deal’s core use case. Per Derek, “the entire value proposition depends on Prism pulling data from MedBridge,” and under § 4.1(b) and the Order Form Vaultline itself builds the MedBridge interfaces using its “standard EHR connector module” — yet MedBridge EHR and Customer Data are “not provided by Vaultline,” so virtually any claim involving the integrated workflow could be excluded, rendering the indemnity illusory. The Documentation carve-out is tied to Vaultline’s generic Documentation “as updated by Vaultline from time to time” (§ 1.7), which does not describe Panorama’s integration and can be changed unilaterally. Coverage is US-only and excludes other proprietary rights; affiliates are not indemnitees; remediation is permissive; the indemnity is capped.</w:t>
      </w:r>
    </w:p>
    <w:p>
      <w:pPr>
        <w:spacing w:after="80"/>
      </w:pPr>
      <w:r>
        <w:rPr>
          <w:b/>
        </w:rPr>
        <w:t xml:space="preserve">Risk to Panorama. </w:t>
      </w:r>
      <w:r>
        <w:rPr>
          <w:b w:val="0"/>
        </w:rPr>
        <w:t>Critical (IP). Analytics/EHR-interoperability software is a frequent target of patent assertion. Without coverage for the integrated use, Panorama would bear defense costs and damages and could face injunction risk for a platform it does not control. Given the IP complexity, consider involving Thornfield &amp; Associates if Vaultline resists (Playbook § 3).</w:t>
      </w:r>
    </w:p>
    <w:p>
      <w:pPr>
        <w:spacing w:after="80"/>
      </w:pPr>
      <w:r>
        <w:rPr>
          <w:b/>
        </w:rPr>
        <w:t xml:space="preserve">Recommended position. </w:t>
      </w:r>
      <w:r>
        <w:rPr>
          <w:b w:val="0"/>
        </w:rPr>
        <w:t>Insist on full coverage for the contracted use including the MedBridge integration, Vaultline-provided connectors, and Customer Data as processed by the Platform. Limit the combination exclusion to combinations not provided, specified, recommended, or reasonably contemplated by Vaultline. Tie the Documentation exclusion to a fixed SOW/Documentation version that expressly describes the MedBridge integration. Make remediation mandatory and uncapped.</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Amend § 10.1: replace “officers, directors, employees, agents” with “Affiliates, and its and their officers, directors, employees, agents”; replace “infringes any United States patent, copyright, or trademark, or misappropriates any trade secret” with “infringes, misappropriates, or otherwise violates any patent, copyright, trademark, trade secret, or other intellectual property or proprietary right of a third party”; and replace exclusions (ii) and (iii) with: “(ii) the combination of the Platform with products, services, or technology not provided by Vaultline, where the claim would not have arisen but for such combination; provided that this clause (ii) shall not apply to any combination that is provided, specified, recommended, enabled, or approved by Vaultline or reasonably contemplated by this Agreement, the Order Form, any SOW, or the Documentation, including the integration of the Platform with MedBridge EHR and any other Customer system identified in the Order Form or SOW, Vaultline’s EHR connector modules, and the processing of Customer Data by the Platform; or (iii) Customer’s use of the Platform in material breach of this Agreement, provided that use in accordance with the Order Form, any SOW, or the Documentation as in effect on the Effective Date (which the parties agree accurately describes Customer’s contemplated use, including the MedBridge integration) shall not be excluded.” In § 10.2 replace “may, at its sole option” with “shall, at its option” and conform the refund to “prepaid, unused Fees calculated on a daily pro-rata basis, together with any unperformed Implementation Fees, within thirty (30) days.” Delete the “sole and exclusive remedy” sentence or limit it to the remedies for continued use. Add § 10.1 to the Excluded Claims in § 12.5.</w:t>
            </w:r>
          </w:p>
        </w:tc>
      </w:tr>
    </w:tbl>
    <w:p>
      <w:pPr>
        <w:spacing w:after="0"/>
      </w:pPr>
    </w:p>
    <w:p>
      <w:pPr>
        <w:spacing w:after="60"/>
      </w:pPr>
      <w:r>
        <w:rPr>
          <w:b/>
        </w:rPr>
        <w:t xml:space="preserve">Fallback. </w:t>
      </w:r>
      <w:r>
        <w:rPr>
          <w:b w:val="0"/>
        </w:rPr>
        <w:t>A documentation carve-out may stay if the Documentation (or an SOW exhibit) as of the Effective Date is frozen for indemnity purposes and specifically describes the MedBridge integration. A combination carve-out limited to genuinely uncontemplated third-party combinations is acceptable. Capping IP indemnity is a deviation from a Required position (GC approval).</w:t>
      </w:r>
    </w:p>
    <w:p>
      <w:pPr>
        <w:spacing w:after="160"/>
      </w:pPr>
      <w:r>
        <w:rPr>
          <w:b/>
        </w:rPr>
        <w:t xml:space="preserve">Approval. </w:t>
      </w:r>
      <w:r>
        <w:rPr>
          <w:b w:val="0"/>
        </w:rPr>
        <w:t>Any carve-out that reaches the MedBridge integration or any cap on IP indemnity: GC approval (not recommended).</w:t>
      </w:r>
    </w:p>
    <w:p>
      <w:pPr>
        <w:pStyle w:val="Heading2"/>
      </w:pPr>
      <w:r>
        <w:t>3.7  Issue 7: Cyber insurance $5M (vs. $10M); no Technology E&amp;O; 12-month tail; no additional insured; certificates only on request</w:t>
      </w:r>
    </w:p>
    <w:p>
      <w:pPr>
        <w:spacing w:after="80"/>
      </w:pPr>
      <w:r>
        <w:rPr>
          <w:b/>
        </w:rPr>
        <w:t xml:space="preserve">Priority / Category: </w:t>
      </w:r>
      <w:r>
        <w:rPr>
          <w:b w:val="0"/>
        </w:rPr>
        <w:t xml:space="preserve">P1 - Critical / Category A   |   </w:t>
      </w:r>
      <w:r>
        <w:rPr>
          <w:b/>
        </w:rPr>
        <w:t xml:space="preserve">Agreement: </w:t>
      </w:r>
      <w:r>
        <w:rPr>
          <w:b w:val="0"/>
        </w:rPr>
        <w:t xml:space="preserve">MSA §§ 13.1(c), 13.2; § 11.5(d)   |   </w:t>
      </w:r>
      <w:r>
        <w:rPr>
          <w:b/>
        </w:rPr>
        <w:t xml:space="preserve">Playbook: </w:t>
      </w:r>
      <w:r>
        <w:rPr>
          <w:b w:val="0"/>
        </w:rPr>
        <w:t>Playbook § 9 (Required: $10M combined cyber + Tech E&amp;O; coverages (a)–(e); additional insured/waiver of subrogation; COI on execution and annually; 30-day notice; 2-year tail; Preferred: $15M, A.M. Best A-); App. B (Ridgecrest $10M)</w:t>
      </w:r>
    </w:p>
    <w:p>
      <w:pPr>
        <w:spacing w:after="80"/>
      </w:pPr>
      <w:r>
        <w:rPr>
          <w:b/>
        </w:rPr>
        <w:t xml:space="preserve">Vaultline draft. </w:t>
      </w:r>
      <w:r>
        <w:rPr>
          <w:b w:val="0"/>
        </w:rPr>
        <w:t>Cyber liability of $5,000,000 per claim and aggregate (network security, privacy, breach notification, regulatory defense and penalties, media) from “Clearpoint Cyber Underwriters or a carrier of comparable financial strength”; CGL $2M/$4M; workers’ comp/employer’s liability. Coverage for 12 months post-term. Primary and non-contributory; 30-day notice of change. Certificates only “upon Customer’s written request.”</w:t>
      </w:r>
    </w:p>
    <w:p>
      <w:pPr>
        <w:spacing w:after="80"/>
      </w:pPr>
      <w:r>
        <w:rPr>
          <w:b/>
        </w:rPr>
        <w:t xml:space="preserve">Playbook position. </w:t>
      </w:r>
      <w:r>
        <w:rPr>
          <w:b w:val="0"/>
        </w:rPr>
        <w:t>Combined cyber + technology E&amp;O of at least $10,000,000 per occurrence and aggregate covering items (a)–(e) including tech E&amp;O; Panorama as additional insured (or waiver of subrogation); COI at execution and annually on the anniversary; 30 days’ notice; maintained through the Term plus 2 years. Preferred: $15M; A.M. Best A- or better.</w:t>
      </w:r>
    </w:p>
    <w:p>
      <w:pPr>
        <w:spacing w:after="80"/>
      </w:pPr>
      <w:r>
        <w:rPr>
          <w:b/>
        </w:rPr>
        <w:t xml:space="preserve">Gap analysis. </w:t>
      </w:r>
      <w:r>
        <w:rPr>
          <w:b w:val="0"/>
        </w:rPr>
        <w:t>Limit is 50% of the Required (and Ridgecrest-mandated) minimum; Technology E&amp;O is absent entirely (so failure-to-perform claims are uninsured); tail is 12 months vs. 2 years; no additional insured/waiver of subrogation; COI only on request. No carrier rating standard — we have no information on Clearpoint Cyber Underwriters’ A.M. Best rating, which should be verified. Also, § 13 survives only “solely with respect to claims arising during the Term,” which undercuts the tail.</w:t>
      </w:r>
    </w:p>
    <w:p>
      <w:pPr>
        <w:spacing w:after="80"/>
      </w:pPr>
      <w:r>
        <w:rPr>
          <w:b/>
        </w:rPr>
        <w:t xml:space="preserve">Risk to Panorama. </w:t>
      </w:r>
      <w:r>
        <w:rPr>
          <w:b w:val="0"/>
        </w:rPr>
        <w:t>Critical (Sponsor). $5M is thin relative to breach exposure for this PHI volume and the Liability position in Issue 5; must be flagged in the Ridgecrest quarterly compliance report if not cured.</w:t>
      </w:r>
    </w:p>
    <w:p>
      <w:pPr>
        <w:spacing w:after="80"/>
      </w:pPr>
      <w:r>
        <w:rPr>
          <w:b/>
        </w:rPr>
        <w:t xml:space="preserve">Recommended position. </w:t>
      </w:r>
      <w:r>
        <w:rPr>
          <w:b w:val="0"/>
        </w:rPr>
        <w:t>Require $10M combined cyber + tech E&amp;O (open at $15M with A- rating), additional insured status, COI at signing and annually, and 2-year tail. Add failure to maintain insurance as an immediate termination event (Issue 15).</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13.1(c) with: “(c) Cyber Liability and Technology Errors and Omissions Insurance, with combined limits of not less than [Fifteen] [Ten] Million Dollars ($[15,000,000] [10,000,000]) per occurrence/claim and in the aggregate, covering (i) network security and privacy liability, including unauthorized access to or acquisition, use, disclosure, or destruction of personally identifiable information and Protected Health Information; (ii) data breach response and notification costs, including individual notification, substitute notice, call-center services, credit monitoring, and identity theft insurance; (iii) regulatory defense costs, fines, penalties, and assessments to the extent insurable by law; (iv) media liability; and (v) technology errors and omissions.” Amend the lead-in to read “During the Term and for a period of two (2) years following the expiration or termination” and add: “All insurers shall have an A.M. Best rating of A- (VIII) or better. Vaultline shall cause Panorama Health Systems, Inc. to be named as an additional insured on the policy required by Section 13.1(c) or, if the carrier’s form does not permit, shall provide a waiver of subrogation in favor of Customer.” Replace § 13.2 first sentence: “Vaultline shall deliver certificates of insurance evidencing the required coverage upon execution of this Agreement and annually on each anniversary of the Effective Date.” Amend § 11.5(d) to delete “solely with respect to claims arising during the Term.”</w:t>
            </w:r>
          </w:p>
        </w:tc>
      </w:tr>
    </w:tbl>
    <w:p>
      <w:pPr>
        <w:spacing w:after="0"/>
      </w:pPr>
    </w:p>
    <w:p>
      <w:pPr>
        <w:spacing w:after="60"/>
      </w:pPr>
      <w:r>
        <w:rPr>
          <w:b/>
        </w:rPr>
        <w:t xml:space="preserve">Fallback. </w:t>
      </w:r>
      <w:r>
        <w:rPr>
          <w:b w:val="0"/>
        </w:rPr>
        <w:t>If Vaultline cannot place a single $10M tower immediately, accept separate cyber and tech E&amp;O policies that together equal $10M, with confirmation of a binder before the Effective Date. No fallback below $10M (Ridgecrest).</w:t>
      </w:r>
    </w:p>
    <w:p>
      <w:pPr>
        <w:spacing w:after="160"/>
      </w:pPr>
      <w:r>
        <w:rPr>
          <w:b/>
        </w:rPr>
        <w:t xml:space="preserve">Approval. </w:t>
      </w:r>
      <w:r>
        <w:rPr>
          <w:b w:val="0"/>
        </w:rPr>
        <w:t>Below $10M: not approvable without Ridgecrest reporting; GC approval required for any other deviation.</w:t>
      </w:r>
    </w:p>
    <w:p>
      <w:pPr>
        <w:pStyle w:val="Heading2"/>
      </w:pPr>
      <w:r>
        <w:t>3.8  Issue 8: Data return limited to 30-day self-service download; permissive deletion; no destruction certification</w:t>
      </w:r>
    </w:p>
    <w:p>
      <w:pPr>
        <w:spacing w:after="80"/>
      </w:pPr>
      <w:r>
        <w:rPr>
          <w:b/>
        </w:rPr>
        <w:t xml:space="preserve">Priority / Category: </w:t>
      </w:r>
      <w:r>
        <w:rPr>
          <w:b w:val="0"/>
        </w:rPr>
        <w:t xml:space="preserve">P1 - Critical / Category A   |   </w:t>
      </w:r>
      <w:r>
        <w:rPr>
          <w:b/>
        </w:rPr>
        <w:t xml:space="preserve">Agreement: </w:t>
      </w:r>
      <w:r>
        <w:rPr>
          <w:b w:val="0"/>
        </w:rPr>
        <w:t xml:space="preserve">MSA § 11.6; § 11.5(a); § 8.4   |   </w:t>
      </w:r>
      <w:r>
        <w:rPr>
          <w:b/>
        </w:rPr>
        <w:t xml:space="preserve">Playbook: </w:t>
      </w:r>
      <w:r>
        <w:rPr>
          <w:b w:val="0"/>
        </w:rPr>
        <w:t>Playbook § 6.2 (Required: Data Return; Data Destruction; Retention Exception; Preferred: Customer format, vendor bears costs); App. B (Ridgecrest)</w:t>
      </w:r>
    </w:p>
    <w:p>
      <w:pPr>
        <w:spacing w:after="80"/>
      </w:pPr>
      <w:r>
        <w:rPr>
          <w:b/>
        </w:rPr>
        <w:t xml:space="preserve">Vaultline draft. </w:t>
      </w:r>
      <w:r>
        <w:rPr>
          <w:b w:val="0"/>
        </w:rPr>
        <w:t>Upon termination Vaultline will “make Customer Data available for download through the Platform” for 30 days; afterwards Vaultline “may delete” Customer Data and has no liability for data not downloaded. No format, migration assistance, destruction obligation, NIST standard, or officer certification. Section 11.5(a) simultaneously provides that Customer’s access to the Platform ceases on termination, creating an internal conflict with the download right. Section 8.4 allows retention “as automatically retained in electronic backup or archival systems.”</w:t>
      </w:r>
    </w:p>
    <w:p>
      <w:pPr>
        <w:spacing w:after="80"/>
      </w:pPr>
      <w:r>
        <w:rPr>
          <w:b/>
        </w:rPr>
        <w:t xml:space="preserve">Playbook position. </w:t>
      </w:r>
      <w:r>
        <w:rPr>
          <w:b w:val="0"/>
        </w:rPr>
        <w:t>Vendor must return all Customer Data within 30 days in a commercially standard machine-readable format (CSV, JSON, XML, SQL) specified by Customer, with reasonable migration assistance at no cost or a fixed/capped cost; then mandatorily destroy all copies (including subprocessors/hosting providers, i.e., AWS) within the later of 60 days after termination or 30 days after completing return, using NIST SP 800-88 methods, with written certification signed by an officer. Retention only as strictly required by law, with notice and continued protection.</w:t>
      </w:r>
    </w:p>
    <w:p>
      <w:pPr>
        <w:spacing w:after="80"/>
      </w:pPr>
      <w:r>
        <w:rPr>
          <w:b/>
        </w:rPr>
        <w:t xml:space="preserve">Gap analysis. </w:t>
      </w:r>
      <w:r>
        <w:rPr>
          <w:b w:val="0"/>
        </w:rPr>
        <w:t>The draft shifts the entire burden of retrieval to Panorama, specifies no format, and uses the very “may delete” permissive language the Playbook prohibits. There is no destruction obligation or certification, and backups are carved out indefinitely. Section 11.5(a) may defeat even the 30-day download right.</w:t>
      </w:r>
    </w:p>
    <w:p>
      <w:pPr>
        <w:spacing w:after="80"/>
      </w:pPr>
      <w:r>
        <w:rPr>
          <w:b/>
        </w:rPr>
        <w:t xml:space="preserve">Risk to Panorama. </w:t>
      </w:r>
      <w:r>
        <w:rPr>
          <w:b w:val="0"/>
        </w:rPr>
        <w:t>Critical (Sponsor). Loss of clinical analytics history at exit; PHI lingering in Vaultline/AWS backups after termination; Ridgecrest flags this as critical for any future exit or portfolio-company sale.</w:t>
      </w:r>
    </w:p>
    <w:p>
      <w:pPr>
        <w:spacing w:after="80"/>
      </w:pPr>
      <w:r>
        <w:rPr>
          <w:b/>
        </w:rPr>
        <w:t xml:space="preserve">Recommended position. </w:t>
      </w:r>
      <w:r>
        <w:rPr>
          <w:b w:val="0"/>
        </w:rPr>
        <w:t>Replace § 11.6 with full return-and-destroy mechanics; conform § 11.5(a) to preserve access/transition during the return period; narrow the § 8.4 backup exception to legally required retention with notice and destruction on the backup rotation cycle.</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11.6 with: “11.6 Data Return and Destruction. (a) Within thirty (30) days after the effective date of expiration or termination for any reason, Vaultline shall return all Customer Data to Customer in a commercially standard, non-proprietary, machine-readable format (such as CSV, JSON, XML, or SQL database export) reasonably specified by Customer, and shall provide reasonable data-migration assistance at no additional charge. (b) Within the later of sixty (60) days after the effective date of expiration or termination or thirty (30) days after completion of the return under Section 11.6(a), Vaultline shall, and shall cause its Subprocessors to, permanently and irreversibly destroy all copies of Customer Data in their possession or control, including backups, using methods consistent with NIST Special Publication 800-88, and shall deliver to Customer a written certification of destruction signed by an officer of Vaultline. (c) Vaultline may retain Customer Data only to the extent strictly required by applicable law, shall promptly notify Customer of the legal basis, scope, and expected duration of such retention, and shall continue to protect retained Customer Data in accordance with Sections 7 and 8 and the BAA until destroyed.” Amend § 11.5(a) to add “except as necessary to perform Section 11.6.” Amend § 8.4 to provide that Customer Data is governed exclusively by § 11.6.</w:t>
            </w:r>
          </w:p>
        </w:tc>
      </w:tr>
    </w:tbl>
    <w:p>
      <w:pPr>
        <w:spacing w:after="0"/>
      </w:pPr>
    </w:p>
    <w:p>
      <w:pPr>
        <w:spacing w:after="60"/>
      </w:pPr>
      <w:r>
        <w:rPr>
          <w:b/>
        </w:rPr>
        <w:t xml:space="preserve">Fallback. </w:t>
      </w:r>
      <w:r>
        <w:rPr>
          <w:b w:val="0"/>
        </w:rPr>
        <w:t>If Vaultline seeks a fee for migration assistance beyond the standard export, accept only a fixed or capped fee stated in the Order Form (Required). Core return/destruction/certification terms have no fallback (Ridgecrest).</w:t>
      </w:r>
    </w:p>
    <w:p>
      <w:pPr>
        <w:spacing w:after="160"/>
      </w:pPr>
      <w:r>
        <w:rPr>
          <w:b/>
        </w:rPr>
        <w:t xml:space="preserve">Approval. </w:t>
      </w:r>
      <w:r>
        <w:rPr>
          <w:b w:val="0"/>
        </w:rPr>
        <w:t>No deviation on return/destruction/certification (Ridgecrest).</w:t>
      </w:r>
    </w:p>
    <w:p>
      <w:pPr>
        <w:pStyle w:val="Heading2"/>
      </w:pPr>
      <w:r>
        <w:t>3.9  Issue 9: Assignment clause permits assignment by merger, acquisition, or asset sale without consent</w:t>
      </w:r>
    </w:p>
    <w:p>
      <w:pPr>
        <w:spacing w:after="80"/>
      </w:pPr>
      <w:r>
        <w:rPr>
          <w:b/>
        </w:rPr>
        <w:t xml:space="preserve">Priority / Category: </w:t>
      </w:r>
      <w:r>
        <w:rPr>
          <w:b w:val="0"/>
        </w:rPr>
        <w:t xml:space="preserve">P1 - Critical / Category A   |   </w:t>
      </w:r>
      <w:r>
        <w:rPr>
          <w:b/>
        </w:rPr>
        <w:t xml:space="preserve">Agreement: </w:t>
      </w:r>
      <w:r>
        <w:rPr>
          <w:b w:val="0"/>
        </w:rPr>
        <w:t xml:space="preserve">MSA § 14.3; §§ 2.3, 7.1 (hosting/Subprocessors)   |   </w:t>
      </w:r>
      <w:r>
        <w:rPr>
          <w:b/>
        </w:rPr>
        <w:t xml:space="preserve">Playbook: </w:t>
      </w:r>
      <w:r>
        <w:rPr>
          <w:b w:val="0"/>
        </w:rPr>
        <w:t>Playbook § 11 (Required: Mutual Consent; Change of Control — no carve-out; Preferred: Customer termination right on CoC with pro-rata refund; Market Intelligence); § 10.3(d); App. B</w:t>
      </w:r>
    </w:p>
    <w:p>
      <w:pPr>
        <w:spacing w:after="80"/>
      </w:pPr>
      <w:r>
        <w:rPr>
          <w:b/>
        </w:rPr>
        <w:t xml:space="preserve">Vaultline draft. </w:t>
      </w:r>
      <w:r>
        <w:rPr>
          <w:b w:val="0"/>
        </w:rPr>
        <w:t>Mutual consent requirement (not to be unreasonably withheld), “provided, however, that either party may assign this Agreement without the other party’s consent in connection with a merger, acquisition, corporate reorganization, or sale of all or substantially all of its assets,” if the assignee agrees in writing to be bound.</w:t>
      </w:r>
    </w:p>
    <w:p>
      <w:pPr>
        <w:spacing w:after="80"/>
      </w:pPr>
      <w:r>
        <w:rPr>
          <w:b/>
        </w:rPr>
        <w:t xml:space="preserve">Playbook position. </w:t>
      </w:r>
      <w:r>
        <w:rPr>
          <w:b w:val="0"/>
        </w:rPr>
        <w:t>Vendor may not assign, including by operation of law, merger, consolidation, acquisition, reorganization, or sale of substantially all assets or equity, without Customer’s prior written consent (reasonable discretion). No CoC carve-out. Preferred: Customer termination right on any vendor CoC (consented or not) with pro-rata refund. Unconsented CoC is an immediate-termination event (§ 10.3(d)).</w:t>
      </w:r>
    </w:p>
    <w:p>
      <w:pPr>
        <w:spacing w:after="80"/>
      </w:pPr>
      <w:r>
        <w:rPr>
          <w:b/>
        </w:rPr>
        <w:t xml:space="preserve">Gap analysis. </w:t>
      </w:r>
      <w:r>
        <w:rPr>
          <w:b w:val="0"/>
        </w:rPr>
        <w:t>This is the precise carve-out the Playbook calls “a common vendor drafting approach that effectively eliminates the Customer’s consent right in the most consequential assignment scenario.” The clause also does not address a change of control of Vaultline by stock sale (no “assignment” occurs at all), and there is no CoC termination right. Market intelligence (HealthTech Weekly profile; ~$72M ARR, ~320 employees) identifies Vaultline as a likely bolt-on acquisition target. Derek also wants the AWS us-east-1/us-west-2 hosting commitment to survive any CoC: § 7.1 restricts processing to the U.S. only and § 2.3 permits Subprocessor changes on 30 days’ notice with no objection right.</w:t>
      </w:r>
    </w:p>
    <w:p>
      <w:pPr>
        <w:spacing w:after="80"/>
      </w:pPr>
      <w:r>
        <w:rPr>
          <w:b/>
        </w:rPr>
        <w:t xml:space="preserve">Risk to Panorama. </w:t>
      </w:r>
      <w:r>
        <w:rPr>
          <w:b w:val="0"/>
        </w:rPr>
        <w:t>Critical (Sponsor). Product rationalization or discontinuation post-acquisition; migration to a different cloud/hosting provider; assignment to a less creditworthy or competitor-affiliated entity; support degradation (Playbook § 11 rationale).</w:t>
      </w:r>
    </w:p>
    <w:p>
      <w:pPr>
        <w:spacing w:after="80"/>
      </w:pPr>
      <w:r>
        <w:rPr>
          <w:b/>
        </w:rPr>
        <w:t xml:space="preserve">Recommended position. </w:t>
      </w:r>
      <w:r>
        <w:rPr>
          <w:b w:val="0"/>
        </w:rPr>
        <w:t>Delete the proviso; add an express change-of-control definition and consent right, a Customer termination right with pro-rata refund on any CoC, and a covenant that hosting regions and the Subprocessor list cannot change (including post-CoC) without Customer consent. Pair with source code escrow (Issue 10). Note the clause is mutual: Panorama will want to preserve its own ability to assign to an Affiliate or successor (e.g., a Ridgecrest exit) — seek a one-way carve-out for Customer.</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the proviso in § 14.3 with: “Vaultline shall not assign, delegate, or otherwise transfer this Agreement or any of its rights or obligations hereunder, whether voluntarily, by operation of law, or in connection with any merger, consolidation, acquisition, reorganization, change of control, or sale of all or substantially all of its assets or equity, without Customer’s prior written consent, which Customer may withhold in its reasonable discretion. A ‘Change of Control’ of Vaultline (any transaction or series of transactions resulting in a person or group acquiring control of Vaultline, as ‘control’ is defined in Section 1.1) shall be deemed an assignment for purposes of this Section. Vaultline shall provide Customer written notice of any Change of Control within ten (10) days after its announcement. Customer may terminate this Agreement upon written notice given within one hundred eighty (180) days after receipt of such notice, whether or not Customer consented, and Vaultline shall refund all prepaid, unused Fees on a daily pro-rata basis within thirty (30) days. Customer may assign this Agreement without consent to an Affiliate or to a successor to all or substantially all of its business or assets to which this Agreement relates.” Add to § 7.1: “Vaultline shall not change the hosting provider or hosting regions for Customer Data (currently AWS us-east-1 and us-west-2), including following any Change of Control, without Customer’s prior written consent.” Add to § 2.3 a right for Customer to object to a new Subprocessor on reasonable grounds and to terminate with a pro-rata refund if the objection is not resolved.</w:t>
            </w:r>
          </w:p>
        </w:tc>
      </w:tr>
    </w:tbl>
    <w:p>
      <w:pPr>
        <w:spacing w:after="0"/>
      </w:pPr>
    </w:p>
    <w:p>
      <w:pPr>
        <w:spacing w:after="60"/>
      </w:pPr>
      <w:r>
        <w:rPr>
          <w:b/>
        </w:rPr>
        <w:t xml:space="preserve">Fallback. </w:t>
      </w:r>
      <w:r>
        <w:rPr>
          <w:b w:val="0"/>
        </w:rPr>
        <w:t>Consent right with no CoC carve-out is Required/Ridgecrest (no fallback). The CoC termination right (Preferred) can be traded, e.g., limited to CoC by a competitor of Customer or followed by material product changes, if needed to secure the consent right and escrow.</w:t>
      </w:r>
    </w:p>
    <w:p>
      <w:pPr>
        <w:spacing w:after="160"/>
      </w:pPr>
      <w:r>
        <w:rPr>
          <w:b/>
        </w:rPr>
        <w:t xml:space="preserve">Approval. </w:t>
      </w:r>
      <w:r>
        <w:rPr>
          <w:b w:val="0"/>
        </w:rPr>
        <w:t>Any CoC carve-out: not approvable (Ridgecrest). Dropping the Preferred termination right: document rationale.</w:t>
      </w:r>
    </w:p>
    <w:p>
      <w:pPr>
        <w:pStyle w:val="Heading2"/>
      </w:pPr>
      <w:r>
        <w:t>3.10  Issue 10: No source code escrow (Vaultline ARR ~ $72M, below $100M threshold)</w:t>
      </w:r>
    </w:p>
    <w:p>
      <w:pPr>
        <w:spacing w:after="80"/>
      </w:pPr>
      <w:r>
        <w:rPr>
          <w:b/>
        </w:rPr>
        <w:t xml:space="preserve">Priority / Category: </w:t>
      </w:r>
      <w:r>
        <w:rPr>
          <w:b w:val="0"/>
        </w:rPr>
        <w:t xml:space="preserve">P1 - Critical / Category A   |   </w:t>
      </w:r>
      <w:r>
        <w:rPr>
          <w:b/>
        </w:rPr>
        <w:t xml:space="preserve">Agreement: </w:t>
      </w:r>
      <w:r>
        <w:rPr>
          <w:b w:val="0"/>
        </w:rPr>
        <w:t xml:space="preserve">None (MSA silent); § 6.1 (no license to run Platform software)   |   </w:t>
      </w:r>
      <w:r>
        <w:rPr>
          <w:b/>
        </w:rPr>
        <w:t xml:space="preserve">Playbook: </w:t>
      </w:r>
      <w:r>
        <w:rPr>
          <w:b w:val="0"/>
        </w:rPr>
        <w:t>Playbook § 13 (Required: escrow for vendors with ARR &lt; $100M; deposits, documentation, release triggers, license on release; Preferred: universal escrow, quarterly updates)</w:t>
      </w:r>
    </w:p>
    <w:p>
      <w:pPr>
        <w:spacing w:after="80"/>
      </w:pPr>
      <w:r>
        <w:rPr>
          <w:b/>
        </w:rPr>
        <w:t xml:space="preserve">Vaultline draft. </w:t>
      </w:r>
      <w:r>
        <w:rPr>
          <w:b w:val="0"/>
        </w:rPr>
        <w:t>The MSA contains no escrow provision. Section 6.1 states that Customer receives no license to install, copy, or run the Platform software.</w:t>
      </w:r>
    </w:p>
    <w:p>
      <w:pPr>
        <w:spacing w:after="80"/>
      </w:pPr>
      <w:r>
        <w:rPr>
          <w:b/>
        </w:rPr>
        <w:t xml:space="preserve">Playbook position. </w:t>
      </w:r>
      <w:r>
        <w:rPr>
          <w:b w:val="0"/>
        </w:rPr>
        <w:t>Escrow with an independent agent (e.g., Iron Mountain, EscrowTech) including complete current source code with libraries and third-party components, re-deposited at least semi-annually (Preferred: quarterly), plus build instructions, configuration files, database schemas and API documentation; release on (i) insolvency/bankruptcy/assignment for benefit of creditors, (ii) material uncured breach, (iii) announced discontinuation/end-of-life, (iv) failure to support for &gt;60 consecutive days absent force majeure; perpetual, irrevocable, royalty-free, non-exclusive internal-use license on release.</w:t>
      </w:r>
    </w:p>
    <w:p>
      <w:pPr>
        <w:spacing w:after="80"/>
      </w:pPr>
      <w:r>
        <w:rPr>
          <w:b/>
        </w:rPr>
        <w:t xml:space="preserve">Gap analysis. </w:t>
      </w:r>
      <w:r>
        <w:rPr>
          <w:b w:val="0"/>
        </w:rPr>
        <w:t>Requirement is fully triggered: reported ARR ~ $72M is well below $100M, and the acquisition-target profile is the scenario the Playbook rationale describes (post-acquisition product discontinuation). Note: ARR figure comes from trade press (HealthTech Weekly) and should be confirmed with Vaultline; the requirement applies regardless if ARR is confirmed below $100M.</w:t>
      </w:r>
    </w:p>
    <w:p>
      <w:pPr>
        <w:spacing w:after="80"/>
      </w:pPr>
      <w:r>
        <w:rPr>
          <w:b/>
        </w:rPr>
        <w:t xml:space="preserve">Risk to Panorama. </w:t>
      </w:r>
      <w:r>
        <w:rPr>
          <w:b w:val="0"/>
        </w:rPr>
        <w:t>Critical (continuity). Loss of clinical analytics and regulatory reporting across 14 clinics if Vaultline fails or the acquirer sunsets Prism. Because Prism is SaaS, the escrow should include deployment materials sufficient to stand up the environment (e.g., infrastructure-as-code for AWS) — source code alone may not ensure continuity.</w:t>
      </w:r>
    </w:p>
    <w:p>
      <w:pPr>
        <w:spacing w:after="80"/>
      </w:pPr>
      <w:r>
        <w:rPr>
          <w:b/>
        </w:rPr>
        <w:t xml:space="preserve">Recommended position. </w:t>
      </w:r>
      <w:r>
        <w:rPr>
          <w:b w:val="0"/>
        </w:rPr>
        <w:t>Add a new Section 15 (Source Code Escrow) and a three-party escrow agreement as Exhibit D, executed within 30 days of the Effective Date, with an initial deposit and verification; carve the escrow license out of § 6.1. Fees: seek Vaultline-borne; acceptable for Panorama to bear the modest cost if needed.</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New § 15: “15.1 Escrow. Within thirty (30) days after the Effective Date, Vaultline shall enter into a three-party source code escrow agreement with Customer and [Iron Mountain Intellectual Property Management, Inc. / EscrowTech] (the ‘Escrow Agent’), substantially in the form of Exhibit D, and shall deposit (a) the complete source code for the current version of the Platform, including all libraries, modules, frameworks, and Third-Party Components necessary to build and operate the Platform, and (b) build instructions, compilation procedures, configuration files, infrastructure-as-code and deployment scripts, database schemas, API documentation, and all other materials necessary to compile, deploy, configure, and operate the Platform in a production environment (the ‘Deposit Materials’). Vaultline shall update the Deposit Materials at least [quarterly] [semi-annually] and upon each major release. 15.2 Release Conditions. The Deposit Materials shall be released to Customer upon: (i) Vaultline’s insolvency, voluntary or involuntary bankruptcy filing, or assignment for the benefit of creditors; (ii) Vaultline’s material breach of this Agreement that remains uncured after the applicable cure period; (iii) Vaultline’s (or its successor’s) public announcement of discontinuation or end-of-life of the Platform; or (iv) Vaultline’s failure to provide support and maintenance for more than sixty (60) consecutive days other than due to a Force Majeure Event. 15.3 License. Upon release, Vaultline grants Customer a non-exclusive, perpetual, irrevocable, royalty-free license to use, copy, modify, and maintain the Deposit Materials solely for Customer’s internal business purposes. This license is a license of ‘intellectual property’ for purposes of Section 365(n) of the U.S. Bankruptcy Code.” Amend § 6.1 last sentence to add “except as provided in Section 15.”</w:t>
            </w:r>
          </w:p>
        </w:tc>
      </w:tr>
    </w:tbl>
    <w:p>
      <w:pPr>
        <w:spacing w:after="0"/>
      </w:pPr>
    </w:p>
    <w:p>
      <w:pPr>
        <w:spacing w:after="60"/>
      </w:pPr>
      <w:r>
        <w:rPr>
          <w:b/>
        </w:rPr>
        <w:t xml:space="preserve">Fallback. </w:t>
      </w:r>
      <w:r>
        <w:rPr>
          <w:b w:val="0"/>
        </w:rPr>
        <w:t>Semi-annual deposits (Required) instead of quarterly (Preferred). Cost-sharing of escrow fees acceptable. Release triggers (i)–(iv) and the license are Required.</w:t>
      </w:r>
    </w:p>
    <w:p>
      <w:pPr>
        <w:spacing w:after="160"/>
      </w:pPr>
      <w:r>
        <w:rPr>
          <w:b/>
        </w:rPr>
        <w:t xml:space="preserve">Approval. </w:t>
      </w:r>
      <w:r>
        <w:rPr>
          <w:b w:val="0"/>
        </w:rPr>
        <w:t>Omission of escrow or any release trigger: GC approval (not recommended).</w:t>
      </w:r>
    </w:p>
    <w:p>
      <w:pPr>
        <w:pStyle w:val="Heading2"/>
      </w:pPr>
      <w:r>
        <w:t>3.11  Issue 11: Vendor-only termination for convenience (180 days); no Customer termination for convenience</w:t>
      </w:r>
    </w:p>
    <w:p>
      <w:pPr>
        <w:spacing w:after="80"/>
      </w:pPr>
      <w:r>
        <w:rPr>
          <w:b/>
        </w:rPr>
        <w:t xml:space="preserve">Priority / Category: </w:t>
      </w:r>
      <w:r>
        <w:rPr>
          <w:b w:val="0"/>
        </w:rPr>
        <w:t xml:space="preserve">P1 - Critical / Category A   |   </w:t>
      </w:r>
      <w:r>
        <w:rPr>
          <w:b/>
        </w:rPr>
        <w:t xml:space="preserve">Agreement: </w:t>
      </w:r>
      <w:r>
        <w:rPr>
          <w:b w:val="0"/>
        </w:rPr>
        <w:t xml:space="preserve">MSA § 11.4; § 11.5(b)   |   </w:t>
      </w:r>
      <w:r>
        <w:rPr>
          <w:b/>
        </w:rPr>
        <w:t xml:space="preserve">Playbook: </w:t>
      </w:r>
      <w:r>
        <w:rPr>
          <w:b w:val="0"/>
        </w:rPr>
        <w:t>Playbook § 10.1 (Required: Customer TfC on 90 days with pro-rata refund; Preferred: 60 days; Non-Negotiable: vendor-only TfC never acceptable); § 4.3</w:t>
      </w:r>
    </w:p>
    <w:p>
      <w:pPr>
        <w:spacing w:after="80"/>
      </w:pPr>
      <w:r>
        <w:rPr>
          <w:b/>
        </w:rPr>
        <w:t xml:space="preserve">Vaultline draft. </w:t>
      </w:r>
      <w:r>
        <w:rPr>
          <w:b w:val="0"/>
        </w:rPr>
        <w:t>“Vaultline may terminate this Agreement for convenience upon one hundred eighty (180) days’ prior written notice to Customer.” Customer has no equivalent right. On termination, Customer must pay fees for “the then-current billing period” (§ 11.5(b)) and no refund is provided.</w:t>
      </w:r>
    </w:p>
    <w:p>
      <w:pPr>
        <w:spacing w:after="80"/>
      </w:pPr>
      <w:r>
        <w:rPr>
          <w:b/>
        </w:rPr>
        <w:t xml:space="preserve">Playbook position. </w:t>
      </w:r>
      <w:r>
        <w:rPr>
          <w:b w:val="0"/>
        </w:rPr>
        <w:t>Customer must have TfC at any time on 90 days’ notice (Preferred 60) with daily pro-rata refund of prepaid unused fees within 30 days. Vendor-only TfC is “never acceptable” and must be rejected.</w:t>
      </w:r>
    </w:p>
    <w:p>
      <w:pPr>
        <w:spacing w:after="80"/>
      </w:pPr>
      <w:r>
        <w:rPr>
          <w:b/>
        </w:rPr>
        <w:t xml:space="preserve">Gap analysis. </w:t>
      </w:r>
      <w:r>
        <w:rPr>
          <w:b w:val="0"/>
        </w:rPr>
        <w:t>Inverts the Playbook’s non-negotiable position. Vaultline could exit a three-year, $3.7M commitment mid-implementation or post-acquisition with 180 days’ notice, and with Customer having prepaid annual fees and no refund right.</w:t>
      </w:r>
    </w:p>
    <w:p>
      <w:pPr>
        <w:spacing w:after="80"/>
      </w:pPr>
      <w:r>
        <w:rPr>
          <w:b/>
        </w:rPr>
        <w:t xml:space="preserve">Risk to Panorama. </w:t>
      </w:r>
      <w:r>
        <w:rPr>
          <w:b w:val="0"/>
        </w:rPr>
        <w:t>Critical. Loss of a mission-critical clinical analytics platform with limited transition time; stranded implementation investment ($285,000); compounding effect with CoC risk (an acquirer could simply terminate).</w:t>
      </w:r>
    </w:p>
    <w:p>
      <w:pPr>
        <w:spacing w:after="80"/>
      </w:pPr>
      <w:r>
        <w:rPr>
          <w:b/>
        </w:rPr>
        <w:t xml:space="preserve">Recommended position. </w:t>
      </w:r>
      <w:r>
        <w:rPr>
          <w:b w:val="0"/>
        </w:rPr>
        <w:t>Delete Vaultline’s TfC. Add Customer TfC on 60 days (open)/90 days (Required) with pro-rata refund. If Vaultline insists on any vendor exit right, it must be mutual and no shorter than the Initial Term (i.e., exercisable only at renewal) — but the Playbook permits at most a mutual right, so any vendor TfC requires GC sign-off.</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11.4 with: “11.4 Termination for Convenience. Customer may terminate this Agreement, or any Order Form, for convenience at any time upon [sixty (60)] [ninety (90)] days’ prior written notice to Vaultline. Upon any such termination, Vaultline shall refund to Customer, within thirty (30) days after the effective date of termination, all prepaid Fees attributable to the period following the effective date of termination, calculated on a daily pro-rata basis, together with any Implementation Fees for Implementation Services not fully performed as of the effective date of termination.” Amend § 11.5(b) to read: “Customer shall pay all undisputed Fees accrued for Platform access and Services provided through the effective date of termination, and Vaultline shall issue any refund required by this Agreement.”</w:t>
            </w:r>
          </w:p>
        </w:tc>
      </w:tr>
    </w:tbl>
    <w:p>
      <w:pPr>
        <w:spacing w:after="0"/>
      </w:pPr>
    </w:p>
    <w:p>
      <w:pPr>
        <w:spacing w:after="60"/>
      </w:pPr>
      <w:r>
        <w:rPr>
          <w:b/>
        </w:rPr>
        <w:t xml:space="preserve">Fallback. </w:t>
      </w:r>
      <w:r>
        <w:rPr>
          <w:b w:val="0"/>
        </w:rPr>
        <w:t>90-day notice (Required). A mutual TfC is the outer limit of acceptability under the Playbook; given the implementation investment and PHI migration burden, a vendor TfC (even mutual) is not recommended.</w:t>
      </w:r>
    </w:p>
    <w:p>
      <w:pPr>
        <w:spacing w:after="160"/>
      </w:pPr>
      <w:r>
        <w:rPr>
          <w:b/>
        </w:rPr>
        <w:t xml:space="preserve">Approval. </w:t>
      </w:r>
      <w:r>
        <w:rPr>
          <w:b w:val="0"/>
        </w:rPr>
        <w:t>Any vendor TfC: GC approval; vendor-only TfC is non-negotiable and must be rejected.</w:t>
      </w:r>
    </w:p>
    <w:p>
      <w:pPr>
        <w:pStyle w:val="Heading2"/>
      </w:pPr>
      <w:r>
        <w:t>3.12  Issue 12: SLA: 99.5% “commercially reasonable efforts”; 8 hours/week maintenance exclusion; 2%-per-1% credits on claim; 10% cap; sole remedy; no reporting</w:t>
      </w:r>
    </w:p>
    <w:p>
      <w:pPr>
        <w:spacing w:after="80"/>
      </w:pPr>
      <w:r>
        <w:rPr>
          <w:b/>
        </w:rPr>
        <w:t xml:space="preserve">Priority / Category: </w:t>
      </w:r>
      <w:r>
        <w:rPr>
          <w:b w:val="0"/>
        </w:rPr>
        <w:t xml:space="preserve">P2 - High / Category A   |   </w:t>
      </w:r>
      <w:r>
        <w:rPr>
          <w:b/>
        </w:rPr>
        <w:t xml:space="preserve">Agreement: </w:t>
      </w:r>
      <w:r>
        <w:rPr>
          <w:b w:val="0"/>
        </w:rPr>
        <w:t xml:space="preserve">Exhibit B §§ B.1–B.6; MSA §§ 5.3, 5.4, 14.6   |   </w:t>
      </w:r>
      <w:r>
        <w:rPr>
          <w:b/>
        </w:rPr>
        <w:t xml:space="preserve">Playbook: </w:t>
      </w:r>
      <w:r>
        <w:rPr>
          <w:b w:val="0"/>
        </w:rPr>
        <w:t>Playbook § 5.1–5.5 (Required: 99.9%; maintenance conditions; credits; reporting; Preferred: chronic-failure termination)</w:t>
      </w:r>
    </w:p>
    <w:p>
      <w:pPr>
        <w:spacing w:after="80"/>
      </w:pPr>
      <w:r>
        <w:rPr>
          <w:b/>
        </w:rPr>
        <w:t xml:space="preserve">Vaultline draft. </w:t>
      </w:r>
      <w:r>
        <w:rPr>
          <w:b w:val="0"/>
        </w:rPr>
        <w:t>Vaultline “shall use commercially reasonable efforts” to achieve 99.5% monthly uptime, starting the first full month after the Deployment Date. Downtime excludes scheduled maintenance of up to 8 hours per week (which Vaultline “shall endeavor” but “is not obligated” to schedule 10 PM–6 AM CT), Force Majeure Events (including hosting-provider failures, § 14.4), and beta features; measured by Vaultline’s monitoring, which controls. Credits: 2% of monthly fee per full 1% below 99.5%, only on written claim within 15 business days with logs, capped at 10% of the monthly fee, expiring the following month, and the sole and exclusive remedy (B.3, B.5). Support response times are expressly non-binding. Under § 14.6 Exhibits control over the MSA.</w:t>
      </w:r>
    </w:p>
    <w:p>
      <w:pPr>
        <w:spacing w:after="80"/>
      </w:pPr>
      <w:r>
        <w:rPr>
          <w:b/>
        </w:rPr>
        <w:t xml:space="preserve">Playbook position. </w:t>
      </w:r>
      <w:r>
        <w:rPr>
          <w:b w:val="0"/>
        </w:rPr>
        <w:t>Guaranteed 99.9% monthly uptime; downtime includes material degradation regardless of cause; maintenance excluded only if in a pre-agreed window of ≤ 4 hours/month, with 72 hours’ notice, outside 7 AM–7 PM CT Mon–Fri; credits of 5% of monthly fee per 0.1% below 99.9%, automatic, capped at 30% of monthly fee, not the exclusive remedy; monthly reports within 10 business days with audit of methodology. Preferred: termination for cause if uptime &lt; 98.0% in any 3 months of a rolling 12.</w:t>
      </w:r>
    </w:p>
    <w:p>
      <w:pPr>
        <w:spacing w:after="80"/>
      </w:pPr>
      <w:r>
        <w:rPr>
          <w:b/>
        </w:rPr>
        <w:t xml:space="preserve">Gap analysis. </w:t>
      </w:r>
      <w:r>
        <w:rPr>
          <w:b w:val="0"/>
        </w:rPr>
        <w:t>Every Required SLA element deviates. The maintenance exclusion alone permits ~34.7 hours/month (8 x 52 / 12) of excluded downtime; together with the 0.5% allowance (~3.6 hours in a 30-day month) the platform could be unavailable ~38 hours a month (~94.7% actual availability) without any credit — well below the 98% chronic-failure threshold. Credit illustration (monthly fee $95,000): at 98.6% actual uptime, the draft yields $0 (0.9% shortfall is less than one full point); the Playbook yields 30% (cap) = $28,500. The maximum credit in any month under the draft is $9,500. Hosting failures excluded via force majeure would nullify the SLA for the most likely outage cause (AWS).</w:t>
      </w:r>
    </w:p>
    <w:p>
      <w:pPr>
        <w:spacing w:after="80"/>
      </w:pPr>
      <w:r>
        <w:rPr>
          <w:b/>
        </w:rPr>
        <w:t xml:space="preserve">Risk to Panorama. </w:t>
      </w:r>
      <w:r>
        <w:rPr>
          <w:b w:val="0"/>
        </w:rPr>
        <w:t>High. Clinical-workflow disruption across 14 clinics; no meaningful financial incentive; sole-remedy clause plus § 14.6 precedence could bar damages or termination for chronic outages.</w:t>
      </w:r>
    </w:p>
    <w:p>
      <w:pPr>
        <w:spacing w:after="80"/>
      </w:pPr>
      <w:r>
        <w:rPr>
          <w:b/>
        </w:rPr>
        <w:t xml:space="preserve">Recommended position. </w:t>
      </w:r>
      <w:r>
        <w:rPr>
          <w:b w:val="0"/>
        </w:rPr>
        <w:t>Replace Exhibit B §§ B.1–B.5 with the Playbook SLA; delete “commercially reasonable efforts”; remove Force Majeure/hosting from the downtime exclusions; independent monitoring or Customer audit of Vaultline’s monitoring data; add chronic-failure termination with refund; convert Severity 1/2 response targets into binding commitments with 24x7 coverage for Severity 1 (clinical environment). Fix order of precedence so the MSA (and BAA) control over Exhibits (Playbook § 17).</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B.1: “Vaultline shall make the Platform Available at least 99.9% of the time in each calendar month (the ‘Uptime Commitment’).” B.2(a): “Scheduled maintenance that (i) occurs within a pre-defined maintenance window agreed by the parties not exceeding four (4) hours per calendar month in the aggregate, (ii) is notified to Customer in writing at least seventy-two (72) hours in advance (date, start time, duration, nature), and (iii) occurs outside 7:00 AM to 7:00 PM Central Time, Monday through Friday (excluding federal holidays). All other maintenance, including emergency maintenance, is Downtime.” Delete B.2(c). B.3: “For each 0.1% (or part thereof) by which the Monthly Uptime Percentage falls below 99.9%, Vaultline shall credit Customer five percent (5%) of the monthly Subscription Fee, applied automatically to the next invoice (or refunded if no further invoice is due) without any claim by Customer.” B.4: replace 10% with 30% and delete the expiry sentence. B.5: “Service Credits are a price adjustment and are not Customer’s sole or exclusive remedy.” New B.7 (Reporting): monthly report within ten (10) business days (downtime minutes, cause and duration of each event, maintenance exclusions claimed, calculated uptime) and Customer audit right over the monitoring methodology and data. New B.8 (Chronic Failure): “If the Monthly Uptime Percentage is below 98.0% in any three (3) months within a rolling twelve (12)-month period, Customer may terminate this Agreement for cause without a cure period and receive a pro-rata refund of prepaid, unused Fees.” Amend § 14.6 order of precedence (see Issue 23).</w:t>
            </w:r>
          </w:p>
        </w:tc>
      </w:tr>
    </w:tbl>
    <w:p>
      <w:pPr>
        <w:spacing w:after="0"/>
      </w:pPr>
    </w:p>
    <w:p>
      <w:pPr>
        <w:spacing w:after="60"/>
      </w:pPr>
      <w:r>
        <w:rPr>
          <w:b/>
        </w:rPr>
        <w:t xml:space="preserve">Fallback. </w:t>
      </w:r>
      <w:r>
        <w:rPr>
          <w:b w:val="0"/>
        </w:rPr>
        <w:t>None on the Required elements (99.9%, 4-hour window, 5%/0.1%, automatic credits, 30% cap, non-exclusive remedy, reporting). The chronic-failure termination trigger is Preferred and may be traded if necessary.</w:t>
      </w:r>
    </w:p>
    <w:p>
      <w:pPr>
        <w:spacing w:after="160"/>
      </w:pPr>
      <w:r>
        <w:rPr>
          <w:b/>
        </w:rPr>
        <w:t xml:space="preserve">Approval. </w:t>
      </w:r>
      <w:r>
        <w:rPr>
          <w:b w:val="0"/>
        </w:rPr>
        <w:t>Any uptime &lt; 99.9% or other Required SLA deviation: GC approval with risk memorandum.</w:t>
      </w:r>
    </w:p>
    <w:p>
      <w:pPr>
        <w:pStyle w:val="Heading2"/>
      </w:pPr>
      <w:r>
        <w:t>3.13  Issue 13: Deemed acceptance after 5 business days; production use = acceptance; no acceptance criteria, UAT period, or remediation limit</w:t>
      </w:r>
    </w:p>
    <w:p>
      <w:pPr>
        <w:spacing w:after="80"/>
      </w:pPr>
      <w:r>
        <w:rPr>
          <w:b/>
        </w:rPr>
        <w:t xml:space="preserve">Priority / Category: </w:t>
      </w:r>
      <w:r>
        <w:rPr>
          <w:b w:val="0"/>
        </w:rPr>
        <w:t xml:space="preserve">P2 - High / Category A   |   </w:t>
      </w:r>
      <w:r>
        <w:rPr>
          <w:b/>
        </w:rPr>
        <w:t xml:space="preserve">Agreement: </w:t>
      </w:r>
      <w:r>
        <w:rPr>
          <w:b w:val="0"/>
        </w:rPr>
        <w:t xml:space="preserve">MSA § 4.3; § 4.1 (non-binding target date); Exhibit A (Implementation Timeline)   |   </w:t>
      </w:r>
      <w:r>
        <w:rPr>
          <w:b/>
        </w:rPr>
        <w:t xml:space="preserve">Playbook: </w:t>
      </w:r>
      <w:r>
        <w:rPr>
          <w:b w:val="0"/>
        </w:rPr>
        <w:t>Playbook § 14 (Required: acceptance criteria in SOW/Test Plan; 30-day UAT; no deemed acceptance for Tier 1; remediation within 15 business days, two cycles then reject with refund; Preferred: 45-day UAT, joint sign-off)</w:t>
      </w:r>
    </w:p>
    <w:p>
      <w:pPr>
        <w:spacing w:after="80"/>
      </w:pPr>
      <w:r>
        <w:rPr>
          <w:b/>
        </w:rPr>
        <w:t xml:space="preserve">Vaultline draft. </w:t>
      </w:r>
      <w:r>
        <w:rPr>
          <w:b w:val="0"/>
        </w:rPr>
        <w:t>The Platform is deemed accepted 5 business days after Vaultline’s deployment notice unless Customer delivers a detailed Non-Conformity Notice measured against the Documentation; Vaultline uses “commercially reasonable efforts” to fix and restarts another 5-day period, indefinitely; production use constitutes acceptance. The January 31, 2025 completion date is an estimate and Vaultline has no liability for delay. The Order Form schedules UAT and data migration together by January 15, 2025.</w:t>
      </w:r>
    </w:p>
    <w:p>
      <w:pPr>
        <w:spacing w:after="80"/>
      </w:pPr>
      <w:r>
        <w:rPr>
          <w:b/>
        </w:rPr>
        <w:t xml:space="preserve">Playbook position. </w:t>
      </w:r>
      <w:r>
        <w:rPr>
          <w:b w:val="0"/>
        </w:rPr>
        <w:t>Defined acceptance criteria (functional, performance, integration incl. MedBridge EHR, security/HIPAA) in an SOW or Acceptance Test Plan exhibit; 30-day UAT (Preferred 45) beginning after vendor’s written readiness confirmation; express written acceptance only (no deemed acceptance for Tier 1); remediation within 15 business days per cycle; after two failed cycles Customer may reject and terminate with full refund of implementation fees.</w:t>
      </w:r>
    </w:p>
    <w:p>
      <w:pPr>
        <w:spacing w:after="80"/>
      </w:pPr>
      <w:r>
        <w:rPr>
          <w:b/>
        </w:rPr>
        <w:t xml:space="preserve">Gap analysis. </w:t>
      </w:r>
      <w:r>
        <w:rPr>
          <w:b w:val="0"/>
        </w:rPr>
        <w:t>Deemed acceptance in 5 business days is prohibited for Tier 1 and is unworkable for a MedBridge integration across 14 clinics; “Documentation” is the vague standard the Playbook rejects; no exit or refund after repeated failure. Production-use acceptance would be triggered by any go-live of a single clinic.</w:t>
      </w:r>
    </w:p>
    <w:p>
      <w:pPr>
        <w:spacing w:after="80"/>
      </w:pPr>
      <w:r>
        <w:rPr>
          <w:b/>
        </w:rPr>
        <w:t xml:space="preserve">Risk to Panorama. </w:t>
      </w:r>
      <w:r>
        <w:rPr>
          <w:b w:val="0"/>
        </w:rPr>
        <w:t>High. Panorama could be locked into paying $1,140,000/year for a platform whose EHR integration does not work, with the $285,000 implementation fee already paid and non-refundable.</w:t>
      </w:r>
    </w:p>
    <w:p>
      <w:pPr>
        <w:spacing w:after="80"/>
      </w:pPr>
      <w:r>
        <w:rPr>
          <w:b/>
        </w:rPr>
        <w:t xml:space="preserve">Recommended position. </w:t>
      </w:r>
      <w:r>
        <w:rPr>
          <w:b w:val="0"/>
        </w:rPr>
        <w:t>Replace § 4.3 with a UAT regime and attach an SOW/Acceptance Test Plan (Exhibit E) defining MedBridge integration specifications and performance benchmarks. Link fee commencement to acceptance (Issue 14) and make the implementation milestones binding with a termination right for material delay.</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4.3 with: “4.3 Acceptance. (a) The parties shall agree, before commencement of the Implementation Services, on written acceptance criteria addressing functional requirements, performance benchmarks, integration specifications (including bidirectional data exchange with MedBridge EHR and other systems identified in the SOW), and security and HIPAA compliance requirements, which shall be set out in the Acceptance Test Plan attached as Exhibit E (the ‘Acceptance Criteria’). (b) Upon completing all implementation tasks, Vaultline shall certify in writing that the Platform is ready for testing. Customer shall have [forty-five (45)] [thirty (30)] days thereafter to conduct user acceptance testing (‘UAT’). (c) Acceptance occurs only upon Customer’s express written confirmation that the Platform materially conforms to the Acceptance Criteria; there shall be no deemed acceptance, and limited production use during UAT shall not constitute acceptance. (d) Vaultline shall remediate deficiencies identified in a written deficiency notice within fifteen (15) business days, after which Customer may re-test. If deficiencies are not remediated to Customer’s reasonable satisfaction after two (2) remediation cycles, Customer may reject the implementation and terminate this Agreement (or the applicable SOW) and receive a full refund of all Implementation Fees and all prepaid Subscription Fees.”</w:t>
            </w:r>
          </w:p>
        </w:tc>
      </w:tr>
    </w:tbl>
    <w:p>
      <w:pPr>
        <w:spacing w:after="0"/>
      </w:pPr>
    </w:p>
    <w:p>
      <w:pPr>
        <w:spacing w:after="60"/>
      </w:pPr>
      <w:r>
        <w:rPr>
          <w:b/>
        </w:rPr>
        <w:t xml:space="preserve">Fallback. </w:t>
      </w:r>
      <w:r>
        <w:rPr>
          <w:b w:val="0"/>
        </w:rPr>
        <w:t>30-day UAT (Required) instead of 45; joint sign-off (Preferred) may be dropped. No deemed acceptance (Tier 1 Required).</w:t>
      </w:r>
    </w:p>
    <w:p>
      <w:pPr>
        <w:spacing w:after="160"/>
      </w:pPr>
      <w:r>
        <w:rPr>
          <w:b/>
        </w:rPr>
        <w:t xml:space="preserve">Approval. </w:t>
      </w:r>
      <w:r>
        <w:rPr>
          <w:b w:val="0"/>
        </w:rPr>
        <w:t>Deemed acceptance in any form: GC approval (not recommended).</w:t>
      </w:r>
    </w:p>
    <w:p>
      <w:pPr>
        <w:pStyle w:val="Heading2"/>
      </w:pPr>
      <w:r>
        <w:t>3.14  Issue 14: Net 15 payment terms; full annual subscription and implementation fee prepaid before go-live</w:t>
      </w:r>
    </w:p>
    <w:p>
      <w:pPr>
        <w:spacing w:after="80"/>
      </w:pPr>
      <w:r>
        <w:rPr>
          <w:b/>
        </w:rPr>
        <w:t xml:space="preserve">Priority / Category: </w:t>
      </w:r>
      <w:r>
        <w:rPr>
          <w:b w:val="0"/>
        </w:rPr>
        <w:t xml:space="preserve">P2 - High / Category A   |   </w:t>
      </w:r>
      <w:r>
        <w:rPr>
          <w:b/>
        </w:rPr>
        <w:t xml:space="preserve">Agreement: </w:t>
      </w:r>
      <w:r>
        <w:rPr>
          <w:b w:val="0"/>
        </w:rPr>
        <w:t xml:space="preserve">MSA §§ 3.2(a)–(b), 3.2(d), 3.4, 4.4; Exhibit A (Payment Schedule)   |   </w:t>
      </w:r>
      <w:r>
        <w:rPr>
          <w:b/>
        </w:rPr>
        <w:t xml:space="preserve">Playbook: </w:t>
      </w:r>
      <w:r>
        <w:rPr>
          <w:b w:val="0"/>
        </w:rPr>
        <w:t>Playbook § 4.1 (Required: Net 45; no pre-payment of full annual fees; no payment due on execution/effective date; Preferred: quarterly invoicing)</w:t>
      </w:r>
    </w:p>
    <w:p>
      <w:pPr>
        <w:spacing w:after="80"/>
      </w:pPr>
      <w:r>
        <w:rPr>
          <w:b/>
        </w:rPr>
        <w:t xml:space="preserve">Vaultline draft. </w:t>
      </w:r>
      <w:r>
        <w:rPr>
          <w:b w:val="0"/>
        </w:rPr>
        <w:t>Implementation Fee ($285,000) invoiced on execution, due in 15 days; Annual Subscription Fee ($1,140,000) invoiced on the Effective Date (Nov. 1, 2024) and each anniversary, due in 15 days, “payable in full annually in advance.” 1.5%/month late interest; invoice disputes must be raised within 15 days of receipt.</w:t>
      </w:r>
    </w:p>
    <w:p>
      <w:pPr>
        <w:spacing w:after="80"/>
      </w:pPr>
      <w:r>
        <w:rPr>
          <w:b/>
        </w:rPr>
        <w:t xml:space="preserve">Playbook position. </w:t>
      </w:r>
      <w:r>
        <w:rPr>
          <w:b w:val="0"/>
        </w:rPr>
        <w:t>Net 45 from invoice; no pre-payment of full annual fees before services are rendered; never due on execution or effective date in advance of invoice; quarterly invoicing preferred.</w:t>
      </w:r>
    </w:p>
    <w:p>
      <w:pPr>
        <w:spacing w:after="80"/>
      </w:pPr>
      <w:r>
        <w:rPr>
          <w:b/>
        </w:rPr>
        <w:t xml:space="preserve">Gap analysis. </w:t>
      </w:r>
      <w:r>
        <w:rPr>
          <w:b w:val="0"/>
        </w:rPr>
        <w:t>Payment terms are one-third of the Required period, and the structure requires $1,425,000 to be paid by about November 16, 2024, roughly 2.5 months before the targeted go-live (January 31, 2025). The Year 1 fee covers about 3 months (~$285,000) of a platform that will not yet be in production, and is non-refundable under § 11.5(b).</w:t>
      </w:r>
    </w:p>
    <w:p>
      <w:pPr>
        <w:spacing w:after="80"/>
      </w:pPr>
      <w:r>
        <w:rPr>
          <w:b/>
        </w:rPr>
        <w:t xml:space="preserve">Risk to Panorama. </w:t>
      </w:r>
      <w:r>
        <w:rPr>
          <w:b w:val="0"/>
        </w:rPr>
        <w:t>High (financial/leverage). Credit risk on a potential acquisition target; reduced leverage if implementation slips; prepaid fees at risk with no refund mechanism.</w:t>
      </w:r>
    </w:p>
    <w:p>
      <w:pPr>
        <w:spacing w:after="80"/>
      </w:pPr>
      <w:r>
        <w:rPr>
          <w:b/>
        </w:rPr>
        <w:t xml:space="preserve">Recommended position. </w:t>
      </w:r>
      <w:r>
        <w:rPr>
          <w:b w:val="0"/>
        </w:rPr>
        <w:t>Net 45; quarterly invoicing in arrears or in advance (open: quarterly; fallback: annual invoicing Net 45 after Go-Live); subscription fees commence on Acceptance (or pro-rated from Go-Live); implementation fee in milestones (e.g., 30% kick-off, 40% integration complete, 30% acceptance). Extend the dispute-notice window to 45 days and reduce late interest to 1%/month after 15 days’ notice of non-payment.</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3.2(a)–(b): “(a) Implementation Fees shall be invoiced in accordance with the milestones set out in the Order Form, with the final [30%] invoiced upon Acceptance under Section 4.3. (b) Subscription Fees shall commence on the date of Acceptance and shall be invoiced quarterly [in advance]. (c) All undisputed amounts are due within forty-five (45) days after Customer’s receipt of a correct invoice.” In § 3.4 replace “fifteen (15) days” with “forty-five (45) days.” Conform the Exhibit A Payment Schedule (delete “payable in full annually in advance”).</w:t>
            </w:r>
          </w:p>
        </w:tc>
      </w:tr>
    </w:tbl>
    <w:p>
      <w:pPr>
        <w:spacing w:after="0"/>
      </w:pPr>
    </w:p>
    <w:p>
      <w:pPr>
        <w:spacing w:after="60"/>
      </w:pPr>
      <w:r>
        <w:rPr>
          <w:b/>
        </w:rPr>
        <w:t xml:space="preserve">Fallback. </w:t>
      </w:r>
      <w:r>
        <w:rPr>
          <w:b w:val="0"/>
        </w:rPr>
        <w:t>Annual invoicing is acceptable if Net 45 from invoice and the first annual invoice is not issued until Acceptance/Go-Live (Playbook § 4.1 Preferred text). Net 45 and no pre-payment before services are Required.</w:t>
      </w:r>
    </w:p>
    <w:p>
      <w:pPr>
        <w:spacing w:after="160"/>
      </w:pPr>
      <w:r>
        <w:rPr>
          <w:b/>
        </w:rPr>
        <w:t xml:space="preserve">Approval. </w:t>
      </w:r>
      <w:r>
        <w:rPr>
          <w:b w:val="0"/>
        </w:rPr>
        <w:t>Net &lt; 45 or pre-payment before services: GC approval.</w:t>
      </w:r>
    </w:p>
    <w:p>
      <w:pPr>
        <w:pStyle w:val="Heading2"/>
      </w:pPr>
      <w:r>
        <w:t>3.15  Issue 15: Price escalation: greater of 5% or CPI-U, annually during the Initial Term, with no cap</w:t>
      </w:r>
    </w:p>
    <w:p>
      <w:pPr>
        <w:spacing w:after="80"/>
      </w:pPr>
      <w:r>
        <w:rPr>
          <w:b/>
        </w:rPr>
        <w:t xml:space="preserve">Priority / Category: </w:t>
      </w:r>
      <w:r>
        <w:rPr>
          <w:b w:val="0"/>
        </w:rPr>
        <w:t xml:space="preserve">P2 - High / Category A   |   </w:t>
      </w:r>
      <w:r>
        <w:rPr>
          <w:b/>
        </w:rPr>
        <w:t xml:space="preserve">Agreement: </w:t>
      </w:r>
      <w:r>
        <w:rPr>
          <w:b w:val="0"/>
        </w:rPr>
        <w:t xml:space="preserve">MSA § 3.3; § 1.9; § 11.2; Exhibit A (Fee Escalation)   |   </w:t>
      </w:r>
      <w:r>
        <w:rPr>
          <w:b/>
        </w:rPr>
        <w:t xml:space="preserve">Playbook: </w:t>
      </w:r>
      <w:r>
        <w:rPr>
          <w:b w:val="0"/>
        </w:rPr>
        <w:t>Playbook § 4.2 (Required: CPI-U only, capped at 3%, no floor, only on renewal for terms ≤ 3 years; Preferred: price lock for Initial Term)</w:t>
      </w:r>
    </w:p>
    <w:p>
      <w:pPr>
        <w:spacing w:after="80"/>
      </w:pPr>
      <w:r>
        <w:rPr>
          <w:b/>
        </w:rPr>
        <w:t xml:space="preserve">Vaultline draft. </w:t>
      </w:r>
      <w:r>
        <w:rPr>
          <w:b w:val="0"/>
        </w:rPr>
        <w:t>Commencing on the first anniversary and each anniversary during the Term (including Renewal Terms), the Annual Subscription Fee increases by the greater of 5% or CPI-U; fees can never decrease.</w:t>
      </w:r>
    </w:p>
    <w:p>
      <w:pPr>
        <w:spacing w:after="80"/>
      </w:pPr>
      <w:r>
        <w:rPr>
          <w:b/>
        </w:rPr>
        <w:t xml:space="preserve">Playbook position. </w:t>
      </w:r>
      <w:r>
        <w:rPr>
          <w:b w:val="0"/>
        </w:rPr>
        <w:t>Escalation tied solely to CPI-U, capped at 3%/year, with no floor; applies only on renewal (the Initial Term is exactly 3 years, so no escalation in years 1–3). Preferred: fixed pricing for the Initial Term.</w:t>
      </w:r>
    </w:p>
    <w:p>
      <w:pPr>
        <w:spacing w:after="80"/>
      </w:pPr>
      <w:r>
        <w:rPr>
          <w:b/>
        </w:rPr>
        <w:t xml:space="preserve">Gap analysis. </w:t>
      </w:r>
      <w:r>
        <w:rPr>
          <w:b w:val="0"/>
        </w:rPr>
        <w:t>Inverts the Playbook: 5% is a floor, not a cap, and there is no ceiling (a high-inflation year produces uncapped increases). It applies in years 2 and 3. Cost impact at the 5% floor: Year 2 $1,197,000; Year 3 $1,256,850; 3-year subscription $3,593,850 vs. $3,420,000 flat (+$173,850; total contract value $3,878,850 vs. the $3,705,000 quoted in the Order Form). First renewal year at 5% compounding: $1,319,692.50, vs. a maximum of $1,174,200 under the Playbook (3% on a locked $1,140,000) — a $145,492.50 difference in Year 4 alone.</w:t>
      </w:r>
    </w:p>
    <w:p>
      <w:pPr>
        <w:spacing w:after="80"/>
      </w:pPr>
      <w:r>
        <w:rPr>
          <w:b/>
        </w:rPr>
        <w:t xml:space="preserve">Risk to Panorama. </w:t>
      </w:r>
      <w:r>
        <w:rPr>
          <w:b w:val="0"/>
        </w:rPr>
        <w:t>High (financial). Compounding cost escalation, amplified by the 120-day non-renewal notice (Issue 19).</w:t>
      </w:r>
    </w:p>
    <w:p>
      <w:pPr>
        <w:spacing w:after="80"/>
      </w:pPr>
      <w:r>
        <w:rPr>
          <w:b/>
        </w:rPr>
        <w:t xml:space="preserve">Recommended position. </w:t>
      </w:r>
      <w:r>
        <w:rPr>
          <w:b w:val="0"/>
        </w:rPr>
        <w:t>Open: price lock for Initial Term; renewals at CPI-U, capped at 3%, no floor. Note the internal inconsistency with the Order Form, which presents $3,705,000 as the 3-year value “before escalation adjustments.”</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3.3 with: “3.3 Fee Escalation. The Fees shall remain fixed during the Initial Term. Vaultline may increase the Annual Subscription Fee effective as of the first day of any Renewal Term by providing written notice at least ninety (90) days before the non-renewal notice deadline in Section 11.2, by a percentage not exceeding the lesser of (a) the percentage increase in the Consumer Price Index for All Urban Consumers (CPI-U), U.S. City Average, published by the U.S. Bureau of Labor Statistics for the most recent twelve (12)-month period, and (b) three percent (3%).” Conform § 1.9, § 11.2 (last sentence) and Exhibit A.</w:t>
            </w:r>
          </w:p>
        </w:tc>
      </w:tr>
    </w:tbl>
    <w:p>
      <w:pPr>
        <w:spacing w:after="0"/>
      </w:pPr>
    </w:p>
    <w:p>
      <w:pPr>
        <w:spacing w:after="60"/>
      </w:pPr>
      <w:r>
        <w:rPr>
          <w:b/>
        </w:rPr>
        <w:t xml:space="preserve">Fallback. </w:t>
      </w:r>
      <w:r>
        <w:rPr>
          <w:b w:val="0"/>
        </w:rPr>
        <w:t>If a price lock cannot be obtained, any in-term escalation is a deviation from a Required position (the Playbook allows in-term escalation only for initial terms &gt; 3 years); if the GC approves, limit it to CPI-U capped at 3% with no floor, starting Year 3.</w:t>
      </w:r>
    </w:p>
    <w:p>
      <w:pPr>
        <w:spacing w:after="160"/>
      </w:pPr>
      <w:r>
        <w:rPr>
          <w:b/>
        </w:rPr>
        <w:t xml:space="preserve">Approval. </w:t>
      </w:r>
      <w:r>
        <w:rPr>
          <w:b w:val="0"/>
        </w:rPr>
        <w:t>Any escalation in Initial Term, any floor, or cap &gt; 3%: GC approval.</w:t>
      </w:r>
    </w:p>
    <w:p>
      <w:pPr>
        <w:pStyle w:val="Heading2"/>
      </w:pPr>
      <w:r>
        <w:t>3.16  Issue 16: Termination for cause: 60-day cure; no immediate termination for data breach, insurance lapse, or unconsented change of control; no refund</w:t>
      </w:r>
    </w:p>
    <w:p>
      <w:pPr>
        <w:spacing w:after="80"/>
      </w:pPr>
      <w:r>
        <w:rPr>
          <w:b/>
        </w:rPr>
        <w:t xml:space="preserve">Priority / Category: </w:t>
      </w:r>
      <w:r>
        <w:rPr>
          <w:b w:val="0"/>
        </w:rPr>
        <w:t xml:space="preserve">P2 - High / Category A   |   </w:t>
      </w:r>
      <w:r>
        <w:rPr>
          <w:b/>
        </w:rPr>
        <w:t xml:space="preserve">Agreement: </w:t>
      </w:r>
      <w:r>
        <w:rPr>
          <w:b w:val="0"/>
        </w:rPr>
        <w:t xml:space="preserve">MSA § 11.3; § 11.5(b); § 10.2   |   </w:t>
      </w:r>
      <w:r>
        <w:rPr>
          <w:b/>
        </w:rPr>
        <w:t xml:space="preserve">Playbook: </w:t>
      </w:r>
      <w:r>
        <w:rPr>
          <w:b w:val="0"/>
        </w:rPr>
        <w:t>Playbook § 10.3 (Required: ≤ 30-day cure; immediate termination events (a)–(d)); § 4.3 (Required: refund on vendor breach)</w:t>
      </w:r>
    </w:p>
    <w:p>
      <w:pPr>
        <w:spacing w:after="80"/>
      </w:pPr>
      <w:r>
        <w:rPr>
          <w:b/>
        </w:rPr>
        <w:t xml:space="preserve">Vaultline draft. </w:t>
      </w:r>
      <w:r>
        <w:rPr>
          <w:b w:val="0"/>
        </w:rPr>
        <w:t>Either party may terminate for material breach uncured within 60 days; immediate termination only for bankruptcy/insolvency or ceasing business. No refund on termination for Vaultline’s breach; Customer pays the then-current billing period.</w:t>
      </w:r>
    </w:p>
    <w:p>
      <w:pPr>
        <w:spacing w:after="80"/>
      </w:pPr>
      <w:r>
        <w:rPr>
          <w:b/>
        </w:rPr>
        <w:t xml:space="preserve">Playbook position. </w:t>
      </w:r>
      <w:r>
        <w:rPr>
          <w:b w:val="0"/>
        </w:rPr>
        <w:t>Cure period not to exceed 30 days (both payment and non-payment). Customer may terminate immediately for: (a) vendor insolvency/bankruptcy/assignment for creditors; (b) breach of data security or confidentiality involving PHI or Customer Data; (c) failure to maintain required insurance; (d) unconsented change of control. Pro-rata refund of prepaid unused fees within 30 days on vendor breach; unperformed implementation fees refunded.</w:t>
      </w:r>
    </w:p>
    <w:p>
      <w:pPr>
        <w:spacing w:after="80"/>
      </w:pPr>
      <w:r>
        <w:rPr>
          <w:b/>
        </w:rPr>
        <w:t xml:space="preserve">Gap analysis. </w:t>
      </w:r>
      <w:r>
        <w:rPr>
          <w:b w:val="0"/>
        </w:rPr>
        <w:t>Cure period is double the Required maximum; immediate-termination events (b), (c) and (d) are missing; no refund on vendor breach (Required by § 4.3).</w:t>
      </w:r>
    </w:p>
    <w:p>
      <w:pPr>
        <w:spacing w:after="80"/>
      </w:pPr>
      <w:r>
        <w:rPr>
          <w:b/>
        </w:rPr>
        <w:t xml:space="preserve">Risk to Panorama. </w:t>
      </w:r>
      <w:r>
        <w:rPr>
          <w:b w:val="0"/>
        </w:rPr>
        <w:t>High. Panorama would have to tolerate a PHI security breach for up to 60 days of cure, and would forfeit prepaid fees on exit for Vaultline’s breach.</w:t>
      </w:r>
    </w:p>
    <w:p>
      <w:pPr>
        <w:spacing w:after="80"/>
      </w:pPr>
      <w:r>
        <w:rPr>
          <w:b/>
        </w:rPr>
        <w:t xml:space="preserve">Recommended position. </w:t>
      </w:r>
      <w:r>
        <w:rPr>
          <w:b w:val="0"/>
        </w:rPr>
        <w:t>Reduce cure to 30 days; add Customer immediate termination events; add refund mechanics consistent with Issues 11 and 17.</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In § 11.3 replace “sixty (60) days” with “thirty (30) days” and add: “Customer may also terminate this Agreement immediately upon written notice if (i) Vaultline breaches Section 7, Section 8, or the BAA in a manner involving Protected Health Information or other Customer Data; (ii) Vaultline fails to maintain the insurance required by Section 13; or (iii) a Change of Control of Vaultline occurs without Customer’s prior written consent. Upon any termination by Customer under this Section 11.3, Vaultline shall refund, within thirty (30) days, all prepaid, unused Fees calculated on a daily pro-rata basis and all Implementation Fees for Implementation Services not fully performed.”</w:t>
            </w:r>
          </w:p>
        </w:tc>
      </w:tr>
    </w:tbl>
    <w:p>
      <w:pPr>
        <w:spacing w:after="0"/>
      </w:pPr>
    </w:p>
    <w:p>
      <w:pPr>
        <w:spacing w:after="60"/>
      </w:pPr>
      <w:r>
        <w:rPr>
          <w:b/>
        </w:rPr>
        <w:t xml:space="preserve">Fallback. </w:t>
      </w:r>
      <w:r>
        <w:rPr>
          <w:b w:val="0"/>
        </w:rPr>
        <w:t>None for the Required elements; a 30-day cure for payment breaches is consistent with the Playbook if Vaultline asks for symmetry.</w:t>
      </w:r>
    </w:p>
    <w:p>
      <w:pPr>
        <w:spacing w:after="160"/>
      </w:pPr>
      <w:r>
        <w:rPr>
          <w:b/>
        </w:rPr>
        <w:t xml:space="preserve">Approval. </w:t>
      </w:r>
      <w:r>
        <w:rPr>
          <w:b w:val="0"/>
        </w:rPr>
        <w:t>Cure &gt; 30 days or omission of any immediate-termination event: GC approval.</w:t>
      </w:r>
    </w:p>
    <w:p>
      <w:pPr>
        <w:pStyle w:val="Heading2"/>
      </w:pPr>
      <w:r>
        <w:t>3.17  Issue 17: Force majeure includes hosting-provider failures, power and telecom outages; 180-day suspension before termination; no refund</w:t>
      </w:r>
    </w:p>
    <w:p>
      <w:pPr>
        <w:spacing w:after="80"/>
      </w:pPr>
      <w:r>
        <w:rPr>
          <w:b/>
        </w:rPr>
        <w:t xml:space="preserve">Priority / Category: </w:t>
      </w:r>
      <w:r>
        <w:rPr>
          <w:b w:val="0"/>
        </w:rPr>
        <w:t xml:space="preserve">P2 - High / Category A   |   </w:t>
      </w:r>
      <w:r>
        <w:rPr>
          <w:b/>
        </w:rPr>
        <w:t xml:space="preserve">Agreement: </w:t>
      </w:r>
      <w:r>
        <w:rPr>
          <w:b w:val="0"/>
        </w:rPr>
        <w:t xml:space="preserve">MSA § 14.4; Exhibit B § B.2(c)   |   </w:t>
      </w:r>
      <w:r>
        <w:rPr>
          <w:b/>
        </w:rPr>
        <w:t xml:space="preserve">Playbook: </w:t>
      </w:r>
      <w:r>
        <w:rPr>
          <w:b w:val="0"/>
        </w:rPr>
        <w:t>Playbook § 15 (Required: scope; exclusions for third-party hosting failures, economic conditions, inadequate DR; pandemic conditions; 30-day termination trigger with pro-rata refund; mitigation)</w:t>
      </w:r>
    </w:p>
    <w:p>
      <w:pPr>
        <w:spacing w:after="80"/>
      </w:pPr>
      <w:r>
        <w:rPr>
          <w:b/>
        </w:rPr>
        <w:t xml:space="preserve">Vaultline draft. </w:t>
      </w:r>
      <w:r>
        <w:rPr>
          <w:b w:val="0"/>
        </w:rPr>
        <w:t>Force Majeure Events include “power outages, telecommunications failures, failures of third-party hosting providers” and pandemic/epidemic without qualification; termination right only after 180 days or more, then on 30 days’ notice (effectively 210 days); no refund. Mitigation (commercially reasonable efforts to resume) and notice are included. Force Majeure downtime is excluded from SLA uptime.</w:t>
      </w:r>
    </w:p>
    <w:p>
      <w:pPr>
        <w:spacing w:after="80"/>
      </w:pPr>
      <w:r>
        <w:rPr>
          <w:b/>
        </w:rPr>
        <w:t xml:space="preserve">Playbook position. </w:t>
      </w:r>
      <w:r>
        <w:rPr>
          <w:b w:val="0"/>
        </w:rPr>
        <w:t>Limited to truly unforeseeable events; must expressly exclude third-party hosting/infrastructure failures, general economic conditions/labor shortages, and failure to maintain adequate disaster recovery/redundancy; pandemic acceptable only if it directly and materially prevents the specific obligation; termination right after 30 consecutive days with pro-rata refund; mitigation obligation required.</w:t>
      </w:r>
    </w:p>
    <w:p>
      <w:pPr>
        <w:spacing w:after="80"/>
      </w:pPr>
      <w:r>
        <w:rPr>
          <w:b/>
        </w:rPr>
        <w:t xml:space="preserve">Gap analysis. </w:t>
      </w:r>
      <w:r>
        <w:rPr>
          <w:b w:val="0"/>
        </w:rPr>
        <w:t>Hosting failures (AWS) are explicitly included, which would nullify the uptime guarantee; DR and economic exclusions missing; pandemic unqualified; suspension period is six times the Required trigger (and is the 180-day period the Playbook specifically calls unacceptable). The mitigation and notice obligations are broadly compliant.</w:t>
      </w:r>
    </w:p>
    <w:p>
      <w:pPr>
        <w:spacing w:after="80"/>
      </w:pPr>
      <w:r>
        <w:rPr>
          <w:b/>
        </w:rPr>
        <w:t xml:space="preserve">Risk to Panorama. </w:t>
      </w:r>
      <w:r>
        <w:rPr>
          <w:b w:val="0"/>
        </w:rPr>
        <w:t>High. The most probable outage (AWS region failure) would be excused entirely and removed from the SLA. Panorama could be without service for ~7 months with no remedy.</w:t>
      </w:r>
    </w:p>
    <w:p>
      <w:pPr>
        <w:spacing w:after="80"/>
      </w:pPr>
      <w:r>
        <w:rPr>
          <w:b/>
        </w:rPr>
        <w:t xml:space="preserve">Recommended position. </w:t>
      </w:r>
      <w:r>
        <w:rPr>
          <w:b w:val="0"/>
        </w:rPr>
        <w:t>Rewrite § 14.4 per Playbook; delete B.2(c) or limit to genuine FM events; add that FM does not excuse Vaultline’s disaster recovery/business continuity or security obligations.</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In § 14.4 delete “power outages, telecommunications failures, failures of third-party hosting providers,” and add: “Force Majeure Events exclude (a) failures, outages, or degradation of Vaultline’s hosting, cloud infrastructure, or other technology service providers (including AWS) or Subprocessors; (b) general economic conditions, market fluctuations, inflation, or labor shortages; and (c) any event whose effects would have been prevented by disaster recovery, business continuity, and redundancy measures that Vaultline is required to maintain or that are consistent with industry standards. A pandemic, epidemic, or public health emergency is a Force Majeure Event only to the extent it directly and materially prevents performance of the specific obligation at issue. Force Majeure shall not excuse Vaultline’s obligations under Section 7, the BAA, or its disaster recovery obligations. If a Force Majeure Event prevents Vaultline’s performance for more than thirty (30) consecutive days, Customer may terminate this Agreement upon written notice without liability and Vaultline shall refund all prepaid, unused Fees on a daily pro-rata basis within thirty (30) days.”</w:t>
            </w:r>
          </w:p>
        </w:tc>
      </w:tr>
    </w:tbl>
    <w:p>
      <w:pPr>
        <w:spacing w:after="0"/>
      </w:pPr>
    </w:p>
    <w:p>
      <w:pPr>
        <w:spacing w:after="60"/>
      </w:pPr>
      <w:r>
        <w:rPr>
          <w:b/>
        </w:rPr>
        <w:t xml:space="preserve">Fallback. </w:t>
      </w:r>
      <w:r>
        <w:rPr>
          <w:b w:val="0"/>
        </w:rPr>
        <w:t>None for the hosting exclusion and 30-day trigger (Required).</w:t>
      </w:r>
    </w:p>
    <w:p>
      <w:pPr>
        <w:spacing w:after="160"/>
      </w:pPr>
      <w:r>
        <w:rPr>
          <w:b/>
        </w:rPr>
        <w:t xml:space="preserve">Approval. </w:t>
      </w:r>
      <w:r>
        <w:rPr>
          <w:b w:val="0"/>
        </w:rPr>
        <w:t>Any deviation: GC approval.</w:t>
      </w:r>
    </w:p>
    <w:p>
      <w:pPr>
        <w:pStyle w:val="Heading2"/>
      </w:pPr>
      <w:r>
        <w:t>3.18  Issue 18: Texas governing law; exclusive Travis County, Texas venue</w:t>
      </w:r>
    </w:p>
    <w:p>
      <w:pPr>
        <w:spacing w:after="80"/>
      </w:pPr>
      <w:r>
        <w:rPr>
          <w:b/>
        </w:rPr>
        <w:t xml:space="preserve">Priority / Category: </w:t>
      </w:r>
      <w:r>
        <w:rPr>
          <w:b w:val="0"/>
        </w:rPr>
        <w:t xml:space="preserve">P2 - High / Category A   |   </w:t>
      </w:r>
      <w:r>
        <w:rPr>
          <w:b/>
        </w:rPr>
        <w:t xml:space="preserve">Agreement: </w:t>
      </w:r>
      <w:r>
        <w:rPr>
          <w:b w:val="0"/>
        </w:rPr>
        <w:t xml:space="preserve">MSA §§ 14.1, 14.2   |   </w:t>
      </w:r>
      <w:r>
        <w:rPr>
          <w:b/>
        </w:rPr>
        <w:t xml:space="preserve">Playbook: </w:t>
      </w:r>
      <w:r>
        <w:rPr>
          <w:b w:val="0"/>
        </w:rPr>
        <w:t>Playbook § 12 (Required: Minnesota law; exclusive Hennepin County courts; Preferred: pre-suit mediation in Minneapolis; deviations require GC approval and meaningful concessions)</w:t>
      </w:r>
    </w:p>
    <w:p>
      <w:pPr>
        <w:spacing w:after="80"/>
      </w:pPr>
      <w:r>
        <w:rPr>
          <w:b/>
        </w:rPr>
        <w:t xml:space="preserve">Vaultline draft. </w:t>
      </w:r>
      <w:r>
        <w:rPr>
          <w:b w:val="0"/>
        </w:rPr>
        <w:t>Texas law (excluding conflicts rules and CISG); exclusive jurisdiction of state and federal courts in Travis County, Texas (Vaultline’s home county), with forum non conveniens waiver; equitable relief carve-out.</w:t>
      </w:r>
    </w:p>
    <w:p>
      <w:pPr>
        <w:spacing w:after="80"/>
      </w:pPr>
      <w:r>
        <w:rPr>
          <w:b/>
        </w:rPr>
        <w:t xml:space="preserve">Playbook position. </w:t>
      </w:r>
      <w:r>
        <w:rPr>
          <w:b w:val="0"/>
        </w:rPr>
        <w:t>Minnesota law without regard to conflicts principles; exclusive state and federal courts in Hennepin County, Minnesota, with consent to jurisdiction and venue waiver. Preferred: mandatory good-faith mediation in Minneapolis before suit; arbitration disfavored.</w:t>
      </w:r>
    </w:p>
    <w:p>
      <w:pPr>
        <w:spacing w:after="80"/>
      </w:pPr>
      <w:r>
        <w:rPr>
          <w:b/>
        </w:rPr>
        <w:t xml:space="preserve">Gap analysis. </w:t>
      </w:r>
      <w:r>
        <w:rPr>
          <w:b w:val="0"/>
        </w:rPr>
        <w:t>Both Required positions deviate in favor of the vendor’s home forum (drafted by Garner Whitlock LLP, Austin).</w:t>
      </w:r>
    </w:p>
    <w:p>
      <w:pPr>
        <w:spacing w:after="80"/>
      </w:pPr>
      <w:r>
        <w:rPr>
          <w:b/>
        </w:rPr>
        <w:t xml:space="preserve">Risk to Panorama. </w:t>
      </w:r>
      <w:r>
        <w:rPr>
          <w:b w:val="0"/>
        </w:rPr>
        <w:t>Medium-High. Higher litigation cost and logistics; loss of Minnesota health-data and consumer-protection framework; leverage disadvantage.</w:t>
      </w:r>
    </w:p>
    <w:p>
      <w:pPr>
        <w:spacing w:after="80"/>
      </w:pPr>
      <w:r>
        <w:rPr>
          <w:b/>
        </w:rPr>
        <w:t xml:space="preserve">Recommended position. </w:t>
      </w:r>
      <w:r>
        <w:rPr>
          <w:b w:val="0"/>
        </w:rPr>
        <w:t>Require Minnesota/Hennepin County; propose pre-suit mediation in Minneapolis as a sweetener. Keep the CISG exclusion and the equitable-relief carve-out. If Vaultline will not move, a neutral alternative (e.g., Delaware law, both parties being Delaware corporations) is a deviation that the GC may approve only for meaningful commercial concessions (Playbook § 12).</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 14.1: replace “State of Texas” with “State of Minnesota.” § 14.2: replace “Travis County, Texas” with “Hennepin County, Minnesota” and insert at the beginning: “Before initiating litigation (other than for injunctive relief), the parties shall attempt in good faith to resolve any dispute through non-binding mediation in Minneapolis, Minnesota, before a mutually agreed mediator, for a period of not less than thirty (30) days.”</w:t>
            </w:r>
          </w:p>
        </w:tc>
      </w:tr>
    </w:tbl>
    <w:p>
      <w:pPr>
        <w:spacing w:after="0"/>
      </w:pPr>
    </w:p>
    <w:p>
      <w:pPr>
        <w:spacing w:after="60"/>
      </w:pPr>
      <w:r>
        <w:rPr>
          <w:b/>
        </w:rPr>
        <w:t xml:space="preserve">Fallback. </w:t>
      </w:r>
      <w:r>
        <w:rPr>
          <w:b w:val="0"/>
        </w:rPr>
        <w:t>GC-approved deviation only in exchange for meaningful concessions (pricing, SLA, indemnity). This is the most tradeable Required item in the agreement.</w:t>
      </w:r>
    </w:p>
    <w:p>
      <w:pPr>
        <w:spacing w:after="160"/>
      </w:pPr>
      <w:r>
        <w:rPr>
          <w:b/>
        </w:rPr>
        <w:t xml:space="preserve">Approval. </w:t>
      </w:r>
      <w:r>
        <w:rPr>
          <w:b w:val="0"/>
        </w:rPr>
        <w:t>GC approval required for any deviation (Tier 1).</w:t>
      </w:r>
    </w:p>
    <w:p>
      <w:pPr>
        <w:pStyle w:val="Heading2"/>
      </w:pPr>
      <w:r>
        <w:t>3.19  Issue 19: Auto-renewal with 120-day non-renewal notice</w:t>
      </w:r>
    </w:p>
    <w:p>
      <w:pPr>
        <w:spacing w:after="80"/>
      </w:pPr>
      <w:r>
        <w:rPr>
          <w:b/>
        </w:rPr>
        <w:t xml:space="preserve">Priority / Category: </w:t>
      </w:r>
      <w:r>
        <w:rPr>
          <w:b w:val="0"/>
        </w:rPr>
        <w:t xml:space="preserve">P2 - High / Category A   |   </w:t>
      </w:r>
      <w:r>
        <w:rPr>
          <w:b/>
        </w:rPr>
        <w:t xml:space="preserve">Agreement: </w:t>
      </w:r>
      <w:r>
        <w:rPr>
          <w:b w:val="0"/>
        </w:rPr>
        <w:t xml:space="preserve">MSA § 11.2; § 1.15   |   </w:t>
      </w:r>
      <w:r>
        <w:rPr>
          <w:b/>
        </w:rPr>
        <w:t xml:space="preserve">Playbook: </w:t>
      </w:r>
      <w:r>
        <w:rPr>
          <w:b w:val="0"/>
        </w:rPr>
        <w:t>Playbook § 10.2 (Required: renewal terms ≤ 1 year; non-renewal notice ≤ 60 days; Preferred: no auto-renewal, or 30-day notice; Calendar Management)</w:t>
      </w:r>
    </w:p>
    <w:p>
      <w:pPr>
        <w:spacing w:after="80"/>
      </w:pPr>
      <w:r>
        <w:rPr>
          <w:b/>
        </w:rPr>
        <w:t xml:space="preserve">Vaultline draft. </w:t>
      </w:r>
      <w:r>
        <w:rPr>
          <w:b w:val="0"/>
        </w:rPr>
        <w:t>Automatic one-year Renewal Terms unless either party gives notice at least 120 days before expiry; renewals subject to the 5%-floor escalation.</w:t>
      </w:r>
    </w:p>
    <w:p>
      <w:pPr>
        <w:spacing w:after="80"/>
      </w:pPr>
      <w:r>
        <w:rPr>
          <w:b/>
        </w:rPr>
        <w:t xml:space="preserve">Playbook position. </w:t>
      </w:r>
      <w:r>
        <w:rPr>
          <w:b w:val="0"/>
        </w:rPr>
        <w:t>Renewal terms ≤ 1 year (met). Non-renewal notice ≤ 60 days. Preferred: renewal only by mutual written agreement; if auto-renewal, 30 days.</w:t>
      </w:r>
    </w:p>
    <w:p>
      <w:pPr>
        <w:spacing w:after="80"/>
      </w:pPr>
      <w:r>
        <w:rPr>
          <w:b/>
        </w:rPr>
        <w:t xml:space="preserve">Gap analysis. </w:t>
      </w:r>
      <w:r>
        <w:rPr>
          <w:b w:val="0"/>
        </w:rPr>
        <w:t>One-year renewal term complies. Notice period is double the Required maximum: for the October 31, 2027 expiry, the non-renewal deadline would be July 3, 2027 (vs. September 1, 2027 at 60 days, or October 1, 2027 at 30 days).</w:t>
      </w:r>
    </w:p>
    <w:p>
      <w:pPr>
        <w:spacing w:after="80"/>
      </w:pPr>
      <w:r>
        <w:rPr>
          <w:b/>
        </w:rPr>
        <w:t xml:space="preserve">Risk to Panorama. </w:t>
      </w:r>
      <w:r>
        <w:rPr>
          <w:b w:val="0"/>
        </w:rPr>
        <w:t>Medium. Inadvertent renewal at escalated pricing (Issue 15).</w:t>
      </w:r>
    </w:p>
    <w:p>
      <w:pPr>
        <w:spacing w:after="80"/>
      </w:pPr>
      <w:r>
        <w:rPr>
          <w:b/>
        </w:rPr>
        <w:t xml:space="preserve">Recommended position. </w:t>
      </w:r>
      <w:r>
        <w:rPr>
          <w:b w:val="0"/>
        </w:rPr>
        <w:t>Open at no auto-renewal; fallback 30 days; Required maximum 60 days. Calendar reminders at 90 and 45 days before the deadline (for a 60-day notice: June 3, 2027 and July 18, 2027; if 120 days were accepted: April 4, 2027 and May 19, 2027). Add a vendor obligation to send a renewal reminder 30 days before the notice deadline.</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11.2 first sentence: “This Agreement shall renew for successive one (1)-year Renewal Terms only upon the mutual written agreement of the parties.” Fallback: “…unless either party provides written notice of non-renewal at least [thirty (30)] [sixty (60)] days prior to the expiration of the then-current Term; Vaultline shall provide Customer written notice of the upcoming renewal not less than thirty (30) days before such notice deadline.”</w:t>
            </w:r>
          </w:p>
        </w:tc>
      </w:tr>
    </w:tbl>
    <w:p>
      <w:pPr>
        <w:spacing w:after="0"/>
      </w:pPr>
    </w:p>
    <w:p>
      <w:pPr>
        <w:spacing w:after="60"/>
      </w:pPr>
      <w:r>
        <w:rPr>
          <w:b/>
        </w:rPr>
        <w:t xml:space="preserve">Fallback. </w:t>
      </w:r>
      <w:r>
        <w:rPr>
          <w:b w:val="0"/>
        </w:rPr>
        <w:t>60 days (Required maximum).</w:t>
      </w:r>
    </w:p>
    <w:p>
      <w:pPr>
        <w:spacing w:after="160"/>
      </w:pPr>
      <w:r>
        <w:rPr>
          <w:b/>
        </w:rPr>
        <w:t xml:space="preserve">Approval. </w:t>
      </w:r>
      <w:r>
        <w:rPr>
          <w:b w:val="0"/>
        </w:rPr>
        <w:t>&gt; 60 days: GC approval.</w:t>
      </w:r>
    </w:p>
    <w:p>
      <w:pPr>
        <w:pStyle w:val="Heading2"/>
      </w:pPr>
      <w:r>
        <w:t>3.20  Issue 20: Confidentiality: 3-year post-term tail; Customer Data not expressly Confidential Information; backup-retention exception; no carve-out from liability limits</w:t>
      </w:r>
    </w:p>
    <w:p>
      <w:pPr>
        <w:spacing w:after="80"/>
      </w:pPr>
      <w:r>
        <w:rPr>
          <w:b/>
        </w:rPr>
        <w:t xml:space="preserve">Priority / Category: </w:t>
      </w:r>
      <w:r>
        <w:rPr>
          <w:b w:val="0"/>
        </w:rPr>
        <w:t xml:space="preserve">P2 - High / Category A   |   </w:t>
      </w:r>
      <w:r>
        <w:rPr>
          <w:b/>
        </w:rPr>
        <w:t xml:space="preserve">Agreement: </w:t>
      </w:r>
      <w:r>
        <w:rPr>
          <w:b w:val="0"/>
        </w:rPr>
        <w:t xml:space="preserve">MSA §§ 1.5, 8.1, 8.4; § 12   |   </w:t>
      </w:r>
      <w:r>
        <w:rPr>
          <w:b/>
        </w:rPr>
        <w:t xml:space="preserve">Playbook: </w:t>
      </w:r>
      <w:r>
        <w:rPr>
          <w:b w:val="0"/>
        </w:rPr>
        <w:t>Playbook § 16 (Required: mutual, ≥ 5 years from disclosure; trade secrets perpetual; Customer Data/PHI confidential regardless of marking; carve-out from cap and consequential waiver; Preferred: perpetual)</w:t>
      </w:r>
    </w:p>
    <w:p>
      <w:pPr>
        <w:spacing w:after="80"/>
      </w:pPr>
      <w:r>
        <w:rPr>
          <w:b/>
        </w:rPr>
        <w:t xml:space="preserve">Vaultline draft. </w:t>
      </w:r>
      <w:r>
        <w:rPr>
          <w:b w:val="0"/>
        </w:rPr>
        <w:t>Mutual obligations for the Term plus 3 years after expiration/termination; trade secrets protected while they remain trade secrets. Confidential Information requires designation or that it “would reasonably be understood to be confidential”; Customer Data is not expressly included. Exclusions are standard (with a contemporaneous-records requirement, which is favorable). § 8.4 permits retention in backup/archival systems.</w:t>
      </w:r>
    </w:p>
    <w:p>
      <w:pPr>
        <w:spacing w:after="80"/>
      </w:pPr>
      <w:r>
        <w:rPr>
          <w:b/>
        </w:rPr>
        <w:t xml:space="preserve">Playbook position. </w:t>
      </w:r>
      <w:r>
        <w:rPr>
          <w:b w:val="0"/>
        </w:rPr>
        <w:t>At least 5 years from the date of disclosure; perpetual for trade secrets (e.g., under the Minnesota Uniform Trade Secrets Act); Customer Data including PHI expressly Confidential Information regardless of marking; breach carved out of the cap and the consequential waiver. Preferred: perpetual for all Confidential Information.</w:t>
      </w:r>
    </w:p>
    <w:p>
      <w:pPr>
        <w:spacing w:after="80"/>
      </w:pPr>
      <w:r>
        <w:rPr>
          <w:b/>
        </w:rPr>
        <w:t xml:space="preserve">Gap analysis. </w:t>
      </w:r>
      <w:r>
        <w:rPr>
          <w:b w:val="0"/>
        </w:rPr>
        <w:t>The tail is measured from termination rather than disclosure, so it is not equivalent: information disclosed late in the Term (or a Renewal Term) receives only ~3 years of protection, short of the 5-year minimum. Customer Data is not explicitly Confidential Information. No carve-out from § 12 (Issue 5). The trade-secret provision is compliant.</w:t>
      </w:r>
    </w:p>
    <w:p>
      <w:pPr>
        <w:spacing w:after="80"/>
      </w:pPr>
      <w:r>
        <w:rPr>
          <w:b/>
        </w:rPr>
        <w:t xml:space="preserve">Risk to Panorama. </w:t>
      </w:r>
      <w:r>
        <w:rPr>
          <w:b w:val="0"/>
        </w:rPr>
        <w:t>Medium-High. Argument that unmarked Customer Data or operational data falls outside § 8; post-term disclosure of strategic and patient-related information.</w:t>
      </w:r>
    </w:p>
    <w:p>
      <w:pPr>
        <w:spacing w:after="80"/>
      </w:pPr>
      <w:r>
        <w:rPr>
          <w:b/>
        </w:rPr>
        <w:t xml:space="preserve">Recommended position. </w:t>
      </w:r>
      <w:r>
        <w:rPr>
          <w:b w:val="0"/>
        </w:rPr>
        <w:t>Make obligations survive for the later of 5 years from disclosure or 3 years after termination (open: perpetual); perpetual for trade secrets and for Customer Data/PHI; express inclusion of Customer Data; tie Customer Data return/destruction to § 11.6.</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Add to § 1.5: “Customer Data (including all Protected Health Information) constitutes Customer’s Confidential Information, whether or not marked or designated as confidential.” Replace the last sentence of § 8.1: “The obligations in this Section 8 shall continue [in perpetuity] [for five (5) years from the date of each disclosure, or, if later, three (3) years following the expiration or termination of this Agreement]; provided that such obligations shall continue in perpetuity with respect to (a) trade secrets, for so long as they remain trade secrets under applicable law, and (b) Customer Data.” Add § 8 breaches to the Excluded Claims (Issue 5).</w:t>
            </w:r>
          </w:p>
        </w:tc>
      </w:tr>
    </w:tbl>
    <w:p>
      <w:pPr>
        <w:spacing w:after="0"/>
      </w:pPr>
    </w:p>
    <w:p>
      <w:pPr>
        <w:spacing w:after="60"/>
      </w:pPr>
      <w:r>
        <w:rPr>
          <w:b/>
        </w:rPr>
        <w:t xml:space="preserve">Fallback. </w:t>
      </w:r>
      <w:r>
        <w:rPr>
          <w:b w:val="0"/>
        </w:rPr>
        <w:t>5 years from disclosure (Required).</w:t>
      </w:r>
    </w:p>
    <w:p>
      <w:pPr>
        <w:spacing w:after="160"/>
      </w:pPr>
      <w:r>
        <w:rPr>
          <w:b/>
        </w:rPr>
        <w:t xml:space="preserve">Approval. </w:t>
      </w:r>
      <w:r>
        <w:rPr>
          <w:b w:val="0"/>
        </w:rPr>
        <w:t>&lt; 5 years from disclosure: GC approval.</w:t>
      </w:r>
    </w:p>
    <w:p>
      <w:pPr>
        <w:pStyle w:val="Heading2"/>
      </w:pPr>
      <w:r>
        <w:t>3.21  Issue 21: “Customer Data” definition omits generated, derived, metadata and usage data; vendor license lacks automatic termination</w:t>
      </w:r>
    </w:p>
    <w:p>
      <w:pPr>
        <w:spacing w:after="80"/>
      </w:pPr>
      <w:r>
        <w:rPr>
          <w:b/>
        </w:rPr>
        <w:t xml:space="preserve">Priority / Category: </w:t>
      </w:r>
      <w:r>
        <w:rPr>
          <w:b w:val="0"/>
        </w:rPr>
        <w:t xml:space="preserve">P2 - High / Category A   |   </w:t>
      </w:r>
      <w:r>
        <w:rPr>
          <w:b/>
        </w:rPr>
        <w:t xml:space="preserve">Agreement: </w:t>
      </w:r>
      <w:r>
        <w:rPr>
          <w:b w:val="0"/>
        </w:rPr>
        <w:t xml:space="preserve">MSA §§ 1.6, 6.2, 6.1   |   </w:t>
      </w:r>
      <w:r>
        <w:rPr>
          <w:b/>
        </w:rPr>
        <w:t xml:space="preserve">Playbook: </w:t>
      </w:r>
      <w:r>
        <w:rPr>
          <w:b w:val="0"/>
        </w:rPr>
        <w:t>Playbook § 6.1 (Required: Customer Ownership; App. A definition of Customer Data)</w:t>
      </w:r>
    </w:p>
    <w:p>
      <w:pPr>
        <w:spacing w:after="80"/>
      </w:pPr>
      <w:r>
        <w:rPr>
          <w:b/>
        </w:rPr>
        <w:t xml:space="preserve">Vaultline draft. </w:t>
      </w:r>
      <w:r>
        <w:rPr>
          <w:b w:val="0"/>
        </w:rPr>
        <w:t>Customer Data covers data “submitted, uploaded, transmitted, or otherwise made available by or on behalf of Customer”; Customer owns it “as between the parties” and grants a limited, non-exclusive, non-transferable license “solely as necessary” to provide services. Section 6.1 vests in Vaultline all “improvements … and derivative works” of its technology, “models” and “algorithms.”</w:t>
      </w:r>
    </w:p>
    <w:p>
      <w:pPr>
        <w:spacing w:after="80"/>
      </w:pPr>
      <w:r>
        <w:rPr>
          <w:b/>
        </w:rPr>
        <w:t xml:space="preserve">Playbook position. </w:t>
      </w:r>
      <w:r>
        <w:rPr>
          <w:b w:val="0"/>
        </w:rPr>
        <w:t>Customer owns all data provided by Customer or generated or collected by the platform in connection with Customer’s use, including metadata, usage data, configurations, and data derived from any of it; vendor license is non-exclusive, non-transferable, non-sublicensable, solely for service delivery during the Term, and terminates automatically on expiry/termination.</w:t>
      </w:r>
    </w:p>
    <w:p>
      <w:pPr>
        <w:spacing w:after="80"/>
      </w:pPr>
      <w:r>
        <w:rPr>
          <w:b/>
        </w:rPr>
        <w:t xml:space="preserve">Gap analysis. </w:t>
      </w:r>
      <w:r>
        <w:rPr>
          <w:b w:val="0"/>
        </w:rPr>
        <w:t>Output of the Platform — predictive patient outcome dashboards, population-health analytics, regulatory reports, configurations, metadata and usage data — is not clearly Customer Data and could be claimed by Vaultline as “improvements” or “derivative works” under § 6.1 (e.g., models trained on Panorama data). License is silent on sublicensing (beyond Subprocessors) and termination. Ownership in § 6.2 is otherwise compliant.</w:t>
      </w:r>
    </w:p>
    <w:p>
      <w:pPr>
        <w:spacing w:after="80"/>
      </w:pPr>
      <w:r>
        <w:rPr>
          <w:b/>
        </w:rPr>
        <w:t xml:space="preserve">Risk to Panorama. </w:t>
      </w:r>
      <w:r>
        <w:rPr>
          <w:b w:val="0"/>
        </w:rPr>
        <w:t>Medium-High. Ownership leakage of analytics outputs; vendor model training on PHI; interacts with Issue 2.</w:t>
      </w:r>
    </w:p>
    <w:p>
      <w:pPr>
        <w:spacing w:after="80"/>
      </w:pPr>
      <w:r>
        <w:rPr>
          <w:b/>
        </w:rPr>
        <w:t xml:space="preserve">Recommended position. </w:t>
      </w:r>
      <w:r>
        <w:rPr>
          <w:b w:val="0"/>
        </w:rPr>
        <w:t>Expand the definition to the Playbook/Appendix A definition and include Platform outputs; make clear that § 6.1 does not reach Customer Data or outputs, and that Vaultline may not train models on Customer Data except as permitted under § 6.3 and the BAA.</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 1.6 with: “‘Customer Data’ means all data, information, content, and materials provided by or on behalf of Customer or its Authorized Users, or generated, collected, or derived by the Platform in connection with Customer’s use of the Platform or services, including patient records, clinical data, operational data, financial data, metadata, usage data, configurations, reports, dashboards, analytics outputs, and any data derived from or created using any of the foregoing, and all Protected Health Information.” In § 6.2 insert “non-sublicensable (except to Subprocessors bound in accordance with Section 7.4)” and add: “This license terminates automatically upon expiration or termination of this Agreement, subject only to Section 11.6. Vaultline acquires no ownership interest in Customer Data, and nothing in Section 6.1 grants Vaultline any right in Customer Data.”</w:t>
            </w:r>
          </w:p>
        </w:tc>
      </w:tr>
    </w:tbl>
    <w:p>
      <w:pPr>
        <w:spacing w:after="0"/>
      </w:pPr>
    </w:p>
    <w:p>
      <w:pPr>
        <w:spacing w:after="60"/>
      </w:pPr>
      <w:r>
        <w:rPr>
          <w:b/>
        </w:rPr>
        <w:t xml:space="preserve">Fallback. </w:t>
      </w:r>
      <w:r>
        <w:rPr>
          <w:b w:val="0"/>
        </w:rPr>
        <w:t>Vaultline may retain ownership of its generic models and know-how provided no Customer Data (or model trained on identifiable Customer Data) is included.</w:t>
      </w:r>
    </w:p>
    <w:p>
      <w:pPr>
        <w:spacing w:after="160"/>
      </w:pPr>
      <w:r>
        <w:rPr>
          <w:b/>
        </w:rPr>
        <w:t xml:space="preserve">Approval. </w:t>
      </w:r>
      <w:r>
        <w:rPr>
          <w:b w:val="0"/>
        </w:rPr>
        <w:t>Any narrowing of Customer Data ownership: GC approval.</w:t>
      </w:r>
    </w:p>
    <w:p>
      <w:pPr>
        <w:pStyle w:val="Heading2"/>
      </w:pPr>
      <w:r>
        <w:t>3.22  Issue 22: Order of precedence: Exhibits (incl. SLA sole-remedy) override the MSA; BAA not first</w:t>
      </w:r>
    </w:p>
    <w:p>
      <w:pPr>
        <w:spacing w:after="80"/>
      </w:pPr>
      <w:r>
        <w:rPr>
          <w:b/>
        </w:rPr>
        <w:t xml:space="preserve">Priority / Category: </w:t>
      </w:r>
      <w:r>
        <w:rPr>
          <w:b w:val="0"/>
        </w:rPr>
        <w:t xml:space="preserve">P3 - Medium / Category B   |   </w:t>
      </w:r>
      <w:r>
        <w:rPr>
          <w:b/>
        </w:rPr>
        <w:t xml:space="preserve">Agreement: </w:t>
      </w:r>
      <w:r>
        <w:rPr>
          <w:b w:val="0"/>
        </w:rPr>
        <w:t xml:space="preserve">MSA § 14.6; § 5.3; § 7.5   |   </w:t>
      </w:r>
      <w:r>
        <w:rPr>
          <w:b/>
        </w:rPr>
        <w:t xml:space="preserve">Playbook: </w:t>
      </w:r>
      <w:r>
        <w:rPr>
          <w:b w:val="0"/>
        </w:rPr>
        <w:t>Playbook § 17 (Order of Precedence: BAA, Master Agreement, Order Form, SLA, SOW)</w:t>
      </w:r>
    </w:p>
    <w:p>
      <w:pPr>
        <w:spacing w:after="80"/>
      </w:pPr>
      <w:r>
        <w:rPr>
          <w:b/>
        </w:rPr>
        <w:t xml:space="preserve">Vaultline draft. </w:t>
      </w:r>
      <w:r>
        <w:rPr>
          <w:b w:val="0"/>
        </w:rPr>
        <w:t>“In the event of a conflict between the terms of this Agreement and the terms of any Exhibit, the terms of the Exhibit shall control,” and § 5.3 gives Exhibit B precedence over § 5. The BAA controls only “with respect to the protection of Protected Health Information.”</w:t>
      </w:r>
    </w:p>
    <w:p>
      <w:pPr>
        <w:spacing w:after="80"/>
      </w:pPr>
      <w:r>
        <w:rPr>
          <w:b/>
        </w:rPr>
        <w:t xml:space="preserve">Playbook position. </w:t>
      </w:r>
      <w:r>
        <w:rPr>
          <w:b w:val="0"/>
        </w:rPr>
        <w:t>BAA &gt; Master Agreement &gt; Order Form &gt; SLA &gt; SOW.</w:t>
      </w:r>
    </w:p>
    <w:p>
      <w:pPr>
        <w:spacing w:after="80"/>
      </w:pPr>
      <w:r>
        <w:rPr>
          <w:b/>
        </w:rPr>
        <w:t xml:space="preserve">Gap analysis. </w:t>
      </w:r>
      <w:r>
        <w:rPr>
          <w:b w:val="0"/>
        </w:rPr>
        <w:t>Inverted hierarchy lets the SLA sole-remedy and the Order Form’s prepayment terms override negotiated MSA protections.</w:t>
      </w:r>
    </w:p>
    <w:p>
      <w:pPr>
        <w:spacing w:after="80"/>
      </w:pPr>
      <w:r>
        <w:rPr>
          <w:b/>
        </w:rPr>
        <w:t xml:space="preserve">Risk to Panorama. </w:t>
      </w:r>
      <w:r>
        <w:rPr>
          <w:b w:val="0"/>
        </w:rPr>
        <w:t>Medium. Undermines fixes made in the MSA body.</w:t>
      </w:r>
    </w:p>
    <w:p>
      <w:pPr>
        <w:spacing w:after="80"/>
      </w:pPr>
      <w:r>
        <w:rPr>
          <w:b/>
        </w:rPr>
        <w:t xml:space="preserve">Recommended position. </w:t>
      </w:r>
      <w:r>
        <w:rPr>
          <w:b w:val="0"/>
        </w:rPr>
        <w:t>Adopt the Playbook order of precedence.</w:t>
      </w:r>
    </w:p>
    <w:p>
      <w:pPr>
        <w:spacing w:after="40"/>
      </w:pPr>
      <w:r>
        <w:rPr>
          <w:b/>
        </w:rPr>
        <w:t xml:space="preserve">Proposed redline language. </w:t>
      </w:r>
    </w:p>
    <w:tbl>
      <w:tblPr>
        <w:tblStyle w:val="TableGrid"/>
        <w:tblW w:type="auto" w:w="0"/>
        <w:tblLook w:firstColumn="1" w:firstRow="1" w:lastColumn="0" w:lastRow="0" w:noHBand="0" w:noVBand="1" w:val="04A0"/>
      </w:tblPr>
      <w:tblGrid>
        <w:gridCol w:w="9648"/>
      </w:tblGrid>
      <w:tr>
        <w:tc>
          <w:tcPr>
            <w:tcW w:type="dxa" w:w="9648"/>
            <w:shd w:val="clear" w:color="auto" w:fill="EEF3F8"/>
          </w:tcPr>
          <w:p>
            <w:r/>
            <w:r>
              <w:rPr>
                <w:sz w:val="18"/>
              </w:rPr>
              <w:t>Replace the last sentence of § 14.6: “In the event of any conflict among the documents comprising this Agreement, the following order of precedence shall apply: (1) the BAA; (2) the body of this Agreement; (3) the Order Form; (4) the Service Level Agreement (Exhibit B); and (5) any Statement of Work.” Delete the last sentence of § 5.3.</w:t>
            </w:r>
          </w:p>
        </w:tc>
      </w:tr>
    </w:tbl>
    <w:p>
      <w:pPr>
        <w:spacing w:after="0"/>
      </w:pPr>
    </w:p>
    <w:p>
      <w:pPr>
        <w:spacing w:after="60"/>
      </w:pPr>
      <w:r>
        <w:rPr>
          <w:b/>
        </w:rPr>
        <w:t xml:space="preserve">Fallback. </w:t>
      </w:r>
      <w:r>
        <w:rPr>
          <w:b w:val="0"/>
        </w:rPr>
        <w:t>None (checklist item).</w:t>
      </w:r>
    </w:p>
    <w:p>
      <w:pPr>
        <w:spacing w:after="160"/>
      </w:pPr>
      <w:r>
        <w:rPr>
          <w:b/>
        </w:rPr>
        <w:t xml:space="preserve">Approval. </w:t>
      </w:r>
      <w:r>
        <w:rPr>
          <w:b w:val="0"/>
        </w:rPr>
        <w:t>Senior Counsel / document in memo.</w:t>
      </w:r>
    </w:p>
    <w:p>
      <w:pPr>
        <w:pStyle w:val="Heading2"/>
      </w:pPr>
      <w:r>
        <w:t>3.23 Preferred-position gaps (Category B: pursue if commercially practicable)</w:t>
      </w:r>
    </w:p>
    <w:p>
      <w:pPr>
        <w:spacing w:after="60"/>
      </w:pPr>
      <w:r>
        <w:rPr>
          <w:b w:val="0"/>
          <w:i w:val="0"/>
        </w:rPr>
        <w:t>These do not need formal approval to concede. Per Playbook § 1, each concession should be documented with its commercial rationale. Most are best used as opening positions and trading currency for the P1 items.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016"/>
            <w:shd w:val="clear" w:color="auto" w:fill="1F3A5F"/>
          </w:tcPr>
          <w:p>
            <w:r/>
            <w:r>
              <w:rPr>
                <w:b/>
                <w:color w:val="FFFFFF"/>
                <w:sz w:val="16"/>
              </w:rPr>
              <w:t>Topic</w:t>
            </w:r>
          </w:p>
        </w:tc>
        <w:tc>
          <w:tcPr>
            <w:tcW w:type="dxa" w:w="1728"/>
            <w:shd w:val="clear" w:color="auto" w:fill="1F3A5F"/>
          </w:tcPr>
          <w:p>
            <w:r/>
            <w:r>
              <w:rPr>
                <w:b/>
                <w:color w:val="FFFFFF"/>
                <w:sz w:val="16"/>
              </w:rPr>
              <w:t>Draft</w:t>
            </w:r>
          </w:p>
        </w:tc>
        <w:tc>
          <w:tcPr>
            <w:tcW w:type="dxa" w:w="3024"/>
            <w:shd w:val="clear" w:color="auto" w:fill="1F3A5F"/>
          </w:tcPr>
          <w:p>
            <w:r/>
            <w:r>
              <w:rPr>
                <w:b/>
                <w:color w:val="FFFFFF"/>
                <w:sz w:val="16"/>
              </w:rPr>
              <w:t>Preferred position (Playbook)</w:t>
            </w:r>
          </w:p>
        </w:tc>
        <w:tc>
          <w:tcPr>
            <w:tcW w:type="dxa" w:w="2880"/>
            <w:shd w:val="clear" w:color="auto" w:fill="1F3A5F"/>
          </w:tcPr>
          <w:p>
            <w:r/>
            <w:r>
              <w:rPr>
                <w:b/>
                <w:color w:val="FFFFFF"/>
                <w:sz w:val="16"/>
              </w:rPr>
              <w:t>Recommendation</w:t>
            </w:r>
          </w:p>
        </w:tc>
      </w:tr>
      <w:tr>
        <w:tc>
          <w:tcPr>
            <w:tcW w:type="dxa" w:w="2016"/>
          </w:tcPr>
          <w:p>
            <w:r/>
            <w:r>
              <w:rPr>
                <w:sz w:val="16"/>
              </w:rPr>
              <w:t>Most Favored Customer (§ 4.4)</w:t>
            </w:r>
          </w:p>
        </w:tc>
        <w:tc>
          <w:tcPr>
            <w:tcW w:type="dxa" w:w="1728"/>
          </w:tcPr>
          <w:p>
            <w:r/>
            <w:r>
              <w:rPr>
                <w:sz w:val="16"/>
              </w:rPr>
              <w:t>None</w:t>
            </w:r>
          </w:p>
        </w:tc>
        <w:tc>
          <w:tcPr>
            <w:tcW w:type="dxa" w:w="3024"/>
          </w:tcPr>
          <w:p>
            <w:r/>
            <w:r>
              <w:rPr>
                <w:sz w:val="16"/>
              </w:rPr>
              <w:t>Vendor warrants pricing no less favorable than similarly situated customers</w:t>
            </w:r>
          </w:p>
        </w:tc>
        <w:tc>
          <w:tcPr>
            <w:tcW w:type="dxa" w:w="2880"/>
          </w:tcPr>
          <w:p>
            <w:r/>
            <w:r>
              <w:rPr>
                <w:sz w:val="16"/>
              </w:rPr>
              <w:t>Request; trade away for price lock/escalation cap</w:t>
            </w:r>
          </w:p>
        </w:tc>
      </w:tr>
      <w:tr>
        <w:tc>
          <w:tcPr>
            <w:tcW w:type="dxa" w:w="2016"/>
          </w:tcPr>
          <w:p>
            <w:r/>
            <w:r>
              <w:rPr>
                <w:sz w:val="16"/>
              </w:rPr>
              <w:t>Invoicing frequency (§ 4.1)</w:t>
            </w:r>
          </w:p>
        </w:tc>
        <w:tc>
          <w:tcPr>
            <w:tcW w:type="dxa" w:w="1728"/>
          </w:tcPr>
          <w:p>
            <w:r/>
            <w:r>
              <w:rPr>
                <w:sz w:val="16"/>
              </w:rPr>
              <w:t>Annual in advance</w:t>
            </w:r>
          </w:p>
        </w:tc>
        <w:tc>
          <w:tcPr>
            <w:tcW w:type="dxa" w:w="3024"/>
          </w:tcPr>
          <w:p>
            <w:r/>
            <w:r>
              <w:rPr>
                <w:sz w:val="16"/>
              </w:rPr>
              <w:t>Quarterly</w:t>
            </w:r>
          </w:p>
        </w:tc>
        <w:tc>
          <w:tcPr>
            <w:tcW w:type="dxa" w:w="2880"/>
          </w:tcPr>
          <w:p>
            <w:r/>
            <w:r>
              <w:rPr>
                <w:sz w:val="16"/>
              </w:rPr>
              <w:t>Open position (Issue 14)</w:t>
            </w:r>
          </w:p>
        </w:tc>
      </w:tr>
      <w:tr>
        <w:tc>
          <w:tcPr>
            <w:tcW w:type="dxa" w:w="2016"/>
          </w:tcPr>
          <w:p>
            <w:r/>
            <w:r>
              <w:rPr>
                <w:sz w:val="16"/>
              </w:rPr>
              <w:t>Price lock (§ 4.2)</w:t>
            </w:r>
          </w:p>
        </w:tc>
        <w:tc>
          <w:tcPr>
            <w:tcW w:type="dxa" w:w="1728"/>
          </w:tcPr>
          <w:p>
            <w:r/>
            <w:r>
              <w:rPr>
                <w:sz w:val="16"/>
              </w:rPr>
              <w:t>5% floor from Year 2</w:t>
            </w:r>
          </w:p>
        </w:tc>
        <w:tc>
          <w:tcPr>
            <w:tcW w:type="dxa" w:w="3024"/>
          </w:tcPr>
          <w:p>
            <w:r/>
            <w:r>
              <w:rPr>
                <w:sz w:val="16"/>
              </w:rPr>
              <w:t>No escalation in Initial Term</w:t>
            </w:r>
          </w:p>
        </w:tc>
        <w:tc>
          <w:tcPr>
            <w:tcW w:type="dxa" w:w="2880"/>
          </w:tcPr>
          <w:p>
            <w:r/>
            <w:r>
              <w:rPr>
                <w:sz w:val="16"/>
              </w:rPr>
              <w:t>Open position (Issue 15)</w:t>
            </w:r>
          </w:p>
        </w:tc>
      </w:tr>
      <w:tr>
        <w:tc>
          <w:tcPr>
            <w:tcW w:type="dxa" w:w="2016"/>
          </w:tcPr>
          <w:p>
            <w:r/>
            <w:r>
              <w:rPr>
                <w:sz w:val="16"/>
              </w:rPr>
              <w:t>Chronic SLA termination (§ 5.4)</w:t>
            </w:r>
          </w:p>
        </w:tc>
        <w:tc>
          <w:tcPr>
            <w:tcW w:type="dxa" w:w="1728"/>
          </w:tcPr>
          <w:p>
            <w:r/>
            <w:r>
              <w:rPr>
                <w:sz w:val="16"/>
              </w:rPr>
              <w:t>None</w:t>
            </w:r>
          </w:p>
        </w:tc>
        <w:tc>
          <w:tcPr>
            <w:tcW w:type="dxa" w:w="3024"/>
          </w:tcPr>
          <w:p>
            <w:r/>
            <w:r>
              <w:rPr>
                <w:sz w:val="16"/>
              </w:rPr>
              <w:t>Terminate if uptime &lt; 98.0% in 3 of 12 months, with refund</w:t>
            </w:r>
          </w:p>
        </w:tc>
        <w:tc>
          <w:tcPr>
            <w:tcW w:type="dxa" w:w="2880"/>
          </w:tcPr>
          <w:p>
            <w:r/>
            <w:r>
              <w:rPr>
                <w:sz w:val="16"/>
              </w:rPr>
              <w:t>Request (Issue 12); tradeable</w:t>
            </w:r>
          </w:p>
        </w:tc>
      </w:tr>
      <w:tr>
        <w:tc>
          <w:tcPr>
            <w:tcW w:type="dxa" w:w="2016"/>
          </w:tcPr>
          <w:p>
            <w:r/>
            <w:r>
              <w:rPr>
                <w:sz w:val="16"/>
              </w:rPr>
              <w:t>Liability cap / consequential (§ 8.1)</w:t>
            </w:r>
          </w:p>
        </w:tc>
        <w:tc>
          <w:tcPr>
            <w:tcW w:type="dxa" w:w="1728"/>
          </w:tcPr>
          <w:p>
            <w:r/>
            <w:r>
              <w:rPr>
                <w:sz w:val="16"/>
              </w:rPr>
              <w:t>6 months; full waiver</w:t>
            </w:r>
          </w:p>
        </w:tc>
        <w:tc>
          <w:tcPr>
            <w:tcW w:type="dxa" w:w="3024"/>
          </w:tcPr>
          <w:p>
            <w:r/>
            <w:r>
              <w:rPr>
                <w:sz w:val="16"/>
              </w:rPr>
              <w:t>3x annual fees; no consequential waiver</w:t>
            </w:r>
          </w:p>
        </w:tc>
        <w:tc>
          <w:tcPr>
            <w:tcW w:type="dxa" w:w="2880"/>
          </w:tcPr>
          <w:p>
            <w:r/>
            <w:r>
              <w:rPr>
                <w:sz w:val="16"/>
              </w:rPr>
              <w:t>Open position (Issue 5)</w:t>
            </w:r>
          </w:p>
        </w:tc>
      </w:tr>
      <w:tr>
        <w:tc>
          <w:tcPr>
            <w:tcW w:type="dxa" w:w="2016"/>
          </w:tcPr>
          <w:p>
            <w:r/>
            <w:r>
              <w:rPr>
                <w:sz w:val="16"/>
              </w:rPr>
              <w:t>IP indemnity (§ 8.2)</w:t>
            </w:r>
          </w:p>
        </w:tc>
        <w:tc>
          <w:tcPr>
            <w:tcW w:type="dxa" w:w="1728"/>
          </w:tcPr>
          <w:p>
            <w:r/>
            <w:r>
              <w:rPr>
                <w:sz w:val="16"/>
              </w:rPr>
              <w:t>Capped, carve-outs</w:t>
            </w:r>
          </w:p>
        </w:tc>
        <w:tc>
          <w:tcPr>
            <w:tcW w:type="dxa" w:w="3024"/>
          </w:tcPr>
          <w:p>
            <w:r/>
            <w:r>
              <w:rPr>
                <w:sz w:val="16"/>
              </w:rPr>
              <w:t>Full, uncapped, no carve-outs</w:t>
            </w:r>
          </w:p>
        </w:tc>
        <w:tc>
          <w:tcPr>
            <w:tcW w:type="dxa" w:w="2880"/>
          </w:tcPr>
          <w:p>
            <w:r/>
            <w:r>
              <w:rPr>
                <w:sz w:val="16"/>
              </w:rPr>
              <w:t>Uncapped is Required in substance (§ 8.1(b)); carve-out-free is opening position</w:t>
            </w:r>
          </w:p>
        </w:tc>
      </w:tr>
      <w:tr>
        <w:tc>
          <w:tcPr>
            <w:tcW w:type="dxa" w:w="2016"/>
          </w:tcPr>
          <w:p>
            <w:r/>
            <w:r>
              <w:rPr>
                <w:sz w:val="16"/>
              </w:rPr>
              <w:t>Breach notice (§ 7.3)</w:t>
            </w:r>
          </w:p>
        </w:tc>
        <w:tc>
          <w:tcPr>
            <w:tcW w:type="dxa" w:w="1728"/>
          </w:tcPr>
          <w:p>
            <w:r/>
            <w:r>
              <w:rPr>
                <w:sz w:val="16"/>
              </w:rPr>
              <w:t>72 hrs from confirmation</w:t>
            </w:r>
          </w:p>
        </w:tc>
        <w:tc>
          <w:tcPr>
            <w:tcW w:type="dxa" w:w="3024"/>
          </w:tcPr>
          <w:p>
            <w:r/>
            <w:r>
              <w:rPr>
                <w:sz w:val="16"/>
              </w:rPr>
              <w:t>12 hrs; vendor bears all costs regardless of fault</w:t>
            </w:r>
          </w:p>
        </w:tc>
        <w:tc>
          <w:tcPr>
            <w:tcW w:type="dxa" w:w="2880"/>
          </w:tcPr>
          <w:p>
            <w:r/>
            <w:r>
              <w:rPr>
                <w:sz w:val="16"/>
              </w:rPr>
              <w:t>Open position (Issue 4)</w:t>
            </w:r>
          </w:p>
        </w:tc>
      </w:tr>
      <w:tr>
        <w:tc>
          <w:tcPr>
            <w:tcW w:type="dxa" w:w="2016"/>
          </w:tcPr>
          <w:p>
            <w:r/>
            <w:r>
              <w:rPr>
                <w:sz w:val="16"/>
              </w:rPr>
              <w:t>Insurance (§ 9)</w:t>
            </w:r>
          </w:p>
        </w:tc>
        <w:tc>
          <w:tcPr>
            <w:tcW w:type="dxa" w:w="1728"/>
          </w:tcPr>
          <w:p>
            <w:r/>
            <w:r>
              <w:rPr>
                <w:sz w:val="16"/>
              </w:rPr>
              <w:t>$5M cyber</w:t>
            </w:r>
          </w:p>
        </w:tc>
        <w:tc>
          <w:tcPr>
            <w:tcW w:type="dxa" w:w="3024"/>
          </w:tcPr>
          <w:p>
            <w:r/>
            <w:r>
              <w:rPr>
                <w:sz w:val="16"/>
              </w:rPr>
              <w:t>$15M; A.M. Best A- or better</w:t>
            </w:r>
          </w:p>
        </w:tc>
        <w:tc>
          <w:tcPr>
            <w:tcW w:type="dxa" w:w="2880"/>
          </w:tcPr>
          <w:p>
            <w:r/>
            <w:r>
              <w:rPr>
                <w:sz w:val="16"/>
              </w:rPr>
              <w:t>Open position (Issue 7)</w:t>
            </w:r>
          </w:p>
        </w:tc>
      </w:tr>
      <w:tr>
        <w:tc>
          <w:tcPr>
            <w:tcW w:type="dxa" w:w="2016"/>
          </w:tcPr>
          <w:p>
            <w:r/>
            <w:r>
              <w:rPr>
                <w:sz w:val="16"/>
              </w:rPr>
              <w:t>TfC notice (§ 10.1)</w:t>
            </w:r>
          </w:p>
        </w:tc>
        <w:tc>
          <w:tcPr>
            <w:tcW w:type="dxa" w:w="1728"/>
          </w:tcPr>
          <w:p>
            <w:r/>
            <w:r>
              <w:rPr>
                <w:sz w:val="16"/>
              </w:rPr>
              <w:t>No Customer right</w:t>
            </w:r>
          </w:p>
        </w:tc>
        <w:tc>
          <w:tcPr>
            <w:tcW w:type="dxa" w:w="3024"/>
          </w:tcPr>
          <w:p>
            <w:r/>
            <w:r>
              <w:rPr>
                <w:sz w:val="16"/>
              </w:rPr>
              <w:t>60 days</w:t>
            </w:r>
          </w:p>
        </w:tc>
        <w:tc>
          <w:tcPr>
            <w:tcW w:type="dxa" w:w="2880"/>
          </w:tcPr>
          <w:p>
            <w:r/>
            <w:r>
              <w:rPr>
                <w:sz w:val="16"/>
              </w:rPr>
              <w:t>Open position (Issue 11)</w:t>
            </w:r>
          </w:p>
        </w:tc>
      </w:tr>
      <w:tr>
        <w:tc>
          <w:tcPr>
            <w:tcW w:type="dxa" w:w="2016"/>
          </w:tcPr>
          <w:p>
            <w:r/>
            <w:r>
              <w:rPr>
                <w:sz w:val="16"/>
              </w:rPr>
              <w:t>Renewal (§ 10.2)</w:t>
            </w:r>
          </w:p>
        </w:tc>
        <w:tc>
          <w:tcPr>
            <w:tcW w:type="dxa" w:w="1728"/>
          </w:tcPr>
          <w:p>
            <w:r/>
            <w:r>
              <w:rPr>
                <w:sz w:val="16"/>
              </w:rPr>
              <w:t>Auto; 120 days</w:t>
            </w:r>
          </w:p>
        </w:tc>
        <w:tc>
          <w:tcPr>
            <w:tcW w:type="dxa" w:w="3024"/>
          </w:tcPr>
          <w:p>
            <w:r/>
            <w:r>
              <w:rPr>
                <w:sz w:val="16"/>
              </w:rPr>
              <w:t>No auto-renewal, or 30 days</w:t>
            </w:r>
          </w:p>
        </w:tc>
        <w:tc>
          <w:tcPr>
            <w:tcW w:type="dxa" w:w="2880"/>
          </w:tcPr>
          <w:p>
            <w:r/>
            <w:r>
              <w:rPr>
                <w:sz w:val="16"/>
              </w:rPr>
              <w:t>Open position (Issue 19)</w:t>
            </w:r>
          </w:p>
        </w:tc>
      </w:tr>
      <w:tr>
        <w:tc>
          <w:tcPr>
            <w:tcW w:type="dxa" w:w="2016"/>
          </w:tcPr>
          <w:p>
            <w:r/>
            <w:r>
              <w:rPr>
                <w:sz w:val="16"/>
              </w:rPr>
              <w:t>CoC termination (§ 11)</w:t>
            </w:r>
          </w:p>
        </w:tc>
        <w:tc>
          <w:tcPr>
            <w:tcW w:type="dxa" w:w="1728"/>
          </w:tcPr>
          <w:p>
            <w:r/>
            <w:r>
              <w:rPr>
                <w:sz w:val="16"/>
              </w:rPr>
              <w:t>None</w:t>
            </w:r>
          </w:p>
        </w:tc>
        <w:tc>
          <w:tcPr>
            <w:tcW w:type="dxa" w:w="3024"/>
          </w:tcPr>
          <w:p>
            <w:r/>
            <w:r>
              <w:rPr>
                <w:sz w:val="16"/>
              </w:rPr>
              <w:t>Customer termination on any CoC with refund</w:t>
            </w:r>
          </w:p>
        </w:tc>
        <w:tc>
          <w:tcPr>
            <w:tcW w:type="dxa" w:w="2880"/>
          </w:tcPr>
          <w:p>
            <w:r/>
            <w:r>
              <w:rPr>
                <w:sz w:val="16"/>
              </w:rPr>
              <w:t>Request; important given acquisition risk</w:t>
            </w:r>
          </w:p>
        </w:tc>
      </w:tr>
      <w:tr>
        <w:tc>
          <w:tcPr>
            <w:tcW w:type="dxa" w:w="2016"/>
          </w:tcPr>
          <w:p>
            <w:r/>
            <w:r>
              <w:rPr>
                <w:sz w:val="16"/>
              </w:rPr>
              <w:t>Mediation (§ 12)</w:t>
            </w:r>
          </w:p>
        </w:tc>
        <w:tc>
          <w:tcPr>
            <w:tcW w:type="dxa" w:w="1728"/>
          </w:tcPr>
          <w:p>
            <w:r/>
            <w:r>
              <w:rPr>
                <w:sz w:val="16"/>
              </w:rPr>
              <w:t>None</w:t>
            </w:r>
          </w:p>
        </w:tc>
        <w:tc>
          <w:tcPr>
            <w:tcW w:type="dxa" w:w="3024"/>
          </w:tcPr>
          <w:p>
            <w:r/>
            <w:r>
              <w:rPr>
                <w:sz w:val="16"/>
              </w:rPr>
              <w:t>Pre-suit mediation in Minneapolis</w:t>
            </w:r>
          </w:p>
        </w:tc>
        <w:tc>
          <w:tcPr>
            <w:tcW w:type="dxa" w:w="2880"/>
          </w:tcPr>
          <w:p>
            <w:r/>
            <w:r>
              <w:rPr>
                <w:sz w:val="16"/>
              </w:rPr>
              <w:t>Offer as balanced add-on (Issue 18)</w:t>
            </w:r>
          </w:p>
        </w:tc>
      </w:tr>
      <w:tr>
        <w:tc>
          <w:tcPr>
            <w:tcW w:type="dxa" w:w="2016"/>
          </w:tcPr>
          <w:p>
            <w:r/>
            <w:r>
              <w:rPr>
                <w:sz w:val="16"/>
              </w:rPr>
              <w:t>Escrow (§ 13)</w:t>
            </w:r>
          </w:p>
        </w:tc>
        <w:tc>
          <w:tcPr>
            <w:tcW w:type="dxa" w:w="1728"/>
          </w:tcPr>
          <w:p>
            <w:r/>
            <w:r>
              <w:rPr>
                <w:sz w:val="16"/>
              </w:rPr>
              <w:t>None</w:t>
            </w:r>
          </w:p>
        </w:tc>
        <w:tc>
          <w:tcPr>
            <w:tcW w:type="dxa" w:w="3024"/>
          </w:tcPr>
          <w:p>
            <w:r/>
            <w:r>
              <w:rPr>
                <w:sz w:val="16"/>
              </w:rPr>
              <w:t>Quarterly updates</w:t>
            </w:r>
          </w:p>
        </w:tc>
        <w:tc>
          <w:tcPr>
            <w:tcW w:type="dxa" w:w="2880"/>
          </w:tcPr>
          <w:p>
            <w:r/>
            <w:r>
              <w:rPr>
                <w:sz w:val="16"/>
              </w:rPr>
              <w:t>Open position (Issue 10)</w:t>
            </w:r>
          </w:p>
        </w:tc>
      </w:tr>
      <w:tr>
        <w:tc>
          <w:tcPr>
            <w:tcW w:type="dxa" w:w="2016"/>
          </w:tcPr>
          <w:p>
            <w:r/>
            <w:r>
              <w:rPr>
                <w:sz w:val="16"/>
              </w:rPr>
              <w:t>UAT (§ 14)</w:t>
            </w:r>
          </w:p>
        </w:tc>
        <w:tc>
          <w:tcPr>
            <w:tcW w:type="dxa" w:w="1728"/>
          </w:tcPr>
          <w:p>
            <w:r/>
            <w:r>
              <w:rPr>
                <w:sz w:val="16"/>
              </w:rPr>
              <w:t>5 business days, deemed</w:t>
            </w:r>
          </w:p>
        </w:tc>
        <w:tc>
          <w:tcPr>
            <w:tcW w:type="dxa" w:w="3024"/>
          </w:tcPr>
          <w:p>
            <w:r/>
            <w:r>
              <w:rPr>
                <w:sz w:val="16"/>
              </w:rPr>
              <w:t>45 days; joint sign-off</w:t>
            </w:r>
          </w:p>
        </w:tc>
        <w:tc>
          <w:tcPr>
            <w:tcW w:type="dxa" w:w="2880"/>
          </w:tcPr>
          <w:p>
            <w:r/>
            <w:r>
              <w:rPr>
                <w:sz w:val="16"/>
              </w:rPr>
              <w:t>Open position (Issue 13)</w:t>
            </w:r>
          </w:p>
        </w:tc>
      </w:tr>
      <w:tr>
        <w:tc>
          <w:tcPr>
            <w:tcW w:type="dxa" w:w="2016"/>
          </w:tcPr>
          <w:p>
            <w:r/>
            <w:r>
              <w:rPr>
                <w:sz w:val="16"/>
              </w:rPr>
              <w:t>Confidentiality (§ 16)</w:t>
            </w:r>
          </w:p>
        </w:tc>
        <w:tc>
          <w:tcPr>
            <w:tcW w:type="dxa" w:w="1728"/>
          </w:tcPr>
          <w:p>
            <w:r/>
            <w:r>
              <w:rPr>
                <w:sz w:val="16"/>
              </w:rPr>
              <w:t>Term + 3 yrs</w:t>
            </w:r>
          </w:p>
        </w:tc>
        <w:tc>
          <w:tcPr>
            <w:tcW w:type="dxa" w:w="3024"/>
          </w:tcPr>
          <w:p>
            <w:r/>
            <w:r>
              <w:rPr>
                <w:sz w:val="16"/>
              </w:rPr>
              <w:t>Perpetual</w:t>
            </w:r>
          </w:p>
        </w:tc>
        <w:tc>
          <w:tcPr>
            <w:tcW w:type="dxa" w:w="2880"/>
          </w:tcPr>
          <w:p>
            <w:r/>
            <w:r>
              <w:rPr>
                <w:sz w:val="16"/>
              </w:rPr>
              <w:t>Open position (Issue 20)</w:t>
            </w:r>
          </w:p>
        </w:tc>
      </w:tr>
      <w:tr>
        <w:tc>
          <w:tcPr>
            <w:tcW w:type="dxa" w:w="2016"/>
          </w:tcPr>
          <w:p>
            <w:r/>
            <w:r>
              <w:rPr>
                <w:sz w:val="16"/>
              </w:rPr>
              <w:t>De-identified data (§ 6.1)</w:t>
            </w:r>
          </w:p>
        </w:tc>
        <w:tc>
          <w:tcPr>
            <w:tcW w:type="dxa" w:w="1728"/>
          </w:tcPr>
          <w:p>
            <w:r/>
            <w:r>
              <w:rPr>
                <w:sz w:val="16"/>
              </w:rPr>
              <w:t>Vendor owns; may sell</w:t>
            </w:r>
          </w:p>
        </w:tc>
        <w:tc>
          <w:tcPr>
            <w:tcW w:type="dxa" w:w="3024"/>
          </w:tcPr>
          <w:p>
            <w:r/>
            <w:r>
              <w:rPr>
                <w:sz w:val="16"/>
              </w:rPr>
              <w:t>No vendor rights in derivatives</w:t>
            </w:r>
          </w:p>
        </w:tc>
        <w:tc>
          <w:tcPr>
            <w:tcW w:type="dxa" w:w="2880"/>
          </w:tcPr>
          <w:p>
            <w:r/>
            <w:r>
              <w:rPr>
                <w:sz w:val="16"/>
              </w:rPr>
              <w:t>Open position (Issue 2)</w:t>
            </w:r>
          </w:p>
        </w:tc>
      </w:tr>
      <w:tr>
        <w:tc>
          <w:tcPr>
            <w:tcW w:type="dxa" w:w="2016"/>
          </w:tcPr>
          <w:p>
            <w:r/>
            <w:r>
              <w:rPr>
                <w:sz w:val="16"/>
              </w:rPr>
              <w:t>Data return format (§ 6.2)</w:t>
            </w:r>
          </w:p>
        </w:tc>
        <w:tc>
          <w:tcPr>
            <w:tcW w:type="dxa" w:w="1728"/>
          </w:tcPr>
          <w:p>
            <w:r/>
            <w:r>
              <w:rPr>
                <w:sz w:val="16"/>
              </w:rPr>
              <w:t>Self-service download</w:t>
            </w:r>
          </w:p>
        </w:tc>
        <w:tc>
          <w:tcPr>
            <w:tcW w:type="dxa" w:w="3024"/>
          </w:tcPr>
          <w:p>
            <w:r/>
            <w:r>
              <w:rPr>
                <w:sz w:val="16"/>
              </w:rPr>
              <w:t>Customer-preferred format; vendor bears all costs</w:t>
            </w:r>
          </w:p>
        </w:tc>
        <w:tc>
          <w:tcPr>
            <w:tcW w:type="dxa" w:w="2880"/>
          </w:tcPr>
          <w:p>
            <w:r/>
            <w:r>
              <w:rPr>
                <w:sz w:val="16"/>
              </w:rPr>
              <w:t>Open position (Issue 8)</w:t>
            </w:r>
          </w:p>
        </w:tc>
      </w:tr>
      <w:tr>
        <w:tc>
          <w:tcPr>
            <w:tcW w:type="dxa" w:w="2016"/>
          </w:tcPr>
          <w:p>
            <w:r/>
            <w:r>
              <w:rPr>
                <w:sz w:val="16"/>
              </w:rPr>
              <w:t>BAA form (§ 7.1)</w:t>
            </w:r>
          </w:p>
        </w:tc>
        <w:tc>
          <w:tcPr>
            <w:tcW w:type="dxa" w:w="1728"/>
          </w:tcPr>
          <w:p>
            <w:r/>
            <w:r>
              <w:rPr>
                <w:sz w:val="16"/>
              </w:rPr>
              <w:t>None</w:t>
            </w:r>
          </w:p>
        </w:tc>
        <w:tc>
          <w:tcPr>
            <w:tcW w:type="dxa" w:w="3024"/>
          </w:tcPr>
          <w:p>
            <w:r/>
            <w:r>
              <w:rPr>
                <w:sz w:val="16"/>
              </w:rPr>
              <w:t>Panorama form BAA</w:t>
            </w:r>
          </w:p>
        </w:tc>
        <w:tc>
          <w:tcPr>
            <w:tcW w:type="dxa" w:w="2880"/>
          </w:tcPr>
          <w:p>
            <w:r/>
            <w:r>
              <w:rPr>
                <w:sz w:val="16"/>
              </w:rPr>
              <w:t>Send Panorama form with redline</w:t>
            </w:r>
          </w:p>
        </w:tc>
      </w:tr>
    </w:tbl>
    <w:p>
      <w:pPr>
        <w:spacing w:after="40"/>
      </w:pPr>
    </w:p>
    <w:p>
      <w:pPr>
        <w:pStyle w:val="Heading2"/>
      </w:pPr>
      <w:r>
        <w:t>3.24 Miscellaneous checklist and other drafting issues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576"/>
            <w:shd w:val="clear" w:color="auto" w:fill="1F3A5F"/>
          </w:tcPr>
          <w:p>
            <w:r/>
            <w:r>
              <w:rPr>
                <w:b/>
                <w:color w:val="FFFFFF"/>
                <w:sz w:val="15"/>
              </w:rPr>
              <w:t>#</w:t>
            </w:r>
          </w:p>
        </w:tc>
        <w:tc>
          <w:tcPr>
            <w:tcW w:type="dxa" w:w="1872"/>
            <w:shd w:val="clear" w:color="auto" w:fill="1F3A5F"/>
          </w:tcPr>
          <w:p>
            <w:r/>
            <w:r>
              <w:rPr>
                <w:b/>
                <w:color w:val="FFFFFF"/>
                <w:sz w:val="15"/>
              </w:rPr>
              <w:t>Provision</w:t>
            </w:r>
          </w:p>
        </w:tc>
        <w:tc>
          <w:tcPr>
            <w:tcW w:type="dxa" w:w="2880"/>
            <w:shd w:val="clear" w:color="auto" w:fill="1F3A5F"/>
          </w:tcPr>
          <w:p>
            <w:r/>
            <w:r>
              <w:rPr>
                <w:b/>
                <w:color w:val="FFFFFF"/>
                <w:sz w:val="15"/>
              </w:rPr>
              <w:t>Issue</w:t>
            </w:r>
          </w:p>
        </w:tc>
        <w:tc>
          <w:tcPr>
            <w:tcW w:type="dxa" w:w="3312"/>
            <w:shd w:val="clear" w:color="auto" w:fill="1F3A5F"/>
          </w:tcPr>
          <w:p>
            <w:r/>
            <w:r>
              <w:rPr>
                <w:b/>
                <w:color w:val="FFFFFF"/>
                <w:sz w:val="15"/>
              </w:rPr>
              <w:t>Recommendation</w:t>
            </w:r>
          </w:p>
        </w:tc>
        <w:tc>
          <w:tcPr>
            <w:tcW w:type="dxa" w:w="1008"/>
            <w:shd w:val="clear" w:color="auto" w:fill="1F3A5F"/>
          </w:tcPr>
          <w:p>
            <w:r/>
            <w:r>
              <w:rPr>
                <w:b/>
                <w:color w:val="FFFFFF"/>
                <w:sz w:val="15"/>
              </w:rPr>
              <w:t>Pri./Cat.</w:t>
            </w:r>
          </w:p>
        </w:tc>
      </w:tr>
      <w:tr>
        <w:tc>
          <w:tcPr>
            <w:tcW w:type="dxa" w:w="576"/>
          </w:tcPr>
          <w:p>
            <w:r/>
            <w:r>
              <w:rPr>
                <w:sz w:val="15"/>
              </w:rPr>
              <w:t>M1</w:t>
            </w:r>
          </w:p>
        </w:tc>
        <w:tc>
          <w:tcPr>
            <w:tcW w:type="dxa" w:w="1872"/>
          </w:tcPr>
          <w:p>
            <w:r/>
            <w:r>
              <w:rPr>
                <w:sz w:val="15"/>
              </w:rPr>
              <w:t>§ 14.13 No Third-Party Beneficiaries</w:t>
            </w:r>
          </w:p>
        </w:tc>
        <w:tc>
          <w:tcPr>
            <w:tcW w:type="dxa" w:w="2880"/>
          </w:tcPr>
          <w:p>
            <w:r/>
            <w:r>
              <w:rPr>
                <w:sz w:val="15"/>
              </w:rPr>
              <w:t>Excludes all third parties; Playbook § 17 requires indemnified parties (affiliates, officers, etc.) to be intended beneficiaries of indemnities</w:t>
            </w:r>
          </w:p>
        </w:tc>
        <w:tc>
          <w:tcPr>
            <w:tcW w:type="dxa" w:w="3312"/>
          </w:tcPr>
          <w:p>
            <w:r/>
            <w:r>
              <w:rPr>
                <w:sz w:val="15"/>
              </w:rPr>
              <w:t>Add exception for Customer Indemnitees</w:t>
            </w:r>
          </w:p>
        </w:tc>
        <w:tc>
          <w:tcPr>
            <w:tcW w:type="dxa" w:w="1008"/>
          </w:tcPr>
          <w:p>
            <w:r/>
            <w:r>
              <w:rPr>
                <w:sz w:val="15"/>
              </w:rPr>
              <w:t>P3 / B</w:t>
            </w:r>
          </w:p>
        </w:tc>
      </w:tr>
      <w:tr>
        <w:tc>
          <w:tcPr>
            <w:tcW w:type="dxa" w:w="576"/>
          </w:tcPr>
          <w:p>
            <w:r/>
            <w:r>
              <w:rPr>
                <w:sz w:val="15"/>
              </w:rPr>
              <w:t>M2</w:t>
            </w:r>
          </w:p>
        </w:tc>
        <w:tc>
          <w:tcPr>
            <w:tcW w:type="dxa" w:w="1872"/>
          </w:tcPr>
          <w:p>
            <w:r/>
            <w:r>
              <w:rPr>
                <w:sz w:val="15"/>
              </w:rPr>
              <w:t>§ 14.12 Export Compliance</w:t>
            </w:r>
          </w:p>
        </w:tc>
        <w:tc>
          <w:tcPr>
            <w:tcW w:type="dxa" w:w="2880"/>
          </w:tcPr>
          <w:p>
            <w:r/>
            <w:r>
              <w:rPr>
                <w:sz w:val="15"/>
              </w:rPr>
              <w:t>One-way (Customer only); Playbook requires mutual obligation (EAR, ITAR as applicable)</w:t>
            </w:r>
          </w:p>
        </w:tc>
        <w:tc>
          <w:tcPr>
            <w:tcW w:type="dxa" w:w="3312"/>
          </w:tcPr>
          <w:p>
            <w:r/>
            <w:r>
              <w:rPr>
                <w:sz w:val="15"/>
              </w:rPr>
              <w:t>Make mutual</w:t>
            </w:r>
          </w:p>
        </w:tc>
        <w:tc>
          <w:tcPr>
            <w:tcW w:type="dxa" w:w="1008"/>
          </w:tcPr>
          <w:p>
            <w:r/>
            <w:r>
              <w:rPr>
                <w:sz w:val="15"/>
              </w:rPr>
              <w:t>P4 / B</w:t>
            </w:r>
          </w:p>
        </w:tc>
      </w:tr>
      <w:tr>
        <w:tc>
          <w:tcPr>
            <w:tcW w:type="dxa" w:w="576"/>
          </w:tcPr>
          <w:p>
            <w:r/>
            <w:r>
              <w:rPr>
                <w:sz w:val="15"/>
              </w:rPr>
              <w:t>M3</w:t>
            </w:r>
          </w:p>
        </w:tc>
        <w:tc>
          <w:tcPr>
            <w:tcW w:type="dxa" w:w="1872"/>
          </w:tcPr>
          <w:p>
            <w:r/>
            <w:r>
              <w:rPr>
                <w:sz w:val="15"/>
              </w:rPr>
              <w:t>(missing) Anti-corruption</w:t>
            </w:r>
          </w:p>
        </w:tc>
        <w:tc>
          <w:tcPr>
            <w:tcW w:type="dxa" w:w="2880"/>
          </w:tcPr>
          <w:p>
            <w:r/>
            <w:r>
              <w:rPr>
                <w:sz w:val="15"/>
              </w:rPr>
              <w:t>No FCPA/UK Bribery Act clause (Playbook § 17)</w:t>
            </w:r>
          </w:p>
        </w:tc>
        <w:tc>
          <w:tcPr>
            <w:tcW w:type="dxa" w:w="3312"/>
          </w:tcPr>
          <w:p>
            <w:r/>
            <w:r>
              <w:rPr>
                <w:sz w:val="15"/>
              </w:rPr>
              <w:t>Add mutual anti-corruption covenant</w:t>
            </w:r>
          </w:p>
        </w:tc>
        <w:tc>
          <w:tcPr>
            <w:tcW w:type="dxa" w:w="1008"/>
          </w:tcPr>
          <w:p>
            <w:r/>
            <w:r>
              <w:rPr>
                <w:sz w:val="15"/>
              </w:rPr>
              <w:t>P4 / B</w:t>
            </w:r>
          </w:p>
        </w:tc>
      </w:tr>
      <w:tr>
        <w:tc>
          <w:tcPr>
            <w:tcW w:type="dxa" w:w="576"/>
          </w:tcPr>
          <w:p>
            <w:r/>
            <w:r>
              <w:rPr>
                <w:sz w:val="15"/>
              </w:rPr>
              <w:t>M4</w:t>
            </w:r>
          </w:p>
        </w:tc>
        <w:tc>
          <w:tcPr>
            <w:tcW w:type="dxa" w:w="1872"/>
          </w:tcPr>
          <w:p>
            <w:r/>
            <w:r>
              <w:rPr>
                <w:sz w:val="15"/>
              </w:rPr>
              <w:t>§ 11.5(d) Survival</w:t>
            </w:r>
          </w:p>
        </w:tc>
        <w:tc>
          <w:tcPr>
            <w:tcW w:type="dxa" w:w="2880"/>
          </w:tcPr>
          <w:p>
            <w:r/>
            <w:r>
              <w:rPr>
                <w:sz w:val="15"/>
              </w:rPr>
              <w:t>Omits BAA, audit rights, escrow license, data destruction certification; insurance survival limited</w:t>
            </w:r>
          </w:p>
        </w:tc>
        <w:tc>
          <w:tcPr>
            <w:tcW w:type="dxa" w:w="3312"/>
          </w:tcPr>
          <w:p>
            <w:r/>
            <w:r>
              <w:rPr>
                <w:sz w:val="15"/>
              </w:rPr>
              <w:t>Add these; delete insurance limiter</w:t>
            </w:r>
          </w:p>
        </w:tc>
        <w:tc>
          <w:tcPr>
            <w:tcW w:type="dxa" w:w="1008"/>
          </w:tcPr>
          <w:p>
            <w:r/>
            <w:r>
              <w:rPr>
                <w:sz w:val="15"/>
              </w:rPr>
              <w:t>P3 / B</w:t>
            </w:r>
          </w:p>
        </w:tc>
      </w:tr>
      <w:tr>
        <w:tc>
          <w:tcPr>
            <w:tcW w:type="dxa" w:w="576"/>
          </w:tcPr>
          <w:p>
            <w:r/>
            <w:r>
              <w:rPr>
                <w:sz w:val="15"/>
              </w:rPr>
              <w:t>M5</w:t>
            </w:r>
          </w:p>
        </w:tc>
        <w:tc>
          <w:tcPr>
            <w:tcW w:type="dxa" w:w="1872"/>
          </w:tcPr>
          <w:p>
            <w:r/>
            <w:r>
              <w:rPr>
                <w:sz w:val="15"/>
              </w:rPr>
              <w:t>§ 14.5 Notices</w:t>
            </w:r>
          </w:p>
        </w:tc>
        <w:tc>
          <w:tcPr>
            <w:tcW w:type="dxa" w:w="2880"/>
          </w:tcPr>
          <w:p>
            <w:r/>
            <w:r>
              <w:rPr>
                <w:sz w:val="15"/>
              </w:rPr>
              <w:t>Customer notice to “Attention: General Counsel”; Playbook specifies Legal Department, 4200 Nicollet Ave. S., Suite 1100. Email excluded for breach notices, which could slow Security Incident notice</w:t>
            </w:r>
          </w:p>
        </w:tc>
        <w:tc>
          <w:tcPr>
            <w:tcW w:type="dxa" w:w="3312"/>
          </w:tcPr>
          <w:p>
            <w:r/>
            <w:r>
              <w:rPr>
                <w:sz w:val="15"/>
              </w:rPr>
              <w:t>Use Playbook address; require Security Incident notice by email and phone to a designated contact in addition to formal notice</w:t>
            </w:r>
          </w:p>
        </w:tc>
        <w:tc>
          <w:tcPr>
            <w:tcW w:type="dxa" w:w="1008"/>
          </w:tcPr>
          <w:p>
            <w:r/>
            <w:r>
              <w:rPr>
                <w:sz w:val="15"/>
              </w:rPr>
              <w:t>P4 / B</w:t>
            </w:r>
          </w:p>
        </w:tc>
      </w:tr>
      <w:tr>
        <w:tc>
          <w:tcPr>
            <w:tcW w:type="dxa" w:w="576"/>
          </w:tcPr>
          <w:p>
            <w:r/>
            <w:r>
              <w:rPr>
                <w:sz w:val="15"/>
              </w:rPr>
              <w:t>M6</w:t>
            </w:r>
          </w:p>
        </w:tc>
        <w:tc>
          <w:tcPr>
            <w:tcW w:type="dxa" w:w="1872"/>
          </w:tcPr>
          <w:p>
            <w:r/>
            <w:r>
              <w:rPr>
                <w:sz w:val="15"/>
              </w:rPr>
              <w:t>§ 9.4 Clinical-use disclaimer</w:t>
            </w:r>
          </w:p>
        </w:tc>
        <w:tc>
          <w:tcPr>
            <w:tcW w:type="dxa" w:w="2880"/>
          </w:tcPr>
          <w:p>
            <w:r/>
            <w:r>
              <w:rPr>
                <w:sz w:val="15"/>
              </w:rPr>
              <w:t>Vaultline disclaims any use “for purposes of clinical decision-making,” yet the business case is predictive patient outcome dashboards across 14 clinics</w:t>
            </w:r>
          </w:p>
        </w:tc>
        <w:tc>
          <w:tcPr>
            <w:tcW w:type="dxa" w:w="3312"/>
          </w:tcPr>
          <w:p>
            <w:r/>
            <w:r>
              <w:rPr>
                <w:sz w:val="15"/>
              </w:rPr>
              <w:t>Confirm intended clinical use with Derek; narrow disclaimer so it does not void warranties/indemnity for contracted use; vendor to represent regulatory (e.g., FDA software) status of predictive features</w:t>
            </w:r>
          </w:p>
        </w:tc>
        <w:tc>
          <w:tcPr>
            <w:tcW w:type="dxa" w:w="1008"/>
          </w:tcPr>
          <w:p>
            <w:r/>
            <w:r>
              <w:rPr>
                <w:sz w:val="15"/>
              </w:rPr>
              <w:t>P2 / B</w:t>
            </w:r>
          </w:p>
        </w:tc>
      </w:tr>
      <w:tr>
        <w:tc>
          <w:tcPr>
            <w:tcW w:type="dxa" w:w="576"/>
          </w:tcPr>
          <w:p>
            <w:r/>
            <w:r>
              <w:rPr>
                <w:sz w:val="15"/>
              </w:rPr>
              <w:t>M7</w:t>
            </w:r>
          </w:p>
        </w:tc>
        <w:tc>
          <w:tcPr>
            <w:tcW w:type="dxa" w:w="1872"/>
          </w:tcPr>
          <w:p>
            <w:r/>
            <w:r>
              <w:rPr>
                <w:sz w:val="15"/>
              </w:rPr>
              <w:t>§§ 1.7, 5.2, 9.2(a) Documentation and updates</w:t>
            </w:r>
          </w:p>
        </w:tc>
        <w:tc>
          <w:tcPr>
            <w:tcW w:type="dxa" w:w="2880"/>
          </w:tcPr>
          <w:p>
            <w:r/>
            <w:r>
              <w:rPr>
                <w:sz w:val="15"/>
              </w:rPr>
              <w:t>Warranty tied to Documentation “as updated by Vaultline”; updates need only avoid material diminution on a “commercially reasonable efforts” basis</w:t>
            </w:r>
          </w:p>
        </w:tc>
        <w:tc>
          <w:tcPr>
            <w:tcW w:type="dxa" w:w="3312"/>
          </w:tcPr>
          <w:p>
            <w:r/>
            <w:r>
              <w:rPr>
                <w:sz w:val="15"/>
              </w:rPr>
              <w:t>No material degradation of functionality or MedBridge integration; Documentation frozen as of Effective Date for warranty/indemnity purposes</w:t>
            </w:r>
          </w:p>
        </w:tc>
        <w:tc>
          <w:tcPr>
            <w:tcW w:type="dxa" w:w="1008"/>
          </w:tcPr>
          <w:p>
            <w:r/>
            <w:r>
              <w:rPr>
                <w:sz w:val="15"/>
              </w:rPr>
              <w:t>P3 / B</w:t>
            </w:r>
          </w:p>
        </w:tc>
      </w:tr>
      <w:tr>
        <w:tc>
          <w:tcPr>
            <w:tcW w:type="dxa" w:w="576"/>
          </w:tcPr>
          <w:p>
            <w:r/>
            <w:r>
              <w:rPr>
                <w:sz w:val="15"/>
              </w:rPr>
              <w:t>M8</w:t>
            </w:r>
          </w:p>
        </w:tc>
        <w:tc>
          <w:tcPr>
            <w:tcW w:type="dxa" w:w="1872"/>
          </w:tcPr>
          <w:p>
            <w:r/>
            <w:r>
              <w:rPr>
                <w:sz w:val="15"/>
              </w:rPr>
              <w:t>§ 5.1, Exhibit B § B.6 Support</w:t>
            </w:r>
          </w:p>
        </w:tc>
        <w:tc>
          <w:tcPr>
            <w:tcW w:type="dxa" w:w="2880"/>
          </w:tcPr>
          <w:p>
            <w:r/>
            <w:r>
              <w:rPr>
                <w:sz w:val="15"/>
              </w:rPr>
              <w:t>Weekday support 8 AM–8 PM CT, email/portal only; response targets non-binding; Vaultline sets severity</w:t>
            </w:r>
          </w:p>
        </w:tc>
        <w:tc>
          <w:tcPr>
            <w:tcW w:type="dxa" w:w="3312"/>
          </w:tcPr>
          <w:p>
            <w:r/>
            <w:r>
              <w:rPr>
                <w:sz w:val="15"/>
              </w:rPr>
              <w:t>Binding response/resolution times; 24x7 for Severity 1; Customer-assigned severity</w:t>
            </w:r>
          </w:p>
        </w:tc>
        <w:tc>
          <w:tcPr>
            <w:tcW w:type="dxa" w:w="1008"/>
          </w:tcPr>
          <w:p>
            <w:r/>
            <w:r>
              <w:rPr>
                <w:sz w:val="15"/>
              </w:rPr>
              <w:t>P3 / B</w:t>
            </w:r>
          </w:p>
        </w:tc>
      </w:tr>
      <w:tr>
        <w:tc>
          <w:tcPr>
            <w:tcW w:type="dxa" w:w="576"/>
          </w:tcPr>
          <w:p>
            <w:r/>
            <w:r>
              <w:rPr>
                <w:sz w:val="15"/>
              </w:rPr>
              <w:t>M9</w:t>
            </w:r>
          </w:p>
        </w:tc>
        <w:tc>
          <w:tcPr>
            <w:tcW w:type="dxa" w:w="1872"/>
          </w:tcPr>
          <w:p>
            <w:r/>
            <w:r>
              <w:rPr>
                <w:sz w:val="15"/>
              </w:rPr>
              <w:t>§ 4.1 Implementation timeline</w:t>
            </w:r>
          </w:p>
        </w:tc>
        <w:tc>
          <w:tcPr>
            <w:tcW w:type="dxa" w:w="2880"/>
          </w:tcPr>
          <w:p>
            <w:r/>
            <w:r>
              <w:rPr>
                <w:sz w:val="15"/>
              </w:rPr>
              <w:t>Jan. 31, 2025 target non-binding; no liability for delay</w:t>
            </w:r>
          </w:p>
        </w:tc>
        <w:tc>
          <w:tcPr>
            <w:tcW w:type="dxa" w:w="3312"/>
          </w:tcPr>
          <w:p>
            <w:r/>
            <w:r>
              <w:rPr>
                <w:sz w:val="15"/>
              </w:rPr>
              <w:t>Binding milestones; fee holdbacks; termination right if acceptance not achieved by an outside date</w:t>
            </w:r>
          </w:p>
        </w:tc>
        <w:tc>
          <w:tcPr>
            <w:tcW w:type="dxa" w:w="1008"/>
          </w:tcPr>
          <w:p>
            <w:r/>
            <w:r>
              <w:rPr>
                <w:sz w:val="15"/>
              </w:rPr>
              <w:t>P3 / B</w:t>
            </w:r>
          </w:p>
        </w:tc>
      </w:tr>
      <w:tr>
        <w:tc>
          <w:tcPr>
            <w:tcW w:type="dxa" w:w="576"/>
          </w:tcPr>
          <w:p>
            <w:r/>
            <w:r>
              <w:rPr>
                <w:sz w:val="15"/>
              </w:rPr>
              <w:t>M10</w:t>
            </w:r>
          </w:p>
        </w:tc>
        <w:tc>
          <w:tcPr>
            <w:tcW w:type="dxa" w:w="1872"/>
          </w:tcPr>
          <w:p>
            <w:r/>
            <w:r>
              <w:rPr>
                <w:sz w:val="15"/>
              </w:rPr>
              <w:t>§ 10.3 Customer indemnity</w:t>
            </w:r>
          </w:p>
        </w:tc>
        <w:tc>
          <w:tcPr>
            <w:tcW w:type="dxa" w:w="2880"/>
          </w:tcPr>
          <w:p>
            <w:r/>
            <w:r>
              <w:rPr>
                <w:sz w:val="15"/>
              </w:rPr>
              <w:t>Broad: covers any claim from Customer’s breach of any obligation, and Customer Data claims including privacy</w:t>
            </w:r>
          </w:p>
        </w:tc>
        <w:tc>
          <w:tcPr>
            <w:tcW w:type="dxa" w:w="3312"/>
          </w:tcPr>
          <w:p>
            <w:r/>
            <w:r>
              <w:rPr>
                <w:sz w:val="15"/>
              </w:rPr>
              <w:t>Limit to third-party claims from Customer’s violation of law or infringing Customer Data; exclude claims caused by Vaultline</w:t>
            </w:r>
          </w:p>
        </w:tc>
        <w:tc>
          <w:tcPr>
            <w:tcW w:type="dxa" w:w="1008"/>
          </w:tcPr>
          <w:p>
            <w:r/>
            <w:r>
              <w:rPr>
                <w:sz w:val="15"/>
              </w:rPr>
              <w:t>P3 / B</w:t>
            </w:r>
          </w:p>
        </w:tc>
      </w:tr>
      <w:tr>
        <w:tc>
          <w:tcPr>
            <w:tcW w:type="dxa" w:w="576"/>
          </w:tcPr>
          <w:p>
            <w:r/>
            <w:r>
              <w:rPr>
                <w:sz w:val="15"/>
              </w:rPr>
              <w:t>M11</w:t>
            </w:r>
          </w:p>
        </w:tc>
        <w:tc>
          <w:tcPr>
            <w:tcW w:type="dxa" w:w="1872"/>
          </w:tcPr>
          <w:p>
            <w:r/>
            <w:r>
              <w:rPr>
                <w:sz w:val="15"/>
              </w:rPr>
              <w:t>§ 6.4 Feedback</w:t>
            </w:r>
          </w:p>
        </w:tc>
        <w:tc>
          <w:tcPr>
            <w:tcW w:type="dxa" w:w="2880"/>
          </w:tcPr>
          <w:p>
            <w:r/>
            <w:r>
              <w:rPr>
                <w:sz w:val="15"/>
              </w:rPr>
              <w:t>Perpetual license to Feedback with no carve-out</w:t>
            </w:r>
          </w:p>
        </w:tc>
        <w:tc>
          <w:tcPr>
            <w:tcW w:type="dxa" w:w="3312"/>
          </w:tcPr>
          <w:p>
            <w:r/>
            <w:r>
              <w:rPr>
                <w:sz w:val="15"/>
              </w:rPr>
              <w:t>Exclude Customer Confidential Information and Customer Data from Feedback</w:t>
            </w:r>
          </w:p>
        </w:tc>
        <w:tc>
          <w:tcPr>
            <w:tcW w:type="dxa" w:w="1008"/>
          </w:tcPr>
          <w:p>
            <w:r/>
            <w:r>
              <w:rPr>
                <w:sz w:val="15"/>
              </w:rPr>
              <w:t>P4 / B</w:t>
            </w:r>
          </w:p>
        </w:tc>
      </w:tr>
      <w:tr>
        <w:tc>
          <w:tcPr>
            <w:tcW w:type="dxa" w:w="576"/>
          </w:tcPr>
          <w:p>
            <w:r/>
            <w:r>
              <w:rPr>
                <w:sz w:val="15"/>
              </w:rPr>
              <w:t>M12</w:t>
            </w:r>
          </w:p>
        </w:tc>
        <w:tc>
          <w:tcPr>
            <w:tcW w:type="dxa" w:w="1872"/>
          </w:tcPr>
          <w:p>
            <w:r/>
            <w:r>
              <w:rPr>
                <w:sz w:val="15"/>
              </w:rPr>
              <w:t>§ 6.5 Third-Party Components</w:t>
            </w:r>
          </w:p>
        </w:tc>
        <w:tc>
          <w:tcPr>
            <w:tcW w:type="dxa" w:w="2880"/>
          </w:tcPr>
          <w:p>
            <w:r/>
            <w:r>
              <w:rPr>
                <w:sz w:val="15"/>
              </w:rPr>
              <w:t>Use subject to unseen third-party licenses</w:t>
            </w:r>
          </w:p>
        </w:tc>
        <w:tc>
          <w:tcPr>
            <w:tcW w:type="dxa" w:w="3312"/>
          </w:tcPr>
          <w:p>
            <w:r/>
            <w:r>
              <w:rPr>
                <w:sz w:val="15"/>
              </w:rPr>
              <w:t>Vaultline warrants no Customer obligations from third-party/open-source licenses; IP indemnity covers Third-Party Components</w:t>
            </w:r>
          </w:p>
        </w:tc>
        <w:tc>
          <w:tcPr>
            <w:tcW w:type="dxa" w:w="1008"/>
          </w:tcPr>
          <w:p>
            <w:r/>
            <w:r>
              <w:rPr>
                <w:sz w:val="15"/>
              </w:rPr>
              <w:t>P3 / B</w:t>
            </w:r>
          </w:p>
        </w:tc>
      </w:tr>
      <w:tr>
        <w:tc>
          <w:tcPr>
            <w:tcW w:type="dxa" w:w="576"/>
          </w:tcPr>
          <w:p>
            <w:r/>
            <w:r>
              <w:rPr>
                <w:sz w:val="15"/>
              </w:rPr>
              <w:t>M13</w:t>
            </w:r>
          </w:p>
        </w:tc>
        <w:tc>
          <w:tcPr>
            <w:tcW w:type="dxa" w:w="1872"/>
          </w:tcPr>
          <w:p>
            <w:r/>
            <w:r>
              <w:rPr>
                <w:sz w:val="15"/>
              </w:rPr>
              <w:t>§ 14.14 Publicity</w:t>
            </w:r>
          </w:p>
        </w:tc>
        <w:tc>
          <w:tcPr>
            <w:tcW w:type="dxa" w:w="2880"/>
          </w:tcPr>
          <w:p>
            <w:r/>
            <w:r>
              <w:rPr>
                <w:sz w:val="15"/>
              </w:rPr>
              <w:t>Vaultline may use Panorama name and logo in customer lists/marketing by default</w:t>
            </w:r>
          </w:p>
        </w:tc>
        <w:tc>
          <w:tcPr>
            <w:tcW w:type="dxa" w:w="3312"/>
          </w:tcPr>
          <w:p>
            <w:r/>
            <w:r>
              <w:rPr>
                <w:sz w:val="15"/>
              </w:rPr>
              <w:t>Require prior written consent</w:t>
            </w:r>
          </w:p>
        </w:tc>
        <w:tc>
          <w:tcPr>
            <w:tcW w:type="dxa" w:w="1008"/>
          </w:tcPr>
          <w:p>
            <w:r/>
            <w:r>
              <w:rPr>
                <w:sz w:val="15"/>
              </w:rPr>
              <w:t>P4 / B</w:t>
            </w:r>
          </w:p>
        </w:tc>
      </w:tr>
      <w:tr>
        <w:tc>
          <w:tcPr>
            <w:tcW w:type="dxa" w:w="576"/>
          </w:tcPr>
          <w:p>
            <w:r/>
            <w:r>
              <w:rPr>
                <w:sz w:val="15"/>
              </w:rPr>
              <w:t>M14</w:t>
            </w:r>
          </w:p>
        </w:tc>
        <w:tc>
          <w:tcPr>
            <w:tcW w:type="dxa" w:w="1872"/>
          </w:tcPr>
          <w:p>
            <w:r/>
            <w:r>
              <w:rPr>
                <w:sz w:val="15"/>
              </w:rPr>
              <w:t>§ 3.2(d)–(e), § 3.4, § 3.5</w:t>
            </w:r>
          </w:p>
        </w:tc>
        <w:tc>
          <w:tcPr>
            <w:tcW w:type="dxa" w:w="2880"/>
          </w:tcPr>
          <w:p>
            <w:r/>
            <w:r>
              <w:rPr>
                <w:sz w:val="15"/>
              </w:rPr>
              <w:t>1.5%/month interest; 15-day dispute window; tax gross-up; suspension on 10 days’ notice</w:t>
            </w:r>
          </w:p>
        </w:tc>
        <w:tc>
          <w:tcPr>
            <w:tcW w:type="dxa" w:w="3312"/>
          </w:tcPr>
          <w:p>
            <w:r/>
            <w:r>
              <w:rPr>
                <w:sz w:val="15"/>
              </w:rPr>
              <w:t>Interest at 1%/month after notice; 45-day dispute window; suspension only on 30 days’ notice to GC and never of PHI access needed for patient care; delete gross-up or limit to taxes Panorama is legally required to withhold</w:t>
            </w:r>
          </w:p>
        </w:tc>
        <w:tc>
          <w:tcPr>
            <w:tcW w:type="dxa" w:w="1008"/>
          </w:tcPr>
          <w:p>
            <w:r/>
            <w:r>
              <w:rPr>
                <w:sz w:val="15"/>
              </w:rPr>
              <w:t>P4 / C</w:t>
            </w:r>
          </w:p>
        </w:tc>
      </w:tr>
      <w:tr>
        <w:tc>
          <w:tcPr>
            <w:tcW w:type="dxa" w:w="576"/>
          </w:tcPr>
          <w:p>
            <w:r/>
            <w:r>
              <w:rPr>
                <w:sz w:val="15"/>
              </w:rPr>
              <w:t>M15</w:t>
            </w:r>
          </w:p>
        </w:tc>
        <w:tc>
          <w:tcPr>
            <w:tcW w:type="dxa" w:w="1872"/>
          </w:tcPr>
          <w:p>
            <w:r/>
            <w:r>
              <w:rPr>
                <w:sz w:val="15"/>
              </w:rPr>
              <w:t>§ 2.2(i)</w:t>
            </w:r>
          </w:p>
        </w:tc>
        <w:tc>
          <w:tcPr>
            <w:tcW w:type="dxa" w:w="2880"/>
          </w:tcPr>
          <w:p>
            <w:r/>
            <w:r>
              <w:rPr>
                <w:sz w:val="15"/>
              </w:rPr>
              <w:t>Customer may not use the Platform for benchmarking, while § 6.3 lets Vaultline sell benchmarks</w:t>
            </w:r>
          </w:p>
        </w:tc>
        <w:tc>
          <w:tcPr>
            <w:tcW w:type="dxa" w:w="3312"/>
          </w:tcPr>
          <w:p>
            <w:r/>
            <w:r>
              <w:rPr>
                <w:sz w:val="15"/>
              </w:rPr>
              <w:t>Clarify internal clinical benchmarking by Customer is permitted</w:t>
            </w:r>
          </w:p>
        </w:tc>
        <w:tc>
          <w:tcPr>
            <w:tcW w:type="dxa" w:w="1008"/>
          </w:tcPr>
          <w:p>
            <w:r/>
            <w:r>
              <w:rPr>
                <w:sz w:val="15"/>
              </w:rPr>
              <w:t>P4 / C</w:t>
            </w:r>
          </w:p>
        </w:tc>
      </w:tr>
      <w:tr>
        <w:tc>
          <w:tcPr>
            <w:tcW w:type="dxa" w:w="576"/>
          </w:tcPr>
          <w:p>
            <w:r/>
            <w:r>
              <w:rPr>
                <w:sz w:val="15"/>
              </w:rPr>
              <w:t>M16</w:t>
            </w:r>
          </w:p>
        </w:tc>
        <w:tc>
          <w:tcPr>
            <w:tcW w:type="dxa" w:w="1872"/>
          </w:tcPr>
          <w:p>
            <w:r/>
            <w:r>
              <w:rPr>
                <w:sz w:val="15"/>
              </w:rPr>
              <w:t>§ 9.1(a); signature blocks</w:t>
            </w:r>
          </w:p>
        </w:tc>
        <w:tc>
          <w:tcPr>
            <w:tcW w:type="dxa" w:w="2880"/>
          </w:tcPr>
          <w:p>
            <w:r/>
            <w:r>
              <w:rPr>
                <w:sz w:val="15"/>
              </w:rPr>
              <w:t>Mutual rep that each party is in good standing under Delaware law; Vaultline signatory is AGC (MSA) and Director of Sales (Order Form)</w:t>
            </w:r>
          </w:p>
        </w:tc>
        <w:tc>
          <w:tcPr>
            <w:tcW w:type="dxa" w:w="3312"/>
          </w:tcPr>
          <w:p>
            <w:r/>
            <w:r>
              <w:rPr>
                <w:sz w:val="15"/>
              </w:rPr>
              <w:t>Confirm Panorama’s state of organization; confirm Vaultline signatories’ authority</w:t>
            </w:r>
          </w:p>
        </w:tc>
        <w:tc>
          <w:tcPr>
            <w:tcW w:type="dxa" w:w="1008"/>
          </w:tcPr>
          <w:p>
            <w:r/>
            <w:r>
              <w:rPr>
                <w:sz w:val="15"/>
              </w:rPr>
              <w:t>P4 / C</w:t>
            </w:r>
          </w:p>
        </w:tc>
      </w:tr>
    </w:tbl>
    <w:p>
      <w:pPr>
        <w:spacing w:after="40"/>
      </w:pPr>
    </w:p>
    <w:p>
      <w:pPr>
        <w:pStyle w:val="Heading2"/>
      </w:pPr>
      <w:r>
        <w:t>3.25 Provisions that substantially meet the Playbook</w:t>
      </w:r>
    </w:p>
    <w:p>
      <w:pPr>
        <w:pStyle w:val="ListBullet"/>
        <w:spacing w:after="40"/>
      </w:pPr>
      <w:r>
        <w:t>Renewal terms are limited to one year (§ 11.2), which complies with Playbook § 10.2(a). Only the notice period deviates.</w:t>
      </w:r>
    </w:p>
    <w:p>
      <w:pPr>
        <w:pStyle w:val="ListBullet"/>
        <w:spacing w:after="40"/>
      </w:pPr>
      <w:r>
        <w:t>U.S.-only data residency (§ 7.1). Subprocessor flow-down, Vaultline responsibility for Subprocessors, and 30 days’ notice of Subprocessor changes (§§ 2.3, 7.4). Processing only on Customer’s documented instructions (§ 7.6).</w:t>
      </w:r>
    </w:p>
    <w:p>
      <w:pPr>
        <w:pStyle w:val="ListBullet"/>
        <w:spacing w:after="40"/>
      </w:pPr>
      <w:r>
        <w:t>Customer ownership of Customer Data and a limited service-delivery license (§ 6.2), subject to Issues 2 and 21.</w:t>
      </w:r>
    </w:p>
    <w:p>
      <w:pPr>
        <w:pStyle w:val="ListBullet"/>
        <w:spacing w:after="40"/>
      </w:pPr>
      <w:r>
        <w:t>Mutual confidentiality with standard exclusions. Trade secrets are protected while they remain trade secrets (§§ 8.1–8.3).</w:t>
      </w:r>
    </w:p>
    <w:p>
      <w:pPr>
        <w:pStyle w:val="ListBullet"/>
        <w:spacing w:after="40"/>
      </w:pPr>
      <w:r>
        <w:t>IP remedy structure (procure, modify, or terminate with refund) in § 10.2, subject to making it mandatory (Issue 6). The indemnifying party cannot settle a claim in a way that binds the indemnitee without consent (§ 10.4).</w:t>
      </w:r>
    </w:p>
    <w:p>
      <w:pPr>
        <w:pStyle w:val="ListBullet"/>
        <w:spacing w:after="40"/>
      </w:pPr>
      <w:r>
        <w:t>Force majeure notice and mitigation obligation (§ 14.4). No suspension over good-faith disputed amounts (§ 3.4). Primary/non-contributory insurance with 30 days’ notice of changes (§ 13.1).</w:t>
      </w:r>
    </w:p>
    <w:p>
      <w:pPr>
        <w:pStyle w:val="ListBullet"/>
        <w:spacing w:after="40"/>
      </w:pPr>
      <w:r>
        <w:t>Base mutual consent requirement for assignment (§ 14.3, first clause). Entire agreement, amendment, waiver, severability, independent contractor, and counterparts/e-signature clauses (§§ 14.6–14.11), subject to the order-of-precedence fix (Issue 22).</w:t>
      </w:r>
    </w:p>
    <w:p>
      <w:pPr>
        <w:pStyle w:val="Heading1"/>
      </w:pPr>
      <w:r>
        <w:t>4. Ridgecrest Capital Partners Compliance Matrix (Appendix B)</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shd w:val="clear" w:color="auto" w:fill="1F3A5F"/>
          </w:tcPr>
          <w:p>
            <w:r/>
            <w:r>
              <w:rPr>
                <w:b/>
                <w:color w:val="FFFFFF"/>
                <w:sz w:val="17"/>
              </w:rPr>
              <w:t>Ridgecrest requirement</w:t>
            </w:r>
          </w:p>
        </w:tc>
        <w:tc>
          <w:tcPr>
            <w:tcW w:type="dxa" w:w="2736"/>
            <w:shd w:val="clear" w:color="auto" w:fill="1F3A5F"/>
          </w:tcPr>
          <w:p>
            <w:r/>
            <w:r>
              <w:rPr>
                <w:b/>
                <w:color w:val="FFFFFF"/>
                <w:sz w:val="17"/>
              </w:rPr>
              <w:t>Vaultline draft</w:t>
            </w:r>
          </w:p>
        </w:tc>
        <w:tc>
          <w:tcPr>
            <w:tcW w:type="dxa" w:w="1152"/>
            <w:shd w:val="clear" w:color="auto" w:fill="1F3A5F"/>
          </w:tcPr>
          <w:p>
            <w:r/>
            <w:r>
              <w:rPr>
                <w:b/>
                <w:color w:val="FFFFFF"/>
                <w:sz w:val="17"/>
              </w:rPr>
              <w:t>Status</w:t>
            </w:r>
          </w:p>
        </w:tc>
        <w:tc>
          <w:tcPr>
            <w:tcW w:type="dxa" w:w="2880"/>
            <w:shd w:val="clear" w:color="auto" w:fill="1F3A5F"/>
          </w:tcPr>
          <w:p>
            <w:r/>
            <w:r>
              <w:rPr>
                <w:b/>
                <w:color w:val="FFFFFF"/>
                <w:sz w:val="17"/>
              </w:rPr>
              <w:t>Required fix</w:t>
            </w:r>
          </w:p>
        </w:tc>
      </w:tr>
      <w:tr>
        <w:tc>
          <w:tcPr>
            <w:tcW w:type="dxa" w:w="2880"/>
          </w:tcPr>
          <w:p>
            <w:r/>
            <w:r>
              <w:rPr>
                <w:sz w:val="17"/>
              </w:rPr>
              <w:t>SOC 2 Type II (Security, Availability, Confidentiality); annual reports</w:t>
            </w:r>
          </w:p>
        </w:tc>
        <w:tc>
          <w:tcPr>
            <w:tcW w:type="dxa" w:w="2736"/>
          </w:tcPr>
          <w:p>
            <w:r/>
            <w:r>
              <w:rPr>
                <w:sz w:val="17"/>
              </w:rPr>
              <w:t>None; “commercially reasonable” security only (§ 7.2)</w:t>
            </w:r>
          </w:p>
        </w:tc>
        <w:tc>
          <w:tcPr>
            <w:tcW w:type="dxa" w:w="1152"/>
            <w:shd w:val="clear" w:color="auto" w:fill="F4CCCC"/>
          </w:tcPr>
          <w:p>
            <w:r/>
            <w:r>
              <w:rPr>
                <w:b/>
                <w:sz w:val="17"/>
              </w:rPr>
              <w:t>NOT MET</w:t>
            </w:r>
          </w:p>
        </w:tc>
        <w:tc>
          <w:tcPr>
            <w:tcW w:type="dxa" w:w="2880"/>
          </w:tcPr>
          <w:p>
            <w:r/>
            <w:r>
              <w:rPr>
                <w:sz w:val="17"/>
              </w:rPr>
              <w:t>Issue 3</w:t>
            </w:r>
          </w:p>
        </w:tc>
      </w:tr>
      <w:tr>
        <w:tc>
          <w:tcPr>
            <w:tcW w:type="dxa" w:w="2880"/>
          </w:tcPr>
          <w:p>
            <w:r/>
            <w:r>
              <w:rPr>
                <w:sz w:val="17"/>
              </w:rPr>
              <w:t>Cyber insurance ≥ $10M per occurrence/aggregate (privacy, breach response, regulatory defense)</w:t>
            </w:r>
          </w:p>
        </w:tc>
        <w:tc>
          <w:tcPr>
            <w:tcW w:type="dxa" w:w="2736"/>
          </w:tcPr>
          <w:p>
            <w:r/>
            <w:r>
              <w:rPr>
                <w:sz w:val="17"/>
              </w:rPr>
              <w:t>$5M cyber; no Tech E&amp;O (§ 13.1(c))</w:t>
            </w:r>
          </w:p>
        </w:tc>
        <w:tc>
          <w:tcPr>
            <w:tcW w:type="dxa" w:w="1152"/>
            <w:shd w:val="clear" w:color="auto" w:fill="F4CCCC"/>
          </w:tcPr>
          <w:p>
            <w:r/>
            <w:r>
              <w:rPr>
                <w:b/>
                <w:sz w:val="17"/>
              </w:rPr>
              <w:t>NOT MET</w:t>
            </w:r>
          </w:p>
        </w:tc>
        <w:tc>
          <w:tcPr>
            <w:tcW w:type="dxa" w:w="2880"/>
          </w:tcPr>
          <w:p>
            <w:r/>
            <w:r>
              <w:rPr>
                <w:sz w:val="17"/>
              </w:rPr>
              <w:t>Issue 7</w:t>
            </w:r>
          </w:p>
        </w:tc>
      </w:tr>
      <w:tr>
        <w:tc>
          <w:tcPr>
            <w:tcW w:type="dxa" w:w="2880"/>
          </w:tcPr>
          <w:p>
            <w:r/>
            <w:r>
              <w:rPr>
                <w:sz w:val="17"/>
              </w:rPr>
              <w:t>Data return within 30 days, machine-readable</w:t>
            </w:r>
          </w:p>
        </w:tc>
        <w:tc>
          <w:tcPr>
            <w:tcW w:type="dxa" w:w="2736"/>
          </w:tcPr>
          <w:p>
            <w:r/>
            <w:r>
              <w:rPr>
                <w:sz w:val="17"/>
              </w:rPr>
              <w:t>30-day self-service download; no format (§ 11.6)</w:t>
            </w:r>
          </w:p>
        </w:tc>
        <w:tc>
          <w:tcPr>
            <w:tcW w:type="dxa" w:w="1152"/>
            <w:shd w:val="clear" w:color="auto" w:fill="F4CCCC"/>
          </w:tcPr>
          <w:p>
            <w:r/>
            <w:r>
              <w:rPr>
                <w:b/>
                <w:sz w:val="17"/>
              </w:rPr>
              <w:t>NOT MET</w:t>
            </w:r>
          </w:p>
        </w:tc>
        <w:tc>
          <w:tcPr>
            <w:tcW w:type="dxa" w:w="2880"/>
          </w:tcPr>
          <w:p>
            <w:r/>
            <w:r>
              <w:rPr>
                <w:sz w:val="17"/>
              </w:rPr>
              <w:t>Issue 8</w:t>
            </w:r>
          </w:p>
        </w:tc>
      </w:tr>
      <w:tr>
        <w:tc>
          <w:tcPr>
            <w:tcW w:type="dxa" w:w="2880"/>
          </w:tcPr>
          <w:p>
            <w:r/>
            <w:r>
              <w:rPr>
                <w:sz w:val="17"/>
              </w:rPr>
              <w:t>Officer-certified destruction within 60 days</w:t>
            </w:r>
          </w:p>
        </w:tc>
        <w:tc>
          <w:tcPr>
            <w:tcW w:type="dxa" w:w="2736"/>
          </w:tcPr>
          <w:p>
            <w:r/>
            <w:r>
              <w:rPr>
                <w:sz w:val="17"/>
              </w:rPr>
              <w:t>“May delete”; no certification (§ 11.6)</w:t>
            </w:r>
          </w:p>
        </w:tc>
        <w:tc>
          <w:tcPr>
            <w:tcW w:type="dxa" w:w="1152"/>
            <w:shd w:val="clear" w:color="auto" w:fill="F4CCCC"/>
          </w:tcPr>
          <w:p>
            <w:r/>
            <w:r>
              <w:rPr>
                <w:b/>
                <w:sz w:val="17"/>
              </w:rPr>
              <w:t>NOT MET</w:t>
            </w:r>
          </w:p>
        </w:tc>
        <w:tc>
          <w:tcPr>
            <w:tcW w:type="dxa" w:w="2880"/>
          </w:tcPr>
          <w:p>
            <w:r/>
            <w:r>
              <w:rPr>
                <w:sz w:val="17"/>
              </w:rPr>
              <w:t>Issue 8</w:t>
            </w:r>
          </w:p>
        </w:tc>
      </w:tr>
      <w:tr>
        <w:tc>
          <w:tcPr>
            <w:tcW w:type="dxa" w:w="2880"/>
          </w:tcPr>
          <w:p>
            <w:r/>
            <w:r>
              <w:rPr>
                <w:sz w:val="17"/>
              </w:rPr>
              <w:t>Consent to assignment incl. merger/acquisition/CoC</w:t>
            </w:r>
          </w:p>
        </w:tc>
        <w:tc>
          <w:tcPr>
            <w:tcW w:type="dxa" w:w="2736"/>
          </w:tcPr>
          <w:p>
            <w:r/>
            <w:r>
              <w:rPr>
                <w:sz w:val="17"/>
              </w:rPr>
              <w:t>CoC/merger carve-out (§ 14.3)</w:t>
            </w:r>
          </w:p>
        </w:tc>
        <w:tc>
          <w:tcPr>
            <w:tcW w:type="dxa" w:w="1152"/>
            <w:shd w:val="clear" w:color="auto" w:fill="F4CCCC"/>
          </w:tcPr>
          <w:p>
            <w:r/>
            <w:r>
              <w:rPr>
                <w:b/>
                <w:sz w:val="17"/>
              </w:rPr>
              <w:t>NOT MET</w:t>
            </w:r>
          </w:p>
        </w:tc>
        <w:tc>
          <w:tcPr>
            <w:tcW w:type="dxa" w:w="2880"/>
          </w:tcPr>
          <w:p>
            <w:r/>
            <w:r>
              <w:rPr>
                <w:sz w:val="17"/>
              </w:rPr>
              <w:t>Issue 9</w:t>
            </w:r>
          </w:p>
        </w:tc>
      </w:tr>
      <w:tr>
        <w:tc>
          <w:tcPr>
            <w:tcW w:type="dxa" w:w="2880"/>
          </w:tcPr>
          <w:p>
            <w:r/>
            <w:r>
              <w:rPr>
                <w:sz w:val="17"/>
              </w:rPr>
              <w:t>Fully executed BAA before any PHI; no deferred BAA</w:t>
            </w:r>
          </w:p>
        </w:tc>
        <w:tc>
          <w:tcPr>
            <w:tcW w:type="dxa" w:w="2736"/>
          </w:tcPr>
          <w:p>
            <w:r/>
            <w:r>
              <w:rPr>
                <w:sz w:val="17"/>
              </w:rPr>
              <w:t>Negotiate within 90 days (§ 7.5)</w:t>
            </w:r>
          </w:p>
        </w:tc>
        <w:tc>
          <w:tcPr>
            <w:tcW w:type="dxa" w:w="1152"/>
            <w:shd w:val="clear" w:color="auto" w:fill="F4CCCC"/>
          </w:tcPr>
          <w:p>
            <w:r/>
            <w:r>
              <w:rPr>
                <w:b/>
                <w:sz w:val="17"/>
              </w:rPr>
              <w:t>NOT MET</w:t>
            </w:r>
          </w:p>
        </w:tc>
        <w:tc>
          <w:tcPr>
            <w:tcW w:type="dxa" w:w="2880"/>
          </w:tcPr>
          <w:p>
            <w:r/>
            <w:r>
              <w:rPr>
                <w:sz w:val="17"/>
              </w:rPr>
              <w:t>Issue 1</w:t>
            </w:r>
          </w:p>
        </w:tc>
      </w:tr>
      <w:tr>
        <w:tc>
          <w:tcPr>
            <w:tcW w:type="dxa" w:w="2880"/>
          </w:tcPr>
          <w:p>
            <w:r/>
            <w:r>
              <w:rPr>
                <w:sz w:val="17"/>
              </w:rPr>
              <w:t>Quarterly compliance reporting; executed MSA/BAA to Ridgecrest within 10 business days</w:t>
            </w:r>
          </w:p>
        </w:tc>
        <w:tc>
          <w:tcPr>
            <w:tcW w:type="dxa" w:w="2736"/>
          </w:tcPr>
          <w:p>
            <w:r/>
            <w:r>
              <w:rPr>
                <w:sz w:val="17"/>
              </w:rPr>
              <w:t>Internal process obligation</w:t>
            </w:r>
          </w:p>
        </w:tc>
        <w:tc>
          <w:tcPr>
            <w:tcW w:type="dxa" w:w="1152"/>
            <w:shd w:val="clear" w:color="auto" w:fill="FFF2CC"/>
          </w:tcPr>
          <w:p>
            <w:r/>
            <w:r>
              <w:rPr>
                <w:b/>
                <w:sz w:val="17"/>
              </w:rPr>
              <w:t>PROCESS</w:t>
            </w:r>
          </w:p>
        </w:tc>
        <w:tc>
          <w:tcPr>
            <w:tcW w:type="dxa" w:w="2880"/>
          </w:tcPr>
          <w:p>
            <w:r/>
            <w:r>
              <w:rPr>
                <w:sz w:val="17"/>
              </w:rPr>
              <w:t>Section 6 next steps</w:t>
            </w:r>
          </w:p>
        </w:tc>
      </w:tr>
    </w:tbl>
    <w:p>
      <w:pPr>
        <w:spacing w:after="40"/>
      </w:pPr>
    </w:p>
    <w:p>
      <w:pPr>
        <w:pStyle w:val="Heading1"/>
      </w:pPr>
      <w:r>
        <w:t>5. Negotiation Strategy</w:t>
      </w:r>
    </w:p>
    <w:p>
      <w:pPr>
        <w:pStyle w:val="ListBullet"/>
        <w:spacing w:after="40"/>
      </w:pPr>
      <w:r>
        <w:rPr>
          <w:b/>
        </w:rPr>
        <w:t xml:space="preserve">Package. </w:t>
      </w:r>
      <w:r>
        <w:t>Send a complete Panorama markup of the MSA, Exhibit A and Exhibit B. Include Panorama’s form BAA (Exhibit C), an escrow agreement (Exhibit D) and an Acceptance Test Plan/SOW (Exhibit E). Lead with the Preferred positions so we have room to move, and hold firm at the Required minimums.</w:t>
      </w:r>
    </w:p>
    <w:p>
      <w:pPr>
        <w:pStyle w:val="ListBullet"/>
        <w:spacing w:after="40"/>
      </w:pPr>
      <w:r>
        <w:rPr>
          <w:b/>
        </w:rPr>
        <w:t xml:space="preserve">Walk-away items (no fallback). </w:t>
      </w:r>
      <w:r>
        <w:t>BAA as a condition precedent. SOC 2 Type II. Cyber/Tech E&amp;O of at least $10M. Data return and certified destruction. No change-of-control carve-out. No vendor-only termination for convenience. HIPAA-compliant de-identification with no third-party sale. These track HIPAA or Ridgecrest mandates or Playbook non-negotiables.</w:t>
      </w:r>
    </w:p>
    <w:p>
      <w:pPr>
        <w:pStyle w:val="ListBullet"/>
        <w:spacing w:after="40"/>
      </w:pPr>
      <w:r>
        <w:rPr>
          <w:b/>
        </w:rPr>
        <w:t xml:space="preserve">Escrow and change of control together. </w:t>
      </w:r>
      <w:r>
        <w:t>Present escrow (Issue 10), the consent right and the termination right on change of control (Issue 9), and the hosting-region lock as one continuity package. Tie it directly to Vaultline’s reported acquisition-target status and Derek’s concern about the platform being “deprioritized or folded into a competitor’s product suite.”</w:t>
      </w:r>
    </w:p>
    <w:p>
      <w:pPr>
        <w:pStyle w:val="ListBullet"/>
        <w:spacing w:after="40"/>
      </w:pPr>
      <w:r>
        <w:rPr>
          <w:b/>
        </w:rPr>
        <w:t xml:space="preserve">Integration-centric framing. </w:t>
      </w:r>
      <w:r>
        <w:t>MedBridge integration is the reason for the deal, and Vaultline is building the connector. Use that point across Issues 6 (indemnity), 13 (acceptance), 12 (SLA) and M7 (Documentation). Vaultline cannot credibly exclude its own contemplated integration.</w:t>
      </w:r>
    </w:p>
    <w:p>
      <w:pPr>
        <w:pStyle w:val="ListBullet"/>
        <w:spacing w:after="40"/>
      </w:pPr>
      <w:r>
        <w:rPr>
          <w:b/>
        </w:rPr>
        <w:t xml:space="preserve">Tradeable items. </w:t>
      </w:r>
      <w:r>
        <w:t>Governing law and venue (GC approval required; seek price, SLA or indemnity concessions in exchange). The Preferred items in Section 3.23 (3x cap, $15M insurance, 12-hour notice, 45-day UAT, MFN, quarterly invoicing, CoC termination, chronic-SLA termination, mediation, perpetual confidentiality).</w:t>
      </w:r>
    </w:p>
    <w:p>
      <w:pPr>
        <w:pStyle w:val="ListBullet"/>
        <w:spacing w:after="40"/>
      </w:pPr>
      <w:r>
        <w:rPr>
          <w:b/>
        </w:rPr>
        <w:t xml:space="preserve">Timing. </w:t>
      </w:r>
      <w:r>
        <w:t>The November 1, 2024 Effective Date and the 90-day implementation window are vendor-driven. Signing on November 1 is realistic only if Vaultline accepts the BAA quickly. Otherwise, move the Effective Date and the fee start together; this costs Panorama nothing under our proposed fee-on-acceptance structure. Under no circumstances should implementation data migration or EHR connectivity begin before the BAA is signed.</w:t>
      </w:r>
    </w:p>
    <w:p>
      <w:pPr>
        <w:pStyle w:val="ListBullet"/>
        <w:spacing w:after="40"/>
      </w:pPr>
      <w:r>
        <w:rPr>
          <w:b/>
        </w:rPr>
        <w:t xml:space="preserve">Escalation. </w:t>
      </w:r>
      <w:r>
        <w:t>If Garner Whitlock resists on the IP indemnity or de-identification, or on escrow mechanics, recommend that the GC authorize Thornfield &amp; Associates LLP (Playbook § 3). We do not yet know how flexible Amanda Rourke and Garner Whitlock will be; please advise if you have prior experience with them (my October 8 question 2).</w:t>
      </w:r>
    </w:p>
    <w:p>
      <w:pPr>
        <w:pStyle w:val="Heading1"/>
      </w:pPr>
      <w:r>
        <w:t>6. Required Approvals, Open Items, and Next Steps</w:t>
      </w:r>
    </w:p>
    <w:p>
      <w:pPr>
        <w:pStyle w:val="ListBullet"/>
        <w:spacing w:after="40"/>
      </w:pPr>
      <w:r>
        <w:t>GC decision needed: approve the negotiation strategy and the recommended positions (Step 5). Confirm that no Required deviation is pre-approved, and confirm the governing-law trade parameters.</w:t>
      </w:r>
    </w:p>
    <w:p>
      <w:pPr>
        <w:pStyle w:val="ListBullet"/>
        <w:spacing w:after="40"/>
      </w:pPr>
      <w:r>
        <w:t>Before the October 14 call, Derek should request from Vaultline: (i) the current SOC 2 Type II report and bridge letter; (ii) certificates of insurance and Clearpoint Cyber Underwriters’ A.M. Best rating; (iii) confirmation of ARR and ownership/financing status; (iv) Vaultline’s MedBridge connector documentation and any history of IP claims against the connector; (v) Vaultline’s disaster recovery/business continuity plan and its AWS multi-region failover design; (vi) whether the predictive features are subject to FDA oversight; (vii) its standard data-export formats.</w:t>
      </w:r>
    </w:p>
    <w:p>
      <w:pPr>
        <w:pStyle w:val="ListBullet"/>
        <w:spacing w:after="40"/>
      </w:pPr>
      <w:r>
        <w:t>Business inputs from Derek: integration specifications, performance benchmarks and data-migration scope for the Acceptance Test Plan. Confirm any approved production use of predictive outputs in clinical workflows (M6). Confirm Azure-side encryption and connectivity requirements.</w:t>
      </w:r>
    </w:p>
    <w:p>
      <w:pPr>
        <w:pStyle w:val="ListBullet"/>
        <w:spacing w:after="40"/>
      </w:pPr>
      <w:r>
        <w:t>Process: confirm that Forms LC-SaaS-01 and LC-SaaS-02 are complete. Record the Tier 1 classification in the matter management system. After execution, calendar the renewal reminders (90 and 45 days before the non-renewal deadline), the annual SOC 2 and certificate-of-insurance deliveries, the escrow deposit verification, and transmittal of the executed MSA and BAA to Ridgecrest within 10 business days (Step 8).</w:t>
      </w:r>
    </w:p>
    <w:p>
      <w:pPr>
        <w:pStyle w:val="ListBullet"/>
        <w:spacing w:after="40"/>
      </w:pPr>
      <w:r>
        <w:t>Any deviation the GC approves will be added to Annex A of this memorandum, recording the deviation, the vendor’s rationale, residual risk and compensating controls, as Playbook § 2 requires. Any approved deviation from a Ridgecrest requirement goes into the quarterly Ridgecrest report.</w:t>
      </w:r>
    </w:p>
    <w:p>
      <w:pPr>
        <w:pStyle w:val="Heading1"/>
      </w:pPr>
      <w:r>
        <w:t>7. Assumptions and Notes on Sources</w:t>
      </w:r>
    </w:p>
    <w:p>
      <w:pPr>
        <w:pStyle w:val="ListBullet"/>
        <w:spacing w:after="40"/>
      </w:pPr>
      <w:r>
        <w:t>This review is based solely on the Vaultline draft dated October 7, 2024 (MSA, Exhibit A Order Form, Exhibit B SLA), the Panorama SaaS Contracting Playbook v3.2, and the October 7–8, 2024 email chain. No BAA, SOW, Documentation or security exhibit was provided. The List of Exhibits identifies only Exhibits A and B.</w:t>
      </w:r>
    </w:p>
    <w:p>
      <w:pPr>
        <w:pStyle w:val="ListBullet"/>
        <w:spacing w:after="40"/>
      </w:pPr>
      <w:r>
        <w:t>Vaultline’s ARR (~$72M), headcount and acquisition-target status come from a trade-press report relayed by Derek, not from Vaultline. Ask Vaultline to confirm ARR, although the escrow requirement applies on the information we currently have.</w:t>
      </w:r>
    </w:p>
    <w:p>
      <w:pPr>
        <w:pStyle w:val="ListBullet"/>
        <w:spacing w:after="40"/>
      </w:pPr>
      <w:r>
        <w:t>Dollar figures are computed from the Order Form ($1,140,000 per year; $285,000 implementation). Dates assume a November 1, 2024 Effective Date. The near-$0 cap scenario applies the literal “actually paid … in the six (6)-month period” test to the annual-in-advance payment schedule.</w:t>
      </w:r>
    </w:p>
    <w:p>
      <w:pPr>
        <w:pStyle w:val="ListBullet"/>
        <w:spacing w:after="40"/>
      </w:pPr>
      <w:r>
        <w:t>Playbook currency: the Playbook shows a next scheduled review of September 2024. This memo applies v3.2 as directed in your October 8 email; please confirm that no interim revisions apply.</w:t>
      </w:r>
    </w:p>
    <w:p>
      <w:pPr>
        <w:pStyle w:val="ListBullet"/>
        <w:spacing w:after="40"/>
      </w:pPr>
      <w:r>
        <w:t>Two technical points in the Playbook text do not change any position. First, § 6.1(a) cites Safe Harbor as 45 CFR § 164.514(b) and Expert Determination as § 164.514(a). The regulation itself places Expert Determination at § 164.514(b)(1) and Safe Harbor at § 164.514(b)(2), and the proposed redlines use those pinpoint cites. Second, § 7.2 and Appendix A attribute the SOC 2 standards to the “National Institute of Certified Public Accountants.” The issuing body is the American Institute of Certified Public Accountants (AICPA), and SOC 2 is an attestation report rather than a “certification,” so the redline refers to maintaining a current SOC 2 Type II report. Consider correcting both at the next Playbook revision.</w:t>
      </w:r>
    </w:p>
    <w:p>
      <w:pPr>
        <w:spacing w:after="80"/>
      </w:pPr>
    </w:p>
    <w:p>
      <w:pPr>
        <w:spacing w:after="80"/>
      </w:pPr>
      <w:r>
        <w:rPr>
          <w:b/>
          <w:i w:val="0"/>
        </w:rPr>
        <w:t>Annex A — GC-Approved Deviations (to be completed after GC review)</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432"/>
            <w:shd w:val="clear" w:color="auto" w:fill="1F3A5F"/>
          </w:tcPr>
          <w:p>
            <w:r/>
            <w:r>
              <w:rPr>
                <w:b/>
                <w:color w:val="FFFFFF"/>
                <w:sz w:val="16"/>
              </w:rPr>
              <w:t>#</w:t>
            </w:r>
          </w:p>
        </w:tc>
        <w:tc>
          <w:tcPr>
            <w:tcW w:type="dxa" w:w="1872"/>
            <w:shd w:val="clear" w:color="auto" w:fill="1F3A5F"/>
          </w:tcPr>
          <w:p>
            <w:r/>
            <w:r>
              <w:rPr>
                <w:b/>
                <w:color w:val="FFFFFF"/>
                <w:sz w:val="16"/>
              </w:rPr>
              <w:t>Deviation</w:t>
            </w:r>
          </w:p>
        </w:tc>
        <w:tc>
          <w:tcPr>
            <w:tcW w:type="dxa" w:w="1728"/>
            <w:shd w:val="clear" w:color="auto" w:fill="1F3A5F"/>
          </w:tcPr>
          <w:p>
            <w:r/>
            <w:r>
              <w:rPr>
                <w:b/>
                <w:color w:val="FFFFFF"/>
                <w:sz w:val="16"/>
              </w:rPr>
              <w:t>Vendor rationale</w:t>
            </w:r>
          </w:p>
        </w:tc>
        <w:tc>
          <w:tcPr>
            <w:tcW w:type="dxa" w:w="1728"/>
            <w:shd w:val="clear" w:color="auto" w:fill="1F3A5F"/>
          </w:tcPr>
          <w:p>
            <w:r/>
            <w:r>
              <w:rPr>
                <w:b/>
                <w:color w:val="FFFFFF"/>
                <w:sz w:val="16"/>
              </w:rPr>
              <w:t>Residual risk</w:t>
            </w:r>
          </w:p>
        </w:tc>
        <w:tc>
          <w:tcPr>
            <w:tcW w:type="dxa" w:w="2160"/>
            <w:shd w:val="clear" w:color="auto" w:fill="1F3A5F"/>
          </w:tcPr>
          <w:p>
            <w:r/>
            <w:r>
              <w:rPr>
                <w:b/>
                <w:color w:val="FFFFFF"/>
                <w:sz w:val="16"/>
              </w:rPr>
              <w:t>Mitigation / compensating controls</w:t>
            </w:r>
          </w:p>
        </w:tc>
        <w:tc>
          <w:tcPr>
            <w:tcW w:type="dxa" w:w="1728"/>
            <w:shd w:val="clear" w:color="auto" w:fill="1F3A5F"/>
          </w:tcPr>
          <w:p>
            <w:r/>
            <w:r>
              <w:rPr>
                <w:b/>
                <w:color w:val="FFFFFF"/>
                <w:sz w:val="16"/>
              </w:rPr>
              <w:t>GC approval / date</w:t>
            </w:r>
          </w:p>
        </w:tc>
      </w:tr>
      <w:tr>
        <w:tc>
          <w:tcPr>
            <w:tcW w:type="dxa" w:w="432"/>
          </w:tcPr>
          <w:p>
            <w:r/>
            <w:r>
              <w:rPr>
                <w:sz w:val="16"/>
              </w:rPr>
            </w:r>
          </w:p>
        </w:tc>
        <w:tc>
          <w:tcPr>
            <w:tcW w:type="dxa" w:w="1872"/>
          </w:tcPr>
          <w:p>
            <w:r/>
            <w:r>
              <w:rPr>
                <w:sz w:val="16"/>
              </w:rPr>
            </w:r>
          </w:p>
        </w:tc>
        <w:tc>
          <w:tcPr>
            <w:tcW w:type="dxa" w:w="1728"/>
          </w:tcPr>
          <w:p>
            <w:r/>
            <w:r>
              <w:rPr>
                <w:sz w:val="16"/>
              </w:rPr>
            </w:r>
          </w:p>
        </w:tc>
        <w:tc>
          <w:tcPr>
            <w:tcW w:type="dxa" w:w="1728"/>
          </w:tcPr>
          <w:p>
            <w:r/>
            <w:r>
              <w:rPr>
                <w:sz w:val="16"/>
              </w:rPr>
            </w:r>
          </w:p>
        </w:tc>
        <w:tc>
          <w:tcPr>
            <w:tcW w:type="dxa" w:w="2160"/>
          </w:tcPr>
          <w:p>
            <w:r/>
            <w:r>
              <w:rPr>
                <w:sz w:val="16"/>
              </w:rPr>
            </w:r>
          </w:p>
        </w:tc>
        <w:tc>
          <w:tcPr>
            <w:tcW w:type="dxa" w:w="1728"/>
          </w:tcPr>
          <w:p>
            <w:r/>
            <w:r>
              <w:rPr>
                <w:sz w:val="16"/>
              </w:rPr>
            </w:r>
          </w:p>
        </w:tc>
      </w:tr>
      <w:tr>
        <w:tc>
          <w:tcPr>
            <w:tcW w:type="dxa" w:w="432"/>
          </w:tcPr>
          <w:p>
            <w:r/>
            <w:r>
              <w:rPr>
                <w:sz w:val="16"/>
              </w:rPr>
            </w:r>
          </w:p>
        </w:tc>
        <w:tc>
          <w:tcPr>
            <w:tcW w:type="dxa" w:w="1872"/>
          </w:tcPr>
          <w:p>
            <w:r/>
            <w:r>
              <w:rPr>
                <w:sz w:val="16"/>
              </w:rPr>
            </w:r>
          </w:p>
        </w:tc>
        <w:tc>
          <w:tcPr>
            <w:tcW w:type="dxa" w:w="1728"/>
          </w:tcPr>
          <w:p>
            <w:r/>
            <w:r>
              <w:rPr>
                <w:sz w:val="16"/>
              </w:rPr>
            </w:r>
          </w:p>
        </w:tc>
        <w:tc>
          <w:tcPr>
            <w:tcW w:type="dxa" w:w="1728"/>
          </w:tcPr>
          <w:p>
            <w:r/>
            <w:r>
              <w:rPr>
                <w:sz w:val="16"/>
              </w:rPr>
            </w:r>
          </w:p>
        </w:tc>
        <w:tc>
          <w:tcPr>
            <w:tcW w:type="dxa" w:w="2160"/>
          </w:tcPr>
          <w:p>
            <w:r/>
            <w:r>
              <w:rPr>
                <w:sz w:val="16"/>
              </w:rPr>
            </w:r>
          </w:p>
        </w:tc>
        <w:tc>
          <w:tcPr>
            <w:tcW w:type="dxa" w:w="1728"/>
          </w:tcPr>
          <w:p>
            <w:r/>
            <w:r>
              <w:rPr>
                <w:sz w:val="16"/>
              </w:rPr>
            </w:r>
          </w:p>
        </w:tc>
      </w:tr>
    </w:tbl>
    <w:p>
      <w:pPr>
        <w:spacing w:after="40"/>
      </w:pPr>
    </w:p>
    <w:sectPr w:rsidR="00FC693F" w:rsidRPr="0006063C" w:rsidSect="00034616">
      <w:headerReference w:type="default" r:id="rId9"/>
      <w:footerReference w:type="default" r:id="rId10"/>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Panorama Health Systems, Inc. — Vaultline Prism MSA Issue Memorandum (Playbook v3.2, Step 4) — Page </w:t>
    </w:r>
    <w:r>
      <w:rPr>
        <w:sz w:val="16"/>
      </w:rPr>
      <w:fldChar w:fldCharType="begin"/>
    </w:r>
    <w:r>
      <w:rPr>
        <w:sz w:val="16"/>
      </w:rPr>
      <w:instrText xml:space="preserve"> PAGE </w:instrTex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&amp; CONFIDENTIAL — ATTORNEY-CLIENT COMMUNICATION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