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18"/>
        </w:rPr>
        <w:t>PRIVILEGED &amp; CONFIDENTIAL — ATTORNEY-CLIENT COMMUNICATION / ATTORNEY WORK PRODUCT</w:t>
      </w:r>
    </w:p>
    <w:p>
      <w:pPr>
        <w:spacing w:after="200"/>
        <w:jc w:val="center"/>
      </w:pPr>
      <w:r>
        <w:rPr>
          <w:i/>
          <w:sz w:val="16"/>
        </w:rPr>
        <w:t>Contains information derived from CONTROLLED//CFIUS SENSITIVE National Security Terms — handle in accordance with CFIUS information security procedures; do not disseminate outside the Saxonbrook engagement team.</w:t>
      </w:r>
    </w:p>
    <w:p>
      <w:pPr>
        <w:jc w:val="center"/>
      </w:pPr>
      <w:r>
        <w:rPr>
          <w:b/>
          <w:sz w:val="32"/>
        </w:rPr>
        <w:t>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FFFFFF"/>
          </w:tcPr>
          <w:p>
            <w:r/>
            <w:r>
              <w:rPr>
                <w:b/>
                <w:color w:val="FFFFFF"/>
                <w:sz w:val="20"/>
              </w:rPr>
            </w:r>
          </w:p>
        </w:tc>
        <w:tc>
          <w:tcPr>
            <w:tcW w:type="dxa" w:w="7920"/>
            <w:shd w:val="clear" w:color="auto" w:fill="FFFFFF"/>
          </w:tcPr>
          <w:p>
            <w:r/>
            <w:r>
              <w:rPr>
                <w:b/>
                <w:color w:val="FFFFFF"/>
                <w:sz w:val="20"/>
              </w:rPr>
            </w:r>
          </w:p>
        </w:tc>
      </w:tr>
      <w:tr>
        <w:tc>
          <w:tcPr>
            <w:tcW w:type="dxa" w:w="1440"/>
          </w:tcPr>
          <w:p>
            <w:r/>
            <w:r>
              <w:rPr>
                <w:sz w:val="20"/>
              </w:rPr>
              <w:t>TO:</w:t>
            </w:r>
          </w:p>
        </w:tc>
        <w:tc>
          <w:tcPr>
            <w:tcW w:type="dxa" w:w="7920"/>
          </w:tcPr>
          <w:p>
            <w:r/>
            <w:r>
              <w:rPr>
                <w:sz w:val="20"/>
              </w:rPr>
              <w:t>Catherine “Kit” Holloway, Partner</w:t>
            </w:r>
          </w:p>
        </w:tc>
      </w:tr>
      <w:tr>
        <w:tc>
          <w:tcPr>
            <w:tcW w:type="dxa" w:w="1440"/>
          </w:tcPr>
          <w:p>
            <w:r/>
            <w:r>
              <w:rPr>
                <w:sz w:val="20"/>
              </w:rPr>
              <w:t>FROM:</w:t>
            </w:r>
          </w:p>
        </w:tc>
        <w:tc>
          <w:tcPr>
            <w:tcW w:type="dxa" w:w="7920"/>
          </w:tcPr>
          <w:p>
            <w:r/>
            <w:r>
              <w:rPr>
                <w:sz w:val="20"/>
              </w:rPr>
              <w:t>Saxonbrook engagement team (prepared for Jonathan Rees, Senior Associate)</w:t>
            </w:r>
          </w:p>
        </w:tc>
      </w:tr>
      <w:tr>
        <w:tc>
          <w:tcPr>
            <w:tcW w:type="dxa" w:w="1440"/>
          </w:tcPr>
          <w:p>
            <w:r/>
            <w:r>
              <w:rPr>
                <w:sz w:val="20"/>
              </w:rPr>
              <w:t>CC:</w:t>
            </w:r>
          </w:p>
        </w:tc>
        <w:tc>
          <w:tcPr>
            <w:tcW w:type="dxa" w:w="7920"/>
          </w:tcPr>
          <w:p>
            <w:r/>
            <w:r>
              <w:rPr>
                <w:sz w:val="20"/>
              </w:rPr>
              <w:t>David Ostroff, General Counsel, Saxonbrook Precision Systems, Inc. (attorney-client privileged)</w:t>
            </w:r>
          </w:p>
        </w:tc>
      </w:tr>
      <w:tr>
        <w:tc>
          <w:tcPr>
            <w:tcW w:type="dxa" w:w="1440"/>
          </w:tcPr>
          <w:p>
            <w:r/>
            <w:r>
              <w:rPr>
                <w:sz w:val="20"/>
              </w:rPr>
              <w:t>DATE:</w:t>
            </w:r>
          </w:p>
        </w:tc>
        <w:tc>
          <w:tcPr>
            <w:tcW w:type="dxa" w:w="7920"/>
          </w:tcPr>
          <w:p>
            <w:r/>
            <w:r>
              <w:rPr>
                <w:sz w:val="20"/>
              </w:rPr>
              <w:t>April 21, 2025</w:t>
            </w:r>
          </w:p>
        </w:tc>
      </w:tr>
      <w:tr>
        <w:tc>
          <w:tcPr>
            <w:tcW w:type="dxa" w:w="1440"/>
          </w:tcPr>
          <w:p>
            <w:r/>
            <w:r>
              <w:rPr>
                <w:sz w:val="20"/>
              </w:rPr>
              <w:t>RE:</w:t>
            </w:r>
          </w:p>
        </w:tc>
        <w:tc>
          <w:tcPr>
            <w:tcW w:type="dxa" w:w="7920"/>
          </w:tcPr>
          <w:p>
            <w:r/>
            <w:r>
              <w:rPr>
                <w:sz w:val="20"/>
              </w:rPr>
              <w:t>CFIUS Case No. CFIUS-2025-00147 — Meridian Aerospace Holdings Ltd. / Saxonbrook Precision Systems, Inc. — Gap Analysis of Draft National Security Agreement v3.2 (April 18, 2025) Against the CFIUS National Security Terms (April 3, 2025)</w:t>
            </w:r>
          </w:p>
        </w:tc>
      </w:tr>
    </w:tbl>
    <w:p>
      <w:pPr>
        <w:spacing w:after="40"/>
      </w:pPr>
    </w:p>
    <w:p>
      <w:pPr>
        <w:pStyle w:val="Heading1"/>
      </w:pPr>
      <w:r>
        <w:t>I. Bottom Line</w:t>
      </w:r>
    </w:p>
    <w:p>
      <w:pPr>
        <w:spacing w:after="120"/>
      </w:pPr>
      <w:r>
        <w:rPr>
          <w:i w:val="0"/>
        </w:rPr>
        <w:t>Draft v3.2 is not in a form that can be submitted to CFIUS. Measured against the fourteen requirements in Section V of the National Security Terms (“NST”), not one requirement is fully satisfied without revision. We identify 71 discrete gaps: 12 Critical (each, in our judgment, likely on its own to cause CFIUS to reject the agreement or impose its own language), 26 High, 23 Medium and 10 Low. The NST is explicit that each requirement is a mandatory floor (“at a minimum”), that the parties may exceed but may not “conflict with or diminish” those requirements, and that the NST control in any conflict or ambiguity (NST § V, preamble). Several v3.2 provisions do exactly what that language forbids.</w:t>
      </w:r>
    </w:p>
    <w:p>
      <w:pPr>
        <w:spacing w:after="120"/>
      </w:pPr>
      <w:r>
        <w:rPr>
          <w:i w:val="0"/>
        </w:rPr>
        <w:t>The submission deadline is May 3, 2025 (12 calendar days from today). The NST warns that failure to submit a satisfactory agreement may lead CFIUS to recommend that the President block or unwind the transaction (NST § I). Because v3.2 deviates on points where all five precedents in our matrix follow the NST, we do not believe the departures can be defended as market practice.</w:t>
      </w:r>
    </w:p>
    <w:p>
      <w:pPr>
        <w:spacing w:after="60"/>
      </w:pPr>
      <w:r>
        <w:rPr>
          <w:i w:val="0"/>
        </w:rPr>
        <w:t>The issues that most need resolving before May 3, in priority order:</w:t>
      </w:r>
    </w:p>
    <w:p>
      <w:pPr>
        <w:pStyle w:val="ListNumber"/>
        <w:spacing w:after="60"/>
      </w:pPr>
      <w:r>
        <w:rPr>
          <w:b/>
        </w:rPr>
        <w:t>Board majority (Req. 1).</w:t>
      </w:r>
      <w:r>
        <w:t xml:space="preserve"> Three CFIUS-approved directors on a seven-member board is 42.9%, not a majority (NST 1.2). A nine-seat board (5 independents / 3 Meridian / 1 management, 55.6%, matching Precedent D) would let Meridian keep its “non-negotiable” three seats and still satisfy the NST.</w:t>
      </w:r>
    </w:p>
    <w:p>
      <w:pPr>
        <w:pStyle w:val="ListNumber"/>
        <w:spacing w:after="60"/>
      </w:pPr>
      <w:r>
        <w:rPr>
          <w:b/>
        </w:rPr>
        <w:t>Observer and consultation rights (Req. 3).</w:t>
      </w:r>
      <w:r>
        <w:t xml:space="preserve"> The consultation right (§ 6.1(c)) and Board Observer (§ 6.1(d)) are rights that NST 3.3 expressly prohibits by name (“consultation,” “observer,” attendance at Board meetings).</w:t>
      </w:r>
    </w:p>
    <w:p>
      <w:pPr>
        <w:pStyle w:val="ListNumber"/>
        <w:spacing w:after="60"/>
      </w:pPr>
      <w:r>
        <w:rPr>
          <w:b/>
        </w:rPr>
        <w:t>ITAR/EAR scope and the Foreign National definition (Req. 4).</w:t>
      </w:r>
      <w:r>
        <w:t xml:space="preserve"> Access restrictions cover only classified information and facilities. They omit ITAR/EAR-controlled technical data (NST 4.1(b), 4.4). Separately, the draft’s definition of “Foreign National” leaves out U.S. lawful permanent residents and foreign entities, which narrows the restriction further than the parties have discussed.</w:t>
      </w:r>
    </w:p>
    <w:p>
      <w:pPr>
        <w:pStyle w:val="ListNumber"/>
        <w:spacing w:after="60"/>
      </w:pPr>
      <w:r>
        <w:rPr>
          <w:b/>
        </w:rPr>
        <w:t>Incident reporting (Req. 10).</w:t>
      </w:r>
      <w:r>
        <w:t xml:space="preserve"> Reporting within 72 hours of a GSD “determination” replaces the NST’s 24 hours from discovery by any Saxonbrook personnel. NST 10.2 and 10.4 expressly prohibit making the clock depend on GSD verification.</w:t>
      </w:r>
    </w:p>
    <w:p>
      <w:pPr>
        <w:pStyle w:val="ListNumber"/>
        <w:spacing w:after="60"/>
      </w:pPr>
      <w:r>
        <w:rPr>
          <w:b/>
        </w:rPr>
        <w:t>GSD removal and authority (Req. 2).</w:t>
      </w:r>
      <w:r>
        <w:t xml:space="preserve"> Under the draft, the GSD can be removed on notice to CFIUS without its approval. The GSD also lacks the independent, non-reviewable authority to deny access that NST 2.4 requires.</w:t>
      </w:r>
    </w:p>
    <w:p>
      <w:pPr>
        <w:pStyle w:val="ListNumber"/>
        <w:spacing w:after="60"/>
      </w:pPr>
      <w:r>
        <w:rPr>
          <w:b/>
        </w:rPr>
        <w:t>CFIUS authority provisions (Reqs. 13 and 14).</w:t>
      </w:r>
      <w:r>
        <w:t xml:space="preserve"> Amendments can be made without CFIUS consent (§ 18.1). The agreement terminates automatically on divestiture after a fixed 12-month wind-down (§ 18.2). The penalty clause omits the transaction-value measure and forced divestiture (§ 17.1). Each provision reduces CFIUS’s own authority, and CFIUS will not accept that.</w:t>
      </w:r>
    </w:p>
    <w:p>
      <w:pPr>
        <w:pStyle w:val="ListNumber"/>
        <w:spacing w:after="60"/>
      </w:pPr>
      <w:r>
        <w:rPr>
          <w:b/>
        </w:rPr>
        <w:t>Lesser but clear deviations (Reqs. 8, 9, 11, 12).</w:t>
      </w:r>
      <w:r>
        <w:t xml:space="preserve"> Annual audits instead of semiannual; no deadline for delivering reports; the compliance-report deadline can be extended by the Monitor; the subcontracting threshold is 25% direct equity instead of 10% direct or indirect; contract-continuity notice is 60 days and indirect instead of 90 days and direct.</w:t>
      </w:r>
    </w:p>
    <w:p>
      <w:pPr>
        <w:spacing w:after="120"/>
      </w:pPr>
      <w:r>
        <w:rPr>
          <w:i w:val="0"/>
        </w:rPr>
        <w:t>We also found (i) an entity-name defect: the cover page, signature block and Exhibit E name “Vanguard Precision Systems, Inc.” rather than Saxonbrook; (ii) no provision for CFIUS approval of the Voting Trustee or the Third-Party Monitor; and (iii) several errors in our own April 17 precedent matrix, which should be corrected before it is used in negotiation (Part V).</w:t>
      </w:r>
    </w:p>
    <w:p>
      <w:pPr>
        <w:pStyle w:val="Heading1"/>
      </w:pPr>
      <w:r>
        <w:t>II. Scope, Sources and Approach</w:t>
      </w:r>
    </w:p>
    <w:p>
      <w:pPr>
        <w:spacing w:after="120"/>
      </w:pPr>
      <w:r>
        <w:rPr>
          <w:i w:val="0"/>
        </w:rPr>
        <w:t>We compared each requirement and sub-requirement of NST Section V (Requirements 1–14), together with the NST definitions (§ IV) and process terms (§§ VI–VIII), against Draft National Security Agreement v3.2 dated April 18, 2025, including Exhibits A–E. We also drew on: the April 10–17, 2025 negotiation e-mail chain among Holloway, Crane &amp; Burke, Greystone McNair and Saxonbrook; the April 18, 2025 Organizational Chart and Facility Security Profile; and the April 17, 2025 CFIUS Precedent Comparison Matrix (Precedents A–E). Section references to “§” are to v3.2 unless otherwise noted; references to “NST x.y” are to NST Section V.</w:t>
      </w:r>
    </w:p>
    <w:p>
      <w:pPr>
        <w:spacing w:after="40"/>
      </w:pPr>
      <w:r>
        <w:rPr>
          <w:i w:val="0"/>
        </w:rPr>
        <w:t xml:space="preserve">Severity scale: </w:t>
      </w:r>
    </w:p>
    <w:p>
      <w:pPr>
        <w:pStyle w:val="ListBullet"/>
        <w:spacing w:after="60"/>
      </w:pPr>
      <w:r>
        <w:rPr>
          <w:b/>
        </w:rPr>
        <w:t>Critical —</w:t>
      </w:r>
      <w:r>
        <w:t xml:space="preserve"> CFIUS is likely to reject the agreement or impose its own language. The draft conflicts with or diminishes an express NST term, or reduces CFIUS’s statutory or approval authority.</w:t>
      </w:r>
    </w:p>
    <w:p>
      <w:pPr>
        <w:pStyle w:val="ListBullet"/>
        <w:spacing w:after="60"/>
      </w:pPr>
      <w:r>
        <w:rPr>
          <w:b/>
        </w:rPr>
        <w:t>High —</w:t>
      </w:r>
      <w:r>
        <w:t xml:space="preserve"> A material omission or weakening of an express NST term. CFIUS will almost certainly require it to be corrected.</w:t>
      </w:r>
    </w:p>
    <w:p>
      <w:pPr>
        <w:pStyle w:val="ListBullet"/>
        <w:spacing w:after="60"/>
      </w:pPr>
      <w:r>
        <w:rPr>
          <w:b/>
        </w:rPr>
        <w:t>Medium —</w:t>
      </w:r>
      <w:r>
        <w:t xml:space="preserve"> A partial implementation, an ambiguity, or a missing mechanism that CFIUS is likely to flag in comments.</w:t>
      </w:r>
    </w:p>
    <w:p>
      <w:pPr>
        <w:pStyle w:val="ListBullet"/>
        <w:spacing w:after="60"/>
      </w:pPr>
      <w:r>
        <w:rPr>
          <w:b/>
        </w:rPr>
        <w:t>Low —</w:t>
      </w:r>
      <w:r>
        <w:t xml:space="preserve"> A drafting, consistency or conforming point.</w:t>
      </w:r>
    </w:p>
    <w:p>
      <w:pPr>
        <w:spacing w:after="120"/>
      </w:pPr>
      <w:r>
        <w:rPr>
          <w:i/>
        </w:rPr>
        <w:t>Market comparisons rely only on the five-precedent sample in our matrix. As the matrix itself notes, that sample is not a comprehensive survey.</w:t>
      </w:r>
    </w:p>
    <w:p>
      <w:pPr>
        <w:pStyle w:val="Heading1"/>
      </w:pPr>
      <w:r>
        <w:t>III. Summary Scorecard by NST Requirement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944"/>
            <w:shd w:val="clear" w:color="auto" w:fill="1F2A44"/>
          </w:tcPr>
          <w:p>
            <w:r/>
            <w:r>
              <w:rPr>
                <w:b/>
                <w:color w:val="FFFFFF"/>
                <w:sz w:val="16"/>
              </w:rPr>
              <w:t>NST Requirement</w:t>
            </w:r>
          </w:p>
        </w:tc>
        <w:tc>
          <w:tcPr>
            <w:tcW w:type="dxa" w:w="1512"/>
            <w:shd w:val="clear" w:color="auto" w:fill="1F2A44"/>
          </w:tcPr>
          <w:p>
            <w:r/>
            <w:r>
              <w:rPr>
                <w:b/>
                <w:color w:val="FFFFFF"/>
                <w:sz w:val="16"/>
              </w:rPr>
              <w:t>v3.2 Provisions</w:t>
            </w:r>
          </w:p>
        </w:tc>
        <w:tc>
          <w:tcPr>
            <w:tcW w:type="dxa" w:w="1368"/>
            <w:shd w:val="clear" w:color="auto" w:fill="1F2A44"/>
          </w:tcPr>
          <w:p>
            <w:r/>
            <w:r>
              <w:rPr>
                <w:b/>
                <w:color w:val="FFFFFF"/>
                <w:sz w:val="16"/>
              </w:rPr>
              <w:t>Status</w:t>
            </w:r>
          </w:p>
        </w:tc>
        <w:tc>
          <w:tcPr>
            <w:tcW w:type="dxa" w:w="1008"/>
            <w:shd w:val="clear" w:color="auto" w:fill="1F2A44"/>
          </w:tcPr>
          <w:p>
            <w:r/>
            <w:r>
              <w:rPr>
                <w:b/>
                <w:color w:val="FFFFFF"/>
                <w:sz w:val="16"/>
              </w:rPr>
              <w:t>Risk</w:t>
            </w:r>
          </w:p>
        </w:tc>
        <w:tc>
          <w:tcPr>
            <w:tcW w:type="dxa" w:w="3528"/>
            <w:shd w:val="clear" w:color="auto" w:fill="1F2A44"/>
          </w:tcPr>
          <w:p>
            <w:r/>
            <w:r>
              <w:rPr>
                <w:b/>
                <w:color w:val="FFFFFF"/>
                <w:sz w:val="16"/>
              </w:rPr>
              <w:t>Principal Gaps</w:t>
            </w:r>
          </w:p>
        </w:tc>
      </w:tr>
      <w:tr>
        <w:tc>
          <w:tcPr>
            <w:tcW w:type="dxa" w:w="1944"/>
          </w:tcPr>
          <w:p>
            <w:r/>
            <w:r>
              <w:rPr>
                <w:sz w:val="16"/>
              </w:rPr>
              <w:t>1. Board Composition</w:t>
            </w:r>
          </w:p>
        </w:tc>
        <w:tc>
          <w:tcPr>
            <w:tcW w:type="dxa" w:w="1512"/>
          </w:tcPr>
          <w:p>
            <w:r/>
            <w:r>
              <w:rPr>
                <w:sz w:val="16"/>
              </w:rPr>
              <w:t>§§ 4.1–4.5; Ex. A</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3 of 7 (42.9%) is not a majority; independence test weakened; DGCL removal carve-out; vacancy fill period missing</w:t>
            </w:r>
          </w:p>
        </w:tc>
      </w:tr>
      <w:tr>
        <w:tc>
          <w:tcPr>
            <w:tcW w:type="dxa" w:w="1944"/>
          </w:tcPr>
          <w:p>
            <w:r/>
            <w:r>
              <w:rPr>
                <w:sz w:val="16"/>
              </w:rPr>
              <w:t>2. Government Security Director</w:t>
            </w:r>
          </w:p>
        </w:tc>
        <w:tc>
          <w:tcPr>
            <w:tcW w:type="dxa" w:w="1512"/>
          </w:tcPr>
          <w:p>
            <w:r/>
            <w:r>
              <w:rPr>
                <w:sz w:val="16"/>
              </w:rPr>
              <w:t>§§ 5.1–5.4</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Removable on notice, not CFIUS approval; no independent, unreviewable access authority; not exclusive reporting; no Meridian look-back; compensation</w:t>
            </w:r>
          </w:p>
        </w:tc>
      </w:tr>
      <w:tr>
        <w:tc>
          <w:tcPr>
            <w:tcW w:type="dxa" w:w="1944"/>
          </w:tcPr>
          <w:p>
            <w:r/>
            <w:r>
              <w:rPr>
                <w:sz w:val="16"/>
              </w:rPr>
              <w:t>3. Voting Trust / Proxy</w:t>
            </w:r>
          </w:p>
        </w:tc>
        <w:tc>
          <w:tcPr>
            <w:tcW w:type="dxa" w:w="1512"/>
          </w:tcPr>
          <w:p>
            <w:r/>
            <w:r>
              <w:rPr>
                <w:sz w:val="16"/>
              </w:rPr>
              <w:t>§ 6; Ex. B</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Consultation right and Board Observer expressly barred; information rights; no initial CFIUS approval of Trustee; no annual certification; trust duration</w:t>
            </w:r>
          </w:p>
        </w:tc>
      </w:tr>
      <w:tr>
        <w:tc>
          <w:tcPr>
            <w:tcW w:type="dxa" w:w="1944"/>
          </w:tcPr>
          <w:p>
            <w:r/>
            <w:r>
              <w:rPr>
                <w:sz w:val="16"/>
              </w:rPr>
              <w:t>4. Access Restrictions</w:t>
            </w:r>
          </w:p>
        </w:tc>
        <w:tc>
          <w:tcPr>
            <w:tcW w:type="dxa" w:w="1512"/>
          </w:tcPr>
          <w:p>
            <w:r/>
            <w:r>
              <w:rPr>
                <w:sz w:val="16"/>
              </w:rPr>
              <w:t>§§ 1.1, 8.1–8.3, 15</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ITAR/EAR data omitted; Foreign National definition excludes LPRs and entities; reliance on international security agreements</w:t>
            </w:r>
          </w:p>
        </w:tc>
      </w:tr>
      <w:tr>
        <w:tc>
          <w:tcPr>
            <w:tcW w:type="dxa" w:w="1944"/>
          </w:tcPr>
          <w:p>
            <w:r/>
            <w:r>
              <w:rPr>
                <w:sz w:val="16"/>
              </w:rPr>
              <w:t>5. Information Barriers</w:t>
            </w:r>
          </w:p>
        </w:tc>
        <w:tc>
          <w:tcPr>
            <w:tcW w:type="dxa" w:w="1512"/>
          </w:tcPr>
          <w:p>
            <w:r/>
            <w:r>
              <w:rPr>
                <w:sz w:val="16"/>
              </w:rPr>
              <w:t>§§ 9.1–9.3; Ex. C</w:t>
            </w:r>
          </w:p>
        </w:tc>
        <w:tc>
          <w:tcPr>
            <w:tcW w:type="dxa" w:w="1368"/>
          </w:tcPr>
          <w:p>
            <w:r/>
            <w:r>
              <w:rPr>
                <w:sz w:val="16"/>
              </w:rPr>
              <w:t>Partially compliant</w:t>
            </w:r>
          </w:p>
        </w:tc>
        <w:tc>
          <w:tcPr>
            <w:tcW w:type="dxa" w:w="1008"/>
            <w:shd w:val="clear" w:color="auto" w:fill="FCE5CD"/>
          </w:tcPr>
          <w:p>
            <w:r/>
            <w:r>
              <w:rPr>
                <w:b/>
                <w:sz w:val="16"/>
              </w:rPr>
              <w:t>High</w:t>
            </w:r>
          </w:p>
        </w:tc>
        <w:tc>
          <w:tcPr>
            <w:tcW w:type="dxa" w:w="3528"/>
          </w:tcPr>
          <w:p>
            <w:r/>
            <w:r>
              <w:rPr>
                <w:sz w:val="16"/>
              </w:rPr>
              <w:t>Barriers limited to classified operations; no export-controlled segregation; shared infrastructure ban incomplete; no GSD/CFIUS exception process; 120-day upgrade window</w:t>
            </w:r>
          </w:p>
        </w:tc>
      </w:tr>
      <w:tr>
        <w:tc>
          <w:tcPr>
            <w:tcW w:type="dxa" w:w="1944"/>
          </w:tcPr>
          <w:p>
            <w:r/>
            <w:r>
              <w:rPr>
                <w:sz w:val="16"/>
              </w:rPr>
              <w:t>6. Personnel Vetting</w:t>
            </w:r>
          </w:p>
        </w:tc>
        <w:tc>
          <w:tcPr>
            <w:tcW w:type="dxa" w:w="1512"/>
          </w:tcPr>
          <w:p>
            <w:r/>
            <w:r>
              <w:rPr>
                <w:sz w:val="16"/>
              </w:rPr>
              <w:t>§§ 7.1–7.4</w:t>
            </w:r>
          </w:p>
        </w:tc>
        <w:tc>
          <w:tcPr>
            <w:tcW w:type="dxa" w:w="1368"/>
          </w:tcPr>
          <w:p>
            <w:r/>
            <w:r>
              <w:rPr>
                <w:sz w:val="16"/>
              </w:rPr>
              <w:t>Partially compliant</w:t>
            </w:r>
          </w:p>
        </w:tc>
        <w:tc>
          <w:tcPr>
            <w:tcW w:type="dxa" w:w="1008"/>
            <w:shd w:val="clear" w:color="auto" w:fill="FCE5CD"/>
          </w:tcPr>
          <w:p>
            <w:r/>
            <w:r>
              <w:rPr>
                <w:b/>
                <w:sz w:val="16"/>
              </w:rPr>
              <w:t>High</w:t>
            </w:r>
          </w:p>
        </w:tc>
        <w:tc>
          <w:tcPr>
            <w:tcW w:type="dxa" w:w="3528"/>
          </w:tcPr>
          <w:p>
            <w:r/>
            <w:r>
              <w:rPr>
                <w:sz w:val="16"/>
              </w:rPr>
              <w:t>CFIUS removal in 30 days (not 10 business days) with no immediate exclusion; not DCSA-directed; export-controlled access omitted; no pre-duty vetting; no roster</w:t>
            </w:r>
          </w:p>
        </w:tc>
      </w:tr>
      <w:tr>
        <w:tc>
          <w:tcPr>
            <w:tcW w:type="dxa" w:w="1944"/>
          </w:tcPr>
          <w:p>
            <w:r/>
            <w:r>
              <w:rPr>
                <w:sz w:val="16"/>
              </w:rPr>
              <w:t>7. Technology Control Plan</w:t>
            </w:r>
          </w:p>
        </w:tc>
        <w:tc>
          <w:tcPr>
            <w:tcW w:type="dxa" w:w="1512"/>
          </w:tcPr>
          <w:p>
            <w:r/>
            <w:r>
              <w:rPr>
                <w:sz w:val="16"/>
              </w:rPr>
              <w:t>§§ 9.4–9.5</w:t>
            </w:r>
          </w:p>
        </w:tc>
        <w:tc>
          <w:tcPr>
            <w:tcW w:type="dxa" w:w="1368"/>
          </w:tcPr>
          <w:p>
            <w:r/>
            <w:r>
              <w:rPr>
                <w:sz w:val="16"/>
              </w:rPr>
              <w:t>Partially compliant</w:t>
            </w:r>
          </w:p>
        </w:tc>
        <w:tc>
          <w:tcPr>
            <w:tcW w:type="dxa" w:w="1008"/>
            <w:shd w:val="clear" w:color="auto" w:fill="FCE5CD"/>
          </w:tcPr>
          <w:p>
            <w:r/>
            <w:r>
              <w:rPr>
                <w:b/>
                <w:sz w:val="16"/>
              </w:rPr>
              <w:t>High</w:t>
            </w:r>
          </w:p>
        </w:tc>
        <w:tc>
          <w:tcPr>
            <w:tcW w:type="dxa" w:w="3528"/>
          </w:tcPr>
          <w:p>
            <w:r/>
            <w:r>
              <w:rPr>
                <w:sz w:val="16"/>
              </w:rPr>
              <w:t>90 days from Effective Date versus 60 days from Closing; content gaps (ITAR/EAR handling, visitors, insider threat, incident reporting); no annual update; GSD responsibility</w:t>
            </w:r>
          </w:p>
        </w:tc>
      </w:tr>
      <w:tr>
        <w:tc>
          <w:tcPr>
            <w:tcW w:type="dxa" w:w="1944"/>
          </w:tcPr>
          <w:p>
            <w:r/>
            <w:r>
              <w:rPr>
                <w:sz w:val="16"/>
              </w:rPr>
              <w:t>8. Third-Party Monitor</w:t>
            </w:r>
          </w:p>
        </w:tc>
        <w:tc>
          <w:tcPr>
            <w:tcW w:type="dxa" w:w="1512"/>
          </w:tcPr>
          <w:p>
            <w:r/>
            <w:r>
              <w:rPr>
                <w:sz w:val="16"/>
              </w:rPr>
              <w:t>§§ 3.4, 12.1–12.4; Ex. D</w:t>
            </w:r>
          </w:p>
        </w:tc>
        <w:tc>
          <w:tcPr>
            <w:tcW w:type="dxa" w:w="1368"/>
          </w:tcPr>
          <w:p>
            <w:r/>
            <w:r>
              <w:rPr>
                <w:sz w:val="16"/>
              </w:rPr>
              <w:t>Non-compliant</w:t>
            </w:r>
          </w:p>
        </w:tc>
        <w:tc>
          <w:tcPr>
            <w:tcW w:type="dxa" w:w="1008"/>
            <w:shd w:val="clear" w:color="auto" w:fill="FCE5CD"/>
          </w:tcPr>
          <w:p>
            <w:r/>
            <w:r>
              <w:rPr>
                <w:b/>
                <w:sz w:val="16"/>
              </w:rPr>
              <w:t>High</w:t>
            </w:r>
          </w:p>
        </w:tc>
        <w:tc>
          <w:tcPr>
            <w:tcW w:type="dxa" w:w="3528"/>
          </w:tcPr>
          <w:p>
            <w:r/>
            <w:r>
              <w:rPr>
                <w:sz w:val="16"/>
              </w:rPr>
              <w:t>Annual rather than semiannual audits; no 30-day report deadline; no CFIUS approval or replacement right; report contents; GSD copies; independence qualifiers</w:t>
            </w:r>
          </w:p>
        </w:tc>
      </w:tr>
      <w:tr>
        <w:tc>
          <w:tcPr>
            <w:tcW w:type="dxa" w:w="1944"/>
          </w:tcPr>
          <w:p>
            <w:r/>
            <w:r>
              <w:rPr>
                <w:sz w:val="16"/>
              </w:rPr>
              <w:t>9. Annual Compliance Report</w:t>
            </w:r>
          </w:p>
        </w:tc>
        <w:tc>
          <w:tcPr>
            <w:tcW w:type="dxa" w:w="1512"/>
          </w:tcPr>
          <w:p>
            <w:r/>
            <w:r>
              <w:rPr>
                <w:sz w:val="16"/>
              </w:rPr>
              <w:t>§ 12.3; Ex. E</w:t>
            </w:r>
          </w:p>
        </w:tc>
        <w:tc>
          <w:tcPr>
            <w:tcW w:type="dxa" w:w="1368"/>
          </w:tcPr>
          <w:p>
            <w:r/>
            <w:r>
              <w:rPr>
                <w:sz w:val="16"/>
              </w:rPr>
              <w:t>Non-compliant</w:t>
            </w:r>
          </w:p>
        </w:tc>
        <w:tc>
          <w:tcPr>
            <w:tcW w:type="dxa" w:w="1008"/>
            <w:shd w:val="clear" w:color="auto" w:fill="FCE5CD"/>
          </w:tcPr>
          <w:p>
            <w:r/>
            <w:r>
              <w:rPr>
                <w:b/>
                <w:sz w:val="16"/>
              </w:rPr>
              <w:t>High</w:t>
            </w:r>
          </w:p>
        </w:tc>
        <w:tc>
          <w:tcPr>
            <w:tcW w:type="dxa" w:w="3528"/>
          </w:tcPr>
          <w:p>
            <w:r/>
            <w:r>
              <w:rPr>
                <w:sz w:val="16"/>
              </w:rPr>
              <w:t>Deadline extendable by Monitor; certifications and signatories wrong; organizational chart, viability financials and stub-period report missing</w:t>
            </w:r>
          </w:p>
        </w:tc>
      </w:tr>
      <w:tr>
        <w:tc>
          <w:tcPr>
            <w:tcW w:type="dxa" w:w="1944"/>
          </w:tcPr>
          <w:p>
            <w:r/>
            <w:r>
              <w:rPr>
                <w:sz w:val="16"/>
              </w:rPr>
              <w:t>10. Incident Reporting</w:t>
            </w:r>
          </w:p>
        </w:tc>
        <w:tc>
          <w:tcPr>
            <w:tcW w:type="dxa" w:w="1512"/>
          </w:tcPr>
          <w:p>
            <w:r/>
            <w:r>
              <w:rPr>
                <w:sz w:val="16"/>
              </w:rPr>
              <w:t>§§ 14.1–14.4</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72 hours from GSD determination rather than 24 hours from discovery by anyone; no 5-business-day follow-up; parallel reporting incomplete</w:t>
            </w:r>
          </w:p>
        </w:tc>
      </w:tr>
      <w:tr>
        <w:tc>
          <w:tcPr>
            <w:tcW w:type="dxa" w:w="1944"/>
          </w:tcPr>
          <w:p>
            <w:r/>
            <w:r>
              <w:rPr>
                <w:sz w:val="16"/>
              </w:rPr>
              <w:t>11. Gov’t Contracts Continuity</w:t>
            </w:r>
          </w:p>
        </w:tc>
        <w:tc>
          <w:tcPr>
            <w:tcW w:type="dxa" w:w="1512"/>
          </w:tcPr>
          <w:p>
            <w:r/>
            <w:r>
              <w:rPr>
                <w:sz w:val="16"/>
              </w:rPr>
              <w:t>§§ 10.1–10.3</w:t>
            </w:r>
          </w:p>
        </w:tc>
        <w:tc>
          <w:tcPr>
            <w:tcW w:type="dxa" w:w="1368"/>
          </w:tcPr>
          <w:p>
            <w:r/>
            <w:r>
              <w:rPr>
                <w:sz w:val="16"/>
              </w:rPr>
              <w:t>Non-compliant</w:t>
            </w:r>
          </w:p>
        </w:tc>
        <w:tc>
          <w:tcPr>
            <w:tcW w:type="dxa" w:w="1008"/>
            <w:shd w:val="clear" w:color="auto" w:fill="FCE5CD"/>
          </w:tcPr>
          <w:p>
            <w:r/>
            <w:r>
              <w:rPr>
                <w:b/>
                <w:sz w:val="16"/>
              </w:rPr>
              <w:t>High</w:t>
            </w:r>
          </w:p>
        </w:tc>
        <w:tc>
          <w:tcPr>
            <w:tcW w:type="dxa" w:w="3528"/>
          </w:tcPr>
          <w:p>
            <w:r/>
            <w:r>
              <w:rPr>
                <w:sz w:val="16"/>
              </w:rPr>
              <w:t>60 days’ notice, indirect, rather than 90 days direct; “material reduction” omitted; no CFIUS direction right; no rebid-efforts or consultation obligation</w:t>
            </w:r>
          </w:p>
        </w:tc>
      </w:tr>
      <w:tr>
        <w:tc>
          <w:tcPr>
            <w:tcW w:type="dxa" w:w="1944"/>
          </w:tcPr>
          <w:p>
            <w:r/>
            <w:r>
              <w:rPr>
                <w:sz w:val="16"/>
              </w:rPr>
              <w:t>12. Subcontracting</w:t>
            </w:r>
          </w:p>
        </w:tc>
        <w:tc>
          <w:tcPr>
            <w:tcW w:type="dxa" w:w="1512"/>
          </w:tcPr>
          <w:p>
            <w:r/>
            <w:r>
              <w:rPr>
                <w:sz w:val="16"/>
              </w:rPr>
              <w:t>§§ 11.1–11.4</w:t>
            </w:r>
          </w:p>
        </w:tc>
        <w:tc>
          <w:tcPr>
            <w:tcW w:type="dxa" w:w="1368"/>
          </w:tcPr>
          <w:p>
            <w:r/>
            <w:r>
              <w:rPr>
                <w:sz w:val="16"/>
              </w:rPr>
              <w:t>Non-compliant</w:t>
            </w:r>
          </w:p>
        </w:tc>
        <w:tc>
          <w:tcPr>
            <w:tcW w:type="dxa" w:w="1008"/>
            <w:shd w:val="clear" w:color="auto" w:fill="FCE5CD"/>
          </w:tcPr>
          <w:p>
            <w:r/>
            <w:r>
              <w:rPr>
                <w:b/>
                <w:sz w:val="16"/>
              </w:rPr>
              <w:t>High</w:t>
            </w:r>
          </w:p>
        </w:tc>
        <w:tc>
          <w:tcPr>
            <w:tcW w:type="dxa" w:w="3528"/>
          </w:tcPr>
          <w:p>
            <w:r/>
            <w:r>
              <w:rPr>
                <w:sz w:val="16"/>
              </w:rPr>
              <w:t>25% direct equity rather than 10% direct or indirect; no lower-tier flow-down; “classified work” undefined; list omits country of organization</w:t>
            </w:r>
          </w:p>
        </w:tc>
      </w:tr>
      <w:tr>
        <w:tc>
          <w:tcPr>
            <w:tcW w:type="dxa" w:w="1944"/>
          </w:tcPr>
          <w:p>
            <w:r/>
            <w:r>
              <w:rPr>
                <w:sz w:val="16"/>
              </w:rPr>
              <w:t>13. Amendment / Termination</w:t>
            </w:r>
          </w:p>
        </w:tc>
        <w:tc>
          <w:tcPr>
            <w:tcW w:type="dxa" w:w="1512"/>
          </w:tcPr>
          <w:p>
            <w:r/>
            <w:r>
              <w:rPr>
                <w:sz w:val="16"/>
              </w:rPr>
              <w:t>§§ 18.1, 18.2, 18.9; Ex. B ¶3</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No CFIUS consent to amendments or waivers; automatic termination with 12-month wind-down overrides CFIUS sole discretion; no petition mechanism</w:t>
            </w:r>
          </w:p>
        </w:tc>
      </w:tr>
      <w:tr>
        <w:tc>
          <w:tcPr>
            <w:tcW w:type="dxa" w:w="1944"/>
          </w:tcPr>
          <w:p>
            <w:r/>
            <w:r>
              <w:rPr>
                <w:sz w:val="16"/>
              </w:rPr>
              <w:t>14. Penalties / Enforcement</w:t>
            </w:r>
          </w:p>
        </w:tc>
        <w:tc>
          <w:tcPr>
            <w:tcW w:type="dxa" w:w="1512"/>
          </w:tcPr>
          <w:p>
            <w:r/>
            <w:r>
              <w:rPr>
                <w:sz w:val="16"/>
              </w:rPr>
              <w:t>§§ 17.1–17.3</w:t>
            </w:r>
          </w:p>
        </w:tc>
        <w:tc>
          <w:tcPr>
            <w:tcW w:type="dxa" w:w="1368"/>
          </w:tcPr>
          <w:p>
            <w:r/>
            <w:r>
              <w:rPr>
                <w:sz w:val="16"/>
              </w:rPr>
              <w:t>Non-compliant</w:t>
            </w:r>
          </w:p>
        </w:tc>
        <w:tc>
          <w:tcPr>
            <w:tcW w:type="dxa" w:w="1008"/>
            <w:shd w:val="clear" w:color="auto" w:fill="F4CCCC"/>
          </w:tcPr>
          <w:p>
            <w:r/>
            <w:r>
              <w:rPr>
                <w:b/>
                <w:sz w:val="16"/>
              </w:rPr>
              <w:t>Critical</w:t>
            </w:r>
          </w:p>
        </w:tc>
        <w:tc>
          <w:tcPr>
            <w:tcW w:type="dxa" w:w="3528"/>
          </w:tcPr>
          <w:p>
            <w:r/>
            <w:r>
              <w:rPr>
                <w:sz w:val="16"/>
              </w:rPr>
              <w:t>$250,000 cap without the transaction-value alternative ($588,285,000); no per-day violations; no forced divestiture; new 30-day cure period</w:t>
            </w:r>
          </w:p>
        </w:tc>
      </w:tr>
    </w:tbl>
    <w:p>
      <w:pPr>
        <w:spacing w:after="40"/>
      </w:pPr>
    </w:p>
    <w:p>
      <w:pPr>
        <w:pStyle w:val="Heading1"/>
      </w:pPr>
      <w:r>
        <w:t>IV. Requirement-by-Requirement Analysis</w:t>
      </w:r>
    </w:p>
    <w:p>
      <w:pPr>
        <w:pStyle w:val="Heading2"/>
      </w:pPr>
      <w:r>
        <w:t>Requirement 1 — Board Composition</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1-A — CFIUS-Approved Directors are not a majority of the Board </w:t>
      </w:r>
      <w:r>
        <w:rPr>
          <w:b/>
          <w:color w:val="C00000"/>
        </w:rPr>
        <w:t>[Critical]</w:t>
      </w:r>
    </w:p>
    <w:p>
      <w:pPr>
        <w:spacing w:after="60"/>
        <w:ind w:left="432"/>
      </w:pPr>
      <w:r>
        <w:rPr>
          <w:b/>
        </w:rPr>
        <w:t xml:space="preserve">NST: </w:t>
      </w:r>
      <w:r>
        <w:t>NST 1.1–1.2: at least three CFIUS-approved independent U.S. citizen directors, who “shall comprise a majority of the Board at all times”, “irrespective of the total number of directors”. The NST gives the example directly: on a seven-member board, “a minimum of four (4) must be CFIUS-Approved Directors.”</w:t>
      </w:r>
    </w:p>
    <w:p>
      <w:pPr>
        <w:spacing w:after="60"/>
        <w:ind w:left="432"/>
      </w:pPr>
      <w:r>
        <w:rPr>
          <w:b/>
        </w:rPr>
        <w:t xml:space="preserve">Draft v3.2: </w:t>
      </w:r>
      <w:r>
        <w:t>§§ 4.1–4.2 fix the Board at seven seats: 3 Independent U.S. Directors, 3 Meridian-Nominated Directors and 1 Management Director (the CEO). Exhibit A ¶ IV presents this as “4 (minimum)” U.S. citizens.</w:t>
      </w:r>
    </w:p>
    <w:p>
      <w:pPr>
        <w:spacing w:after="60"/>
        <w:ind w:left="432"/>
      </w:pPr>
      <w:r>
        <w:rPr>
          <w:b/>
        </w:rPr>
        <w:t xml:space="preserve">Analysis: </w:t>
      </w:r>
      <w:r>
        <w:t>3/7 = 42.9%. The NST’s own example rules out this structure. Meridian’s argument that Ms. Harlow gives a “functional” U.S. majority does not work. She is neither CFIUS-approved nor independent: she is the CEO and sits ex officio under § 4.3. Greystone conceded this in writing (Natarajan e-mail, Apr. 11). Every precedent achieved a majority of CFIUS-approved directors (A 3/5; B 4/7; C 3/5; D 5/9; E 3/5). Exhibit A’s summary row (“4 (minimum)” U.S. citizens) invites the same objection and should be deleted. The Facility Security Profile (§ 4) reaches the same conclusion.</w:t>
      </w:r>
    </w:p>
    <w:p>
      <w:pPr>
        <w:spacing w:after="60"/>
        <w:ind w:left="432"/>
      </w:pPr>
      <w:r>
        <w:rPr>
          <w:b/>
        </w:rPr>
        <w:t xml:space="preserve">Recommended fix: </w:t>
      </w:r>
      <w:r>
        <w:t>Adopt one of three structures. (a) 7 seats: 4 CFIUS-Approved / 2 Meridian / 1 Management (57.1%; Precedent B). (b) 5 seats: 3 / 1 / 1 (60%; Precedents A, C, E). (c) Our recommended compromise: 9 seats: 5 CFIUS-Approved / 3 Meridian / 1 Management (55.6%; Precedent D). Option (c) keeps the three Meridian seats that Sir Alistair calls non-negotiable and still meets NST 1.2. Whichever option is chosen, replace § 4.2 with a self-executing majority covenant: “At all times, CFIUS-Approved Directors shall constitute a majority of the directors then in office. If at any time that condition is not satisfied (including by reason of a vacancy), the Board shall not act on any matter other than filling the vacancy with a CFIUS-approved nominee, and the Meridian-Nominated Director(s) most recently appointed shall be deemed to have tendered resignation to the extent required to restore the majority.”</w:t>
      </w:r>
    </w:p>
    <w:p>
      <w:pPr>
        <w:spacing w:before="120" w:after="60"/>
      </w:pPr>
      <w:r>
        <w:rPr>
          <w:b/>
        </w:rPr>
        <w:t xml:space="preserve">Gap 1-B — Thin margin — one vacancy defeats the majority </w:t>
      </w:r>
      <w:r>
        <w:rPr>
          <w:b/>
          <w:color w:val="C55A11"/>
        </w:rPr>
        <w:t>[High]</w:t>
      </w:r>
    </w:p>
    <w:p>
      <w:pPr>
        <w:spacing w:after="60"/>
        <w:ind w:left="432"/>
      </w:pPr>
      <w:r>
        <w:rPr>
          <w:b/>
        </w:rPr>
        <w:t xml:space="preserve">NST: </w:t>
      </w:r>
      <w:r>
        <w:t>NST 1.2 (“at all times”); NST 1.5 (vacancy filled within 60 days).</w:t>
      </w:r>
    </w:p>
    <w:p>
      <w:pPr>
        <w:spacing w:after="60"/>
        <w:ind w:left="432"/>
      </w:pPr>
      <w:r>
        <w:rPr>
          <w:b/>
        </w:rPr>
        <w:t xml:space="preserve">Draft v3.2: </w:t>
      </w:r>
      <w:r>
        <w:t>§ 4.2 maintains the composition “at all times” but has no mechanism for vacancies.</w:t>
      </w:r>
    </w:p>
    <w:p>
      <w:pPr>
        <w:spacing w:after="60"/>
        <w:ind w:left="432"/>
      </w:pPr>
      <w:r>
        <w:rPr>
          <w:b/>
        </w:rPr>
        <w:t xml:space="preserve">Analysis: </w:t>
      </w:r>
      <w:r>
        <w:t>Even with a corrected 4/2/1 or 5/3/1 board, a single resignation among the independents (e.g., 3/6 or 4/8) leaves CFIUS-Approved Directors at or below 50% during the vacancy. Without a mechanism, Saxonbrook will be in breach every time an independent director leaves.</w:t>
      </w:r>
    </w:p>
    <w:p>
      <w:pPr>
        <w:spacing w:after="60"/>
        <w:ind w:left="432"/>
      </w:pPr>
      <w:r>
        <w:rPr>
          <w:b/>
        </w:rPr>
        <w:t xml:space="preserve">Recommended fix: </w:t>
      </w:r>
      <w:r>
        <w:t>Include the self-executing protection in Gap 1-A. Alternatively, provide for the automatic suspension of voting by one Meridian-Nominated Director during any vacancy among the CFIUS-Approved Directors.</w:t>
      </w:r>
    </w:p>
    <w:p>
      <w:pPr>
        <w:spacing w:before="120" w:after="60"/>
      </w:pPr>
      <w:r>
        <w:rPr>
          <w:b/>
        </w:rPr>
        <w:t xml:space="preserve">Gap 1-C — Independence test weakened and internally inconsistent </w:t>
      </w:r>
      <w:r>
        <w:rPr>
          <w:b/>
          <w:color w:val="C55A11"/>
        </w:rPr>
        <w:t>[High]</w:t>
      </w:r>
    </w:p>
    <w:p>
      <w:pPr>
        <w:spacing w:after="60"/>
        <w:ind w:left="432"/>
      </w:pPr>
      <w:r>
        <w:rPr>
          <w:b/>
        </w:rPr>
        <w:t xml:space="preserve">NST: </w:t>
      </w:r>
      <w:r>
        <w:t>NST 1.3(c): no current employment, consulting, advisory or financial relationship with Meridian or any affiliate, subsidiary, parent or related entity, and none within the prior three years.</w:t>
      </w:r>
    </w:p>
    <w:p>
      <w:pPr>
        <w:spacing w:after="60"/>
        <w:ind w:left="432"/>
      </w:pPr>
      <w:r>
        <w:rPr>
          <w:b/>
        </w:rPr>
        <w:t xml:space="preserve">Draft v3.2: </w:t>
      </w:r>
      <w:r>
        <w:t>§ 4.2(a): “no material financial, employment, or familial relationship”, with no look-back and no mention of consulting or advisory roles. Exhibit A ¶ I: “no material … relationship … within the preceding five (5) years.”</w:t>
      </w:r>
    </w:p>
    <w:p>
      <w:pPr>
        <w:spacing w:after="60"/>
        <w:ind w:left="432"/>
      </w:pPr>
      <w:r>
        <w:rPr>
          <w:b/>
        </w:rPr>
        <w:t xml:space="preserve">Analysis: </w:t>
      </w:r>
      <w:r>
        <w:t>The “material” qualifier lets through relationships the NST disqualifies outright. § 4.2(a) also omits consulting and advisory relationships and any look-back. The body and Exhibit A conflict (no look-back versus five years). The five-year look-back is stricter than the NST and acceptable, but the “material” qualifier is not.</w:t>
      </w:r>
    </w:p>
    <w:p>
      <w:pPr>
        <w:spacing w:after="60"/>
        <w:ind w:left="432"/>
      </w:pPr>
      <w:r>
        <w:rPr>
          <w:b/>
        </w:rPr>
        <w:t xml:space="preserve">Recommended fix: </w:t>
      </w:r>
      <w:r>
        <w:t>Conform § 4.2(a) to NST 1.3(c), deleting “material” and adding “consulting, advisory” and “subsidiary, parent or related entity”. Keep a single look-back period, at least three years (five may be retained), in both § 4.2(a) and Exhibit A.</w:t>
      </w:r>
    </w:p>
    <w:p>
      <w:pPr>
        <w:spacing w:before="120" w:after="60"/>
      </w:pPr>
      <w:r>
        <w:rPr>
          <w:b/>
        </w:rPr>
        <w:t xml:space="preserve">Gap 1-D — Clearance standard diluted </w:t>
      </w:r>
      <w:r>
        <w:rPr>
          <w:b/>
          <w:color w:val="7F6000"/>
        </w:rPr>
        <w:t>[Medium]</w:t>
      </w:r>
    </w:p>
    <w:p>
      <w:pPr>
        <w:spacing w:after="60"/>
        <w:ind w:left="432"/>
      </w:pPr>
      <w:r>
        <w:rPr>
          <w:b/>
        </w:rPr>
        <w:t xml:space="preserve">NST: </w:t>
      </w:r>
      <w:r>
        <w:t>NST 1.3(b): must hold, or be eligible to obtain and hold, a TOP SECRET/SCI clearance.</w:t>
      </w:r>
    </w:p>
    <w:p>
      <w:pPr>
        <w:spacing w:after="60"/>
        <w:ind w:left="432"/>
      </w:pPr>
      <w:r>
        <w:rPr>
          <w:b/>
        </w:rPr>
        <w:t xml:space="preserve">Draft v3.2: </w:t>
      </w:r>
      <w:r>
        <w:t>§ 4.2(a): TS/SCI “or such other level as may be required for oversight of the Classified Programs.”</w:t>
      </w:r>
    </w:p>
    <w:p>
      <w:pPr>
        <w:spacing w:after="60"/>
        <w:ind w:left="432"/>
      </w:pPr>
      <w:r>
        <w:rPr>
          <w:b/>
        </w:rPr>
        <w:t xml:space="preserve">Analysis: </w:t>
      </w:r>
      <w:r>
        <w:t>The alternative wording allows a lower clearance level. This is directly relevant to the proposed slate. Per the Facility Security Profile, Patricia Langford currently holds SECRET and Thomas Byrd holds TOP SECRET. Both must be confirmed as eligible for TS/SCI, and the CFIUS nominee packages should say so.</w:t>
      </w:r>
    </w:p>
    <w:p>
      <w:pPr>
        <w:spacing w:after="60"/>
        <w:ind w:left="432"/>
      </w:pPr>
      <w:r>
        <w:rPr>
          <w:b/>
        </w:rPr>
        <w:t xml:space="preserve">Recommended fix: </w:t>
      </w:r>
      <w:r>
        <w:t>Delete “or such other level as may be required”. Confirm TS/SCI eligibility for Ms. Langford and Col. (Ret.) Byrd, and identify the third (or, under Option (a)/(c), the fourth and fifth) independent nominee now, because packages are due 30 days before Closing (by May 31, 2025 for a June 30 Closing).</w:t>
      </w:r>
    </w:p>
    <w:p>
      <w:pPr>
        <w:spacing w:before="120" w:after="60"/>
      </w:pPr>
      <w:r>
        <w:rPr>
          <w:b/>
        </w:rPr>
        <w:t xml:space="preserve">Gap 1-E — Security Committee authority incomplete </w:t>
      </w:r>
      <w:r>
        <w:rPr>
          <w:b/>
          <w:color w:val="7F6000"/>
        </w:rPr>
        <w:t>[Medium]</w:t>
      </w:r>
    </w:p>
    <w:p>
      <w:pPr>
        <w:spacing w:after="60"/>
        <w:ind w:left="432"/>
      </w:pPr>
      <w:r>
        <w:rPr>
          <w:b/>
        </w:rPr>
        <w:t xml:space="preserve">NST: </w:t>
      </w:r>
      <w:r>
        <w:t>NST 1.4: “sole and exclusive authority over all matters relating to classified contracts, facility security, personnel security, export control compliance, and compliance with the Mitigation Agreement”; meetings at least quarterly; written minutes.</w:t>
      </w:r>
    </w:p>
    <w:p>
      <w:pPr>
        <w:spacing w:after="60"/>
        <w:ind w:left="432"/>
      </w:pPr>
      <w:r>
        <w:rPr>
          <w:b/>
        </w:rPr>
        <w:t xml:space="preserve">Draft v3.2: </w:t>
      </w:r>
      <w:r>
        <w:t>§ 4.5: exclusive authority over “classified operations, security policies, compliance with this Agreement, and interactions with DCSA, CFIUS”; quarterly meetings; minutes.</w:t>
      </w:r>
    </w:p>
    <w:p>
      <w:pPr>
        <w:spacing w:after="60"/>
        <w:ind w:left="432"/>
      </w:pPr>
      <w:r>
        <w:rPr>
          <w:b/>
        </w:rPr>
        <w:t xml:space="preserve">Analysis: </w:t>
      </w:r>
      <w:r>
        <w:t>§ 4.5 does not name export control compliance, personnel security or classified contracts. Given Meridian’s stated aim of commercial cooperation on ITAR/EAR data, leaving out export control compliance matters.</w:t>
      </w:r>
    </w:p>
    <w:p>
      <w:pPr>
        <w:spacing w:after="60"/>
        <w:ind w:left="432"/>
      </w:pPr>
      <w:r>
        <w:rPr>
          <w:b/>
        </w:rPr>
        <w:t xml:space="preserve">Recommended fix: </w:t>
      </w:r>
      <w:r>
        <w:t>Restate § 4.5 using the NST 1.4 list word for word, adding “sole and” before “exclusive”. Require written minutes.</w:t>
      </w:r>
    </w:p>
    <w:p>
      <w:pPr>
        <w:spacing w:before="120" w:after="60"/>
      </w:pPr>
      <w:r>
        <w:rPr>
          <w:b/>
        </w:rPr>
        <w:t xml:space="preserve">Gap 1-F — Vacancy period and DGCL removal carve-out </w:t>
      </w:r>
      <w:r>
        <w:rPr>
          <w:b/>
          <w:color w:val="C55A11"/>
        </w:rPr>
        <w:t>[High]</w:t>
      </w:r>
    </w:p>
    <w:p>
      <w:pPr>
        <w:spacing w:after="60"/>
        <w:ind w:left="432"/>
      </w:pPr>
      <w:r>
        <w:rPr>
          <w:b/>
        </w:rPr>
        <w:t xml:space="preserve">NST: </w:t>
      </w:r>
      <w:r>
        <w:t>NST 1.5: vacancy filled within 60 days by a CFIUS-approved replacement; removal or replacement requires CFIUS’s prior written approval.</w:t>
      </w:r>
    </w:p>
    <w:p>
      <w:pPr>
        <w:spacing w:after="60"/>
        <w:ind w:left="432"/>
      </w:pPr>
      <w:r>
        <w:rPr>
          <w:b/>
        </w:rPr>
        <w:t xml:space="preserve">Draft v3.2: </w:t>
      </w:r>
      <w:r>
        <w:t>§ 4.2: the Security Committee must nominate a replacement within 45 days, with no deadline for filling the seat. § 4.4: removal requires CFIUS approval, but “[n]othing herein shall limit the statutory removal rights of shareholders under the Delaware General Corporation Law.”</w:t>
      </w:r>
    </w:p>
    <w:p>
      <w:pPr>
        <w:spacing w:after="60"/>
        <w:ind w:left="432"/>
      </w:pPr>
      <w:r>
        <w:rPr>
          <w:b/>
        </w:rPr>
        <w:t xml:space="preserve">Analysis: </w:t>
      </w:r>
      <w:r>
        <w:t>A deadline to nominate is not a deadline to fill. The DGCL savings clause lets the shareholders (the Voting Trustee and the 49% minority holders, including Dr. Kessler’s 22%) remove a CFIUS-Approved Director without CFIUS approval, contrary to NST 1.5. Our matrix marks this point “consistent”, which is wrong (see Part V).</w:t>
      </w:r>
    </w:p>
    <w:p>
      <w:pPr>
        <w:spacing w:after="60"/>
        <w:ind w:left="432"/>
      </w:pPr>
      <w:r>
        <w:rPr>
          <w:b/>
        </w:rPr>
        <w:t xml:space="preserve">Recommended fix: </w:t>
      </w:r>
      <w:r>
        <w:t>Require the vacancy to be filled within 60 days. Nominate within 30 days so that CFIUS has time to review. Delete the DGCL sentence, or make it subject to CFIUS’s prior written approval for any removal of a CFIUS-Approved Director. Conform the certificate of incorporation and bylaws (a Closing deliverable).</w:t>
      </w:r>
    </w:p>
    <w:p>
      <w:pPr>
        <w:spacing w:before="120" w:after="60"/>
      </w:pPr>
      <w:r>
        <w:rPr>
          <w:b/>
        </w:rPr>
        <w:t xml:space="preserve">Gap 1-G — Board size frozen at seven </w:t>
      </w:r>
      <w:r>
        <w:rPr>
          <w:b/>
          <w:color w:val="38761D"/>
        </w:rPr>
        <w:t>[Low]</w:t>
      </w:r>
    </w:p>
    <w:p>
      <w:pPr>
        <w:spacing w:after="60"/>
        <w:ind w:left="432"/>
      </w:pPr>
      <w:r>
        <w:rPr>
          <w:b/>
        </w:rPr>
        <w:t xml:space="preserve">NST: </w:t>
      </w:r>
      <w:r>
        <w:t>NST 1.6: the Board may expand or contract, provided the majority requirement is continuously satisfied.</w:t>
      </w:r>
    </w:p>
    <w:p>
      <w:pPr>
        <w:spacing w:after="60"/>
        <w:ind w:left="432"/>
      </w:pPr>
      <w:r>
        <w:rPr>
          <w:b/>
        </w:rPr>
        <w:t xml:space="preserve">Draft v3.2: </w:t>
      </w:r>
      <w:r>
        <w:t>§ 4.1: seven members “at all times”; any change needs Security Committee consent and notice to CFIUS.</w:t>
      </w:r>
    </w:p>
    <w:p>
      <w:pPr>
        <w:spacing w:after="60"/>
        <w:ind w:left="432"/>
      </w:pPr>
      <w:r>
        <w:rPr>
          <w:b/>
        </w:rPr>
        <w:t xml:space="preserve">Analysis: </w:t>
      </w:r>
      <w:r>
        <w:t>This is stricter than the NST and permissible. However, it locks in the non-compliant 3/3/1 structure and would have to be amended to carry out any fix.</w:t>
      </w:r>
    </w:p>
    <w:p>
      <w:pPr>
        <w:spacing w:after="60"/>
        <w:ind w:left="432"/>
      </w:pPr>
      <w:r>
        <w:rPr>
          <w:b/>
        </w:rPr>
        <w:t xml:space="preserve">Recommended fix: </w:t>
      </w:r>
      <w:r>
        <w:t>Revise § 4.1 to fit the chosen option. Permit changes in size subject to the majority covenant, Security Committee consent and notice to CFIUS.</w:t>
      </w:r>
    </w:p>
    <w:p>
      <w:pPr>
        <w:spacing w:before="120" w:after="60"/>
      </w:pPr>
      <w:r>
        <w:rPr>
          <w:b/>
        </w:rPr>
        <w:t xml:space="preserve">Gap 1-H — Meridian nomination right vs. NST 3.3(i) </w:t>
      </w:r>
      <w:r>
        <w:rPr>
          <w:b/>
          <w:color w:val="7F6000"/>
        </w:rPr>
        <w:t>[Medium]</w:t>
      </w:r>
    </w:p>
    <w:p>
      <w:pPr>
        <w:spacing w:after="60"/>
        <w:ind w:left="432"/>
      </w:pPr>
      <w:r>
        <w:rPr>
          <w:b/>
        </w:rPr>
        <w:t xml:space="preserve">NST: </w:t>
      </w:r>
      <w:r>
        <w:t>NST 1.6 contemplates “directors nominated by Meridian”. NST 3.3(i) provides that the Foreign Acquirer shall not be entitled to “designate, nominate, or appoint any director or observer.”</w:t>
      </w:r>
    </w:p>
    <w:p>
      <w:pPr>
        <w:spacing w:after="60"/>
        <w:ind w:left="432"/>
      </w:pPr>
      <w:r>
        <w:rPr>
          <w:b/>
        </w:rPr>
        <w:t xml:space="preserve">Draft v3.2: </w:t>
      </w:r>
      <w:r>
        <w:t>§ 4.2(b) gives Meridian a contractual right to nominate three directors and to nominate replacements within 45 days. Exhibit A says Meridian nominees need not be U.S. citizens and allows no CFIUS review.</w:t>
      </w:r>
    </w:p>
    <w:p>
      <w:pPr>
        <w:spacing w:after="60"/>
        <w:ind w:left="432"/>
      </w:pPr>
      <w:r>
        <w:rPr>
          <w:b/>
        </w:rPr>
        <w:t xml:space="preserve">Analysis: </w:t>
      </w:r>
      <w:r>
        <w:t>The NST is internally in tension, and NST § V says the NST controls any ambiguity. CFIUS may therefore read NST 3.3(i) as limiting NST 1.6. A contractual nomination right is the most exposed form of the arrangement. Placing foreign-national directors on the board of a TS FCL contractor will also draw DCSA scrutiny.</w:t>
      </w:r>
    </w:p>
    <w:p>
      <w:pPr>
        <w:spacing w:after="60"/>
        <w:ind w:left="432"/>
      </w:pPr>
      <w:r>
        <w:rPr>
          <w:b/>
        </w:rPr>
        <w:t xml:space="preserve">Recommended fix: </w:t>
      </w:r>
      <w:r>
        <w:t>Recast § 4.2(b): Meridian may propose candidates; the Voting Trustee elects directors in its sole discretion (NST 3.2(a)); nominees are subject to Security Committee vetting and prior notice to CFIUS. Raise the point informally with Dr. Keene’s office (Kit’s planned outreach) before finalizing.</w:t>
      </w:r>
    </w:p>
    <w:p>
      <w:pPr>
        <w:pStyle w:val="Heading2"/>
      </w:pPr>
      <w:r>
        <w:t>Requirement 2 — Government Security Director</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2-A — GSD removable on notice rather than CFIUS approval </w:t>
      </w:r>
      <w:r>
        <w:rPr>
          <w:b/>
          <w:color w:val="C00000"/>
        </w:rPr>
        <w:t>[Critical]</w:t>
      </w:r>
    </w:p>
    <w:p>
      <w:pPr>
        <w:spacing w:after="60"/>
        <w:ind w:left="432"/>
      </w:pPr>
      <w:r>
        <w:rPr>
          <w:b/>
        </w:rPr>
        <w:t xml:space="preserve">NST: </w:t>
      </w:r>
      <w:r>
        <w:t>NST 2.5: the GSD “shall not be removable … without the prior written approval of CFIUS”, and continues to serve pending CFIUS’s written decision.</w:t>
      </w:r>
    </w:p>
    <w:p>
      <w:pPr>
        <w:spacing w:after="60"/>
        <w:ind w:left="432"/>
      </w:pPr>
      <w:r>
        <w:rPr>
          <w:b/>
        </w:rPr>
        <w:t xml:space="preserve">Draft v3.2: </w:t>
      </w:r>
      <w:r>
        <w:t>§ 5.3: removal by unanimous Security Committee vote on 30 days’ prior written notice to CFIUS, “effective upon the expiration of the thirty-day notice period.”</w:t>
      </w:r>
    </w:p>
    <w:p>
      <w:pPr>
        <w:spacing w:after="60"/>
        <w:ind w:left="432"/>
      </w:pPr>
      <w:r>
        <w:rPr>
          <w:b/>
        </w:rPr>
        <w:t xml:space="preserve">Analysis: </w:t>
      </w:r>
      <w:r>
        <w:t>Notice is not approval. Under the draft, the removal takes effect whether or not CFIUS objects. All five precedents require CFIUS prior written approval.</w:t>
      </w:r>
    </w:p>
    <w:p>
      <w:pPr>
        <w:spacing w:after="60"/>
        <w:ind w:left="432"/>
      </w:pPr>
      <w:r>
        <w:rPr>
          <w:b/>
        </w:rPr>
        <w:t xml:space="preserve">Recommended fix: </w:t>
      </w:r>
      <w:r>
        <w:t>Replace § 5.3 with: “The GSD may not be removed, reassigned or terminated without the prior written approval of CFIUS. Any request shall be submitted in writing with a detailed explanation, and the GSD shall continue to serve pending CFIUS’s written decision.” Add an exception permitting immediate suspension only where CFIUS or DCSA directs it.</w:t>
      </w:r>
    </w:p>
    <w:p>
      <w:pPr>
        <w:spacing w:before="120" w:after="60"/>
      </w:pPr>
      <w:r>
        <w:rPr>
          <w:b/>
        </w:rPr>
        <w:t xml:space="preserve">Gap 2-B — No independent, non-reviewable access authority </w:t>
      </w:r>
      <w:r>
        <w:rPr>
          <w:b/>
          <w:color w:val="C00000"/>
        </w:rPr>
        <w:t>[Critical]</w:t>
      </w:r>
    </w:p>
    <w:p>
      <w:pPr>
        <w:spacing w:after="60"/>
        <w:ind w:left="432"/>
      </w:pPr>
      <w:r>
        <w:rPr>
          <w:b/>
        </w:rPr>
        <w:t xml:space="preserve">NST: </w:t>
      </w:r>
      <w:r>
        <w:t>NST 2.4: the GSD has independent authority to deny, restrict or revoke anyone’s access (including directors and officers of Saxonbrook or Meridian) to Classified Information, Classified Spaces or Export-Controlled Technical Data. The GSD’s decisions are not subject to review, override or reversal by the Board, Meridian or anyone else other than CFIUS or the cognizant security agency.</w:t>
      </w:r>
    </w:p>
    <w:p>
      <w:pPr>
        <w:spacing w:after="60"/>
        <w:ind w:left="432"/>
      </w:pPr>
      <w:r>
        <w:rPr>
          <w:b/>
        </w:rPr>
        <w:t xml:space="preserve">Draft v3.2: </w:t>
      </w:r>
      <w:r>
        <w:t>No equivalent. § 5.2 lists administrative duties only. § 8.3 visitor procedures are “approved by the Security Committee”.</w:t>
      </w:r>
    </w:p>
    <w:p>
      <w:pPr>
        <w:spacing w:after="60"/>
        <w:ind w:left="432"/>
      </w:pPr>
      <w:r>
        <w:rPr>
          <w:b/>
        </w:rPr>
        <w:t xml:space="preserve">Analysis: </w:t>
      </w:r>
      <w:r>
        <w:t>This is a core FOCI protection, and the draft has nothing that corresponds to it.</w:t>
      </w:r>
    </w:p>
    <w:p>
      <w:pPr>
        <w:spacing w:after="60"/>
        <w:ind w:left="432"/>
      </w:pPr>
      <w:r>
        <w:rPr>
          <w:b/>
        </w:rPr>
        <w:t xml:space="preserve">Recommended fix: </w:t>
      </w:r>
      <w:r>
        <w:t>Add a new § 5.3 (Access Authority) reproducing NST 2.4 in full, expressly covering Export-Controlled Technical Data.</w:t>
      </w:r>
    </w:p>
    <w:p>
      <w:pPr>
        <w:spacing w:before="120" w:after="60"/>
      </w:pPr>
      <w:r>
        <w:rPr>
          <w:b/>
        </w:rPr>
        <w:t xml:space="preserve">Gap 2-C — Reporting line not exclusive; GSD embedded in management </w:t>
      </w:r>
      <w:r>
        <w:rPr>
          <w:b/>
          <w:color w:val="C55A11"/>
        </w:rPr>
        <w:t>[High]</w:t>
      </w:r>
    </w:p>
    <w:p>
      <w:pPr>
        <w:spacing w:after="60"/>
        <w:ind w:left="432"/>
      </w:pPr>
      <w:r>
        <w:rPr>
          <w:b/>
        </w:rPr>
        <w:t xml:space="preserve">NST: </w:t>
      </w:r>
      <w:r>
        <w:t>NST 2.3: the GSD reports “directly and exclusively to the Security Committee”.</w:t>
      </w:r>
    </w:p>
    <w:p>
      <w:pPr>
        <w:spacing w:after="60"/>
        <w:ind w:left="432"/>
      </w:pPr>
      <w:r>
        <w:rPr>
          <w:b/>
        </w:rPr>
        <w:t xml:space="preserve">Draft v3.2: </w:t>
      </w:r>
      <w:r>
        <w:t>§ 5.1: reports directly to the Security Committee, but also “shall serve as a member of Saxonbrook’s senior management team and shall have direct access to the CEO and General Counsel”. The GSD is a “senior employee”.</w:t>
      </w:r>
    </w:p>
    <w:p>
      <w:pPr>
        <w:spacing w:after="60"/>
        <w:ind w:left="432"/>
      </w:pPr>
      <w:r>
        <w:rPr>
          <w:b/>
        </w:rPr>
        <w:t xml:space="preserve">Analysis: </w:t>
      </w:r>
      <w:r>
        <w:t>Placing the GSD in management makes the reporting line dual in practice. In addition, the Security Profile shows the FSO (Col. (Ret.) Delaney) reporting to the CEO and the Security Committee. The relationship between the GSD and the FSO is not addressed. Our matrix marks the reporting line “consistent”, which is wrong.</w:t>
      </w:r>
    </w:p>
    <w:p>
      <w:pPr>
        <w:spacing w:after="60"/>
        <w:ind w:left="432"/>
      </w:pPr>
      <w:r>
        <w:rPr>
          <w:b/>
        </w:rPr>
        <w:t xml:space="preserve">Recommended fix: </w:t>
      </w:r>
      <w:r>
        <w:t>Add “and exclusively”. Recast the senior-management language as access for coordination only, not a reporting relationship. Clarify that the FSO reports to the GSD on matters covered by the Agreement.</w:t>
      </w:r>
    </w:p>
    <w:p>
      <w:pPr>
        <w:spacing w:before="120" w:after="60"/>
      </w:pPr>
      <w:r>
        <w:rPr>
          <w:b/>
        </w:rPr>
        <w:t xml:space="preserve">Gap 2-D — Missing Meridian look-back disqualification </w:t>
      </w:r>
      <w:r>
        <w:rPr>
          <w:b/>
          <w:color w:val="C55A11"/>
        </w:rPr>
        <w:t>[High]</w:t>
      </w:r>
    </w:p>
    <w:p>
      <w:pPr>
        <w:spacing w:after="60"/>
        <w:ind w:left="432"/>
      </w:pPr>
      <w:r>
        <w:rPr>
          <w:b/>
        </w:rPr>
        <w:t xml:space="preserve">NST: </w:t>
      </w:r>
      <w:r>
        <w:t>NST 2.2(d): the GSD must not be, and must not have been within the prior three years, an employee, officer, director, consultant, agent or representative of Meridian or any affiliate.</w:t>
      </w:r>
    </w:p>
    <w:p>
      <w:pPr>
        <w:spacing w:after="60"/>
        <w:ind w:left="432"/>
      </w:pPr>
      <w:r>
        <w:rPr>
          <w:b/>
        </w:rPr>
        <w:t xml:space="preserve">Draft v3.2: </w:t>
      </w:r>
      <w:r>
        <w:t>§ 5.1 requires only U.S. citizenship and an active TS/SCI clearance.</w:t>
      </w:r>
    </w:p>
    <w:p>
      <w:pPr>
        <w:spacing w:after="60"/>
        <w:ind w:left="432"/>
      </w:pPr>
      <w:r>
        <w:rPr>
          <w:b/>
        </w:rPr>
        <w:t xml:space="preserve">Analysis: </w:t>
      </w:r>
      <w:r>
        <w:t>The independence criterion is omitted entirely.</w:t>
      </w:r>
    </w:p>
    <w:p>
      <w:pPr>
        <w:spacing w:after="60"/>
        <w:ind w:left="432"/>
      </w:pPr>
      <w:r>
        <w:rPr>
          <w:b/>
        </w:rPr>
        <w:t xml:space="preserve">Recommended fix: </w:t>
      </w:r>
      <w:r>
        <w:t>Add NST 2.2(d) to § 5.1 and to the interim-GSD qualifications in § 5.4.</w:t>
      </w:r>
    </w:p>
    <w:p>
      <w:pPr>
        <w:spacing w:before="120" w:after="60"/>
      </w:pPr>
      <w:r>
        <w:rPr>
          <w:b/>
        </w:rPr>
        <w:t xml:space="preserve">Gap 2-E — Appointment timing and CFIUS approval not stated as conditions </w:t>
      </w:r>
      <w:r>
        <w:rPr>
          <w:b/>
          <w:color w:val="7F6000"/>
        </w:rPr>
        <w:t>[Medium]</w:t>
      </w:r>
    </w:p>
    <w:p>
      <w:pPr>
        <w:spacing w:after="60"/>
        <w:ind w:left="432"/>
      </w:pPr>
      <w:r>
        <w:rPr>
          <w:b/>
        </w:rPr>
        <w:t xml:space="preserve">NST: </w:t>
      </w:r>
      <w:r>
        <w:t>NST 2.1: appointment within 30 days of Closing. NST 2.2(c): approved in writing by CFIUS before appointment.</w:t>
      </w:r>
    </w:p>
    <w:p>
      <w:pPr>
        <w:spacing w:after="60"/>
        <w:ind w:left="432"/>
      </w:pPr>
      <w:r>
        <w:rPr>
          <w:b/>
        </w:rPr>
        <w:t xml:space="preserve">Draft v3.2: </w:t>
      </w:r>
      <w:r>
        <w:t>§ 5.1: the candidate is “submitted to CFIUS for approval” 30 days before Closing. There is no appointment deadline and no express condition that CFIUS give written approval.</w:t>
      </w:r>
    </w:p>
    <w:p>
      <w:pPr>
        <w:spacing w:after="60"/>
        <w:ind w:left="432"/>
      </w:pPr>
      <w:r>
        <w:rPr>
          <w:b/>
        </w:rPr>
        <w:t xml:space="preserve">Analysis: </w:t>
      </w:r>
      <w:r>
        <w:t>Submitting a candidate early is helpful, but the draft never requires the GSD to be in place within 30 days after Closing, and never conditions appointment on CFIUS’s written approval.</w:t>
      </w:r>
    </w:p>
    <w:p>
      <w:pPr>
        <w:spacing w:after="60"/>
        <w:ind w:left="432"/>
      </w:pPr>
      <w:r>
        <w:rPr>
          <w:b/>
        </w:rPr>
        <w:t xml:space="preserve">Recommended fix: </w:t>
      </w:r>
      <w:r>
        <w:t>Add: “Saxonbrook shall appoint the GSD, following CFIUS’s prior written approval, no later than thirty (30) days after the Closing Date.”</w:t>
      </w:r>
    </w:p>
    <w:p>
      <w:pPr>
        <w:spacing w:before="120" w:after="60"/>
      </w:pPr>
      <w:r>
        <w:rPr>
          <w:b/>
        </w:rPr>
        <w:t xml:space="preserve">Gap 2-F — Interim GSD appointed without CFIUS approval </w:t>
      </w:r>
      <w:r>
        <w:rPr>
          <w:b/>
          <w:color w:val="7F6000"/>
        </w:rPr>
        <w:t>[Medium]</w:t>
      </w:r>
    </w:p>
    <w:p>
      <w:pPr>
        <w:spacing w:after="60"/>
        <w:ind w:left="432"/>
      </w:pPr>
      <w:r>
        <w:rPr>
          <w:b/>
        </w:rPr>
        <w:t xml:space="preserve">NST: </w:t>
      </w:r>
      <w:r>
        <w:t>NST 2.2(c) (CFIUS approval prior to appointment) applies to the position. NST 2.5 (GSD continues to serve pending CFIUS decision).</w:t>
      </w:r>
    </w:p>
    <w:p>
      <w:pPr>
        <w:spacing w:after="60"/>
        <w:ind w:left="432"/>
      </w:pPr>
      <w:r>
        <w:rPr>
          <w:b/>
        </w:rPr>
        <w:t xml:space="preserve">Draft v3.2: </w:t>
      </w:r>
      <w:r>
        <w:t>§ 5.4: Saxonbrook appoints an interim GSD within 15 business days. The permanent replacement is proposed within 45 days. The interim appointee needs no CFIUS approval and no Meridian look-back.</w:t>
      </w:r>
    </w:p>
    <w:p>
      <w:pPr>
        <w:spacing w:after="60"/>
        <w:ind w:left="432"/>
      </w:pPr>
      <w:r>
        <w:rPr>
          <w:b/>
        </w:rPr>
        <w:t xml:space="preserve">Analysis: </w:t>
      </w:r>
      <w:r>
        <w:t>Saxonbrook could install an unvetted interim GSD for an open-ended period.</w:t>
      </w:r>
    </w:p>
    <w:p>
      <w:pPr>
        <w:spacing w:after="60"/>
        <w:ind w:left="432"/>
      </w:pPr>
      <w:r>
        <w:rPr>
          <w:b/>
        </w:rPr>
        <w:t xml:space="preserve">Recommended fix: </w:t>
      </w:r>
      <w:r>
        <w:t>Require prompt notice of the interim appointee to CFIUS, with CFIUS able to object. Apply all of the NST 2.2 criteria to the interim appointee. Cap the interim period, or make it subject to CFIUS extension.</w:t>
      </w:r>
    </w:p>
    <w:p>
      <w:pPr>
        <w:spacing w:before="120" w:after="60"/>
      </w:pPr>
      <w:r>
        <w:rPr>
          <w:b/>
        </w:rPr>
        <w:t xml:space="preserve">Gap 2-G — Responsibilities incomplete; compensation silent </w:t>
      </w:r>
      <w:r>
        <w:rPr>
          <w:b/>
          <w:color w:val="7F6000"/>
        </w:rPr>
        <w:t>[Medium]</w:t>
      </w:r>
    </w:p>
    <w:p>
      <w:pPr>
        <w:spacing w:after="60"/>
        <w:ind w:left="432"/>
      </w:pPr>
      <w:r>
        <w:rPr>
          <w:b/>
        </w:rPr>
        <w:t xml:space="preserve">NST: </w:t>
      </w:r>
      <w:r>
        <w:t>NST 2.3(iii): manage facility, personnel and information security and export control compliance. NST 2.6: compensation set by the Security Committee; not subject to approval, influence or review by Meridian.</w:t>
      </w:r>
    </w:p>
    <w:p>
      <w:pPr>
        <w:spacing w:after="60"/>
        <w:ind w:left="432"/>
      </w:pPr>
      <w:r>
        <w:rPr>
          <w:b/>
        </w:rPr>
        <w:t xml:space="preserve">Draft v3.2: </w:t>
      </w:r>
      <w:r>
        <w:t>§ 5.2 omits management of export control compliance and “principal liaison” status, and limits the barrier duties to classified operations. There is no compensation clause.</w:t>
      </w:r>
    </w:p>
    <w:p>
      <w:pPr>
        <w:spacing w:after="60"/>
        <w:ind w:left="432"/>
      </w:pPr>
      <w:r>
        <w:rPr>
          <w:b/>
        </w:rPr>
        <w:t xml:space="preserve">Analysis: </w:t>
      </w:r>
      <w:r>
        <w:t>Without a compensation clause, the GSD’s pay could fall within ordinary management or Meridian-influenced budget processes.</w:t>
      </w:r>
    </w:p>
    <w:p>
      <w:pPr>
        <w:spacing w:after="60"/>
        <w:ind w:left="432"/>
      </w:pPr>
      <w:r>
        <w:rPr>
          <w:b/>
        </w:rPr>
        <w:t xml:space="preserve">Recommended fix: </w:t>
      </w:r>
      <w:r>
        <w:t>Add NST 2.3(i)–(iv) word for word, and a compensation clause tracking NST 2.6.</w:t>
      </w:r>
    </w:p>
    <w:p>
      <w:pPr>
        <w:pStyle w:val="Heading2"/>
      </w:pPr>
      <w:r>
        <w:t>Requirement 3 — Voting Trust / Proxy Agreement</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3-A — Consultation right on Fundamental Transactions </w:t>
      </w:r>
      <w:r>
        <w:rPr>
          <w:b/>
          <w:color w:val="C00000"/>
        </w:rPr>
        <w:t>[Critical]</w:t>
      </w:r>
    </w:p>
    <w:p>
      <w:pPr>
        <w:spacing w:after="60"/>
        <w:ind w:left="432"/>
      </w:pPr>
      <w:r>
        <w:rPr>
          <w:b/>
        </w:rPr>
        <w:t xml:space="preserve">NST: </w:t>
      </w:r>
      <w:r>
        <w:t>NST 3.3: the Foreign Acquirer retains only economic rights and has no “governance, voting, consent, consultation, information, veto, approval, observer, or other rights”; NST 3.3(iii): no right to be consulted on decisions “beyond those directly affecting the economic value of its shareholding.”</w:t>
      </w:r>
    </w:p>
    <w:p>
      <w:pPr>
        <w:spacing w:after="60"/>
        <w:ind w:left="432"/>
      </w:pPr>
      <w:r>
        <w:rPr>
          <w:b/>
        </w:rPr>
        <w:t xml:space="preserve">Draft v3.2: </w:t>
      </w:r>
      <w:r>
        <w:t>§ 6.1(c) and Ex. B ¶ 6: the Voting Trustee must consult Meridian in advance of any vote on a sale, merger, consolidation, dissolution, liquidation or change of control, and must consider Meridian’s views in good faith. § 6.2 carves this out of the Trustee’s independence (“except as contemplated by Section 6.1(c)”).</w:t>
      </w:r>
    </w:p>
    <w:p>
      <w:pPr>
        <w:spacing w:after="60"/>
        <w:ind w:left="432"/>
      </w:pPr>
      <w:r>
        <w:rPr>
          <w:b/>
        </w:rPr>
        <w:t xml:space="preserve">Analysis: </w:t>
      </w:r>
      <w:r>
        <w:t>“Consultation” is expressly listed as a prohibited right. A duty to consider Meridian’s views in good faith is a channel of influence over the Trustee’s vote. Greystone offered on April 15 to narrow this to notice only, but v3.2 does not reflect that offer (Rees e-mail, Apr. 17). No precedent grants such a right.</w:t>
      </w:r>
    </w:p>
    <w:p>
      <w:pPr>
        <w:spacing w:after="60"/>
        <w:ind w:left="432"/>
      </w:pPr>
      <w:r>
        <w:rPr>
          <w:b/>
        </w:rPr>
        <w:t xml:space="preserve">Recommended fix: </w:t>
      </w:r>
      <w:r>
        <w:t>Delete § 6.1(c), Ex. B ¶ 6 and the carve-out in § 6.2. As a fallback, and only with CFIUS’s concurrence, accept Greystone’s notice-only proposal. Meridian would receive written notice of a Fundamental Transaction vote no earlier than other shareholders, with no right to comment or provide input. This can be defended under the “economic value” carve-out in NST 3.3(iii), and Greystone offered it.</w:t>
      </w:r>
    </w:p>
    <w:p>
      <w:pPr>
        <w:spacing w:before="120" w:after="60"/>
      </w:pPr>
      <w:r>
        <w:rPr>
          <w:b/>
        </w:rPr>
        <w:t xml:space="preserve">Gap 3-B — Board Observer right </w:t>
      </w:r>
      <w:r>
        <w:rPr>
          <w:b/>
          <w:color w:val="C00000"/>
        </w:rPr>
        <w:t>[Critical]</w:t>
      </w:r>
    </w:p>
    <w:p>
      <w:pPr>
        <w:spacing w:after="60"/>
        <w:ind w:left="432"/>
      </w:pPr>
      <w:r>
        <w:rPr>
          <w:b/>
        </w:rPr>
        <w:t xml:space="preserve">NST: </w:t>
      </w:r>
      <w:r>
        <w:t>NST 3.3(i) and (iv): the Foreign Acquirer is not entitled to “designate … any director or observer” or to “attend or observe meetings of the Board or any committee thereof.”</w:t>
      </w:r>
    </w:p>
    <w:p>
      <w:pPr>
        <w:spacing w:after="60"/>
        <w:ind w:left="432"/>
      </w:pPr>
      <w:r>
        <w:rPr>
          <w:b/>
        </w:rPr>
        <w:t xml:space="preserve">Draft v3.2: </w:t>
      </w:r>
      <w:r>
        <w:t>§ 6.1(d), § 8.2, Ex. B ¶ 7: Meridian designates one Board Observer who attends “all meetings” and receives all Board materials except classified or restricted materials.</w:t>
      </w:r>
    </w:p>
    <w:p>
      <w:pPr>
        <w:spacing w:after="60"/>
        <w:ind w:left="432"/>
      </w:pPr>
      <w:r>
        <w:rPr>
          <w:b/>
        </w:rPr>
        <w:t xml:space="preserve">Analysis: </w:t>
      </w:r>
      <w:r>
        <w:t>The NST prohibits this by name. Greystone calls the right “firm” and “standard in FOCI mitigation frameworks”. Our precedents do not support that claim: Precedent C expressly prohibits observer rights, and no precedent grants them. Even with recusal procedures, the Observer would see strategy, budgets and contract pipeline information touching classified programs. The draft also gives Meridian a seventh-seat presence on top of three nominees. (Our matrix states incorrectly that v3.2 does not extend access limits to the Observer; § 8.2 does.)</w:t>
      </w:r>
    </w:p>
    <w:p>
      <w:pPr>
        <w:spacing w:after="60"/>
        <w:ind w:left="432"/>
      </w:pPr>
      <w:r>
        <w:rPr>
          <w:b/>
        </w:rPr>
        <w:t xml:space="preserve">Recommended fix: </w:t>
      </w:r>
      <w:r>
        <w:t>Delete § 6.1(d), § 8.2, Ex. B ¶ 7, the definition of “Board Observer” and all cross-references (§§ 9.3, 15.3, 16.2; Ex. C ¶ I.C; Ex. D ¶ III(b); Ex. E § III). Meridian’s legitimate interest in information can be met through the periodic financial reporting already permitted by § 9.3, which is consistent with economic rights.</w:t>
      </w:r>
    </w:p>
    <w:p>
      <w:pPr>
        <w:spacing w:before="120" w:after="60"/>
      </w:pPr>
      <w:r>
        <w:rPr>
          <w:b/>
        </w:rPr>
        <w:t xml:space="preserve">Gap 3-C — Information rights beyond economic rights </w:t>
      </w:r>
      <w:r>
        <w:rPr>
          <w:b/>
          <w:color w:val="C55A11"/>
        </w:rPr>
        <w:t>[High]</w:t>
      </w:r>
    </w:p>
    <w:p>
      <w:pPr>
        <w:spacing w:after="60"/>
        <w:ind w:left="432"/>
      </w:pPr>
      <w:r>
        <w:rPr>
          <w:b/>
        </w:rPr>
        <w:t xml:space="preserve">NST: </w:t>
      </w:r>
      <w:r>
        <w:t>NST 3.3: no information rights; NST 3.3(ii): no non-public information about classified operations, contracts or programs.</w:t>
      </w:r>
    </w:p>
    <w:p>
      <w:pPr>
        <w:spacing w:after="60"/>
        <w:ind w:left="432"/>
      </w:pPr>
      <w:r>
        <w:rPr>
          <w:b/>
        </w:rPr>
        <w:t xml:space="preserve">Draft v3.2: </w:t>
      </w:r>
      <w:r>
        <w:t>Through the Observer, Meridian receives Board materials (§ 6.1(d)). § 9.3 allows communications on “routine unclassified corporate matters” outside GSD channels. § 13.1 provides no restriction.</w:t>
      </w:r>
    </w:p>
    <w:p>
      <w:pPr>
        <w:spacing w:after="60"/>
        <w:ind w:left="432"/>
      </w:pPr>
      <w:r>
        <w:rPr>
          <w:b/>
        </w:rPr>
        <w:t xml:space="preserve">Analysis: </w:t>
      </w:r>
      <w:r>
        <w:t>The materials carve-out covers only classified or Security-Committee-restricted items. Unclassified business information about classified programs (pipeline, revenue by program, rebid decisions) is still exposed.</w:t>
      </w:r>
    </w:p>
    <w:p>
      <w:pPr>
        <w:spacing w:after="60"/>
        <w:ind w:left="432"/>
      </w:pPr>
      <w:r>
        <w:rPr>
          <w:b/>
        </w:rPr>
        <w:t xml:space="preserve">Recommended fix: </w:t>
      </w:r>
      <w:r>
        <w:t>Limit Meridian’s information to (i) financial statements and dividend information provided to shareholders generally, and (ii) information needed to protect the economic value of its shares. Expressly exclude any non-public information about classified programs or contracts.</w:t>
      </w:r>
    </w:p>
    <w:p>
      <w:pPr>
        <w:spacing w:before="120" w:after="60"/>
      </w:pPr>
      <w:r>
        <w:rPr>
          <w:b/>
        </w:rPr>
        <w:t xml:space="preserve">Gap 3-D — No CFIUS approval of the Voting Trustee before Closing </w:t>
      </w:r>
      <w:r>
        <w:rPr>
          <w:b/>
          <w:color w:val="C55A11"/>
        </w:rPr>
        <w:t>[High]</w:t>
      </w:r>
    </w:p>
    <w:p>
      <w:pPr>
        <w:spacing w:after="60"/>
        <w:ind w:left="432"/>
      </w:pPr>
      <w:r>
        <w:rPr>
          <w:b/>
        </w:rPr>
        <w:t xml:space="preserve">NST: </w:t>
      </w:r>
      <w:r>
        <w:t>NST 3.4: the Trustee must be a U.S. person with no current or prior affiliation with Meridian or its affiliates. CFIUS must approve the Trustee in writing before the Closing Date. NST § VII: naming Clearfield does not constitute approval.</w:t>
      </w:r>
    </w:p>
    <w:p>
      <w:pPr>
        <w:spacing w:after="60"/>
        <w:ind w:left="432"/>
      </w:pPr>
      <w:r>
        <w:rPr>
          <w:b/>
        </w:rPr>
        <w:t xml:space="preserve">Draft v3.2: </w:t>
      </w:r>
      <w:r>
        <w:t>§§ 1.1, 6.1 name Clearfield. § 3.3(c) represents “no material business relationship”, “other than as contemplated”. CFIUS approval appears only for a successor (§ 6.4). Our matrix cites § 6.2 as providing CFIUS approval; it does not.</w:t>
      </w:r>
    </w:p>
    <w:p>
      <w:pPr>
        <w:spacing w:after="60"/>
        <w:ind w:left="432"/>
      </w:pPr>
      <w:r>
        <w:rPr>
          <w:b/>
        </w:rPr>
        <w:t xml:space="preserve">Analysis: </w:t>
      </w:r>
      <w:r>
        <w:t>The draft never makes CFIUS approval of Clearfield a condition. The independence representation is qualified by “material” and covers present relationships only.</w:t>
      </w:r>
    </w:p>
    <w:p>
      <w:pPr>
        <w:spacing w:after="60"/>
        <w:ind w:left="432"/>
      </w:pPr>
      <w:r>
        <w:rPr>
          <w:b/>
        </w:rPr>
        <w:t xml:space="preserve">Recommended fix: </w:t>
      </w:r>
      <w:r>
        <w:t>Add a condition: “The identity of the Voting Trustee shall have been approved in writing by CFIUS prior to the Closing Date.” Conform § 3.3(c) to “no current or prior affiliation” with Meridian or its affiliates, with no materiality qualifier.</w:t>
      </w:r>
    </w:p>
    <w:p>
      <w:pPr>
        <w:spacing w:before="120" w:after="60"/>
      </w:pPr>
      <w:r>
        <w:rPr>
          <w:b/>
        </w:rPr>
        <w:t xml:space="preserve">Gap 3-E — Trust duration and modification </w:t>
      </w:r>
      <w:r>
        <w:rPr>
          <w:b/>
          <w:color w:val="C55A11"/>
        </w:rPr>
        <w:t>[High]</w:t>
      </w:r>
    </w:p>
    <w:p>
      <w:pPr>
        <w:spacing w:after="60"/>
        <w:ind w:left="432"/>
      </w:pPr>
      <w:r>
        <w:rPr>
          <w:b/>
        </w:rPr>
        <w:t xml:space="preserve">NST: </w:t>
      </w:r>
      <w:r>
        <w:t>NST 3.5: the Voting Arrangement remains in effect for the entire duration of Meridian’s direct or indirect ownership, and may not be terminated, modified or suspended without CFIUS’s prior written approval.</w:t>
      </w:r>
    </w:p>
    <w:p>
      <w:pPr>
        <w:spacing w:after="60"/>
        <w:ind w:left="432"/>
      </w:pPr>
      <w:r>
        <w:rPr>
          <w:b/>
        </w:rPr>
        <w:t xml:space="preserve">Draft v3.2: </w:t>
      </w:r>
      <w:r>
        <w:t>Ex. B ¶ 3: the trust ends on the earlier of complete divestiture or termination of the Agreement under § 18.2. Under § 18.1, amendments require no CFIUS consent.</w:t>
      </w:r>
    </w:p>
    <w:p>
      <w:pPr>
        <w:spacing w:after="60"/>
        <w:ind w:left="432"/>
      </w:pPr>
      <w:r>
        <w:rPr>
          <w:b/>
        </w:rPr>
        <w:t xml:space="preserve">Analysis: </w:t>
      </w:r>
      <w:r>
        <w:t>Because § 18.1 allows the parties to amend the Agreement without CFIUS, they could also amend or end the trust without CFIUS. The draft also does not say that “ownership” includes indirect ownership.</w:t>
      </w:r>
    </w:p>
    <w:p>
      <w:pPr>
        <w:spacing w:after="60"/>
        <w:ind w:left="432"/>
      </w:pPr>
      <w:r>
        <w:rPr>
          <w:b/>
        </w:rPr>
        <w:t xml:space="preserve">Recommended fix: </w:t>
      </w:r>
      <w:r>
        <w:t>Tie the trust’s duration to Meridian’s “direct or indirect ownership interest”, and prohibit termination, modification or suspension without CFIUS’s prior written approval. The full Voting Trust Agreement (to be executed separately) must contain the same terms and should be provided to CFIUS.</w:t>
      </w:r>
    </w:p>
    <w:p>
      <w:pPr>
        <w:spacing w:before="120" w:after="60"/>
      </w:pPr>
      <w:r>
        <w:rPr>
          <w:b/>
        </w:rPr>
        <w:t xml:space="preserve">Gap 3-F — No annual Trustee certification to CFIUS </w:t>
      </w:r>
      <w:r>
        <w:rPr>
          <w:b/>
          <w:color w:val="C55A11"/>
        </w:rPr>
        <w:t>[High]</w:t>
      </w:r>
    </w:p>
    <w:p>
      <w:pPr>
        <w:spacing w:after="60"/>
        <w:ind w:left="432"/>
      </w:pPr>
      <w:r>
        <w:rPr>
          <w:b/>
        </w:rPr>
        <w:t xml:space="preserve">NST: </w:t>
      </w:r>
      <w:r>
        <w:t>NST 3.6: the Trustee certifies to CFIUS each year, within 30 days after year-end, that the Voting Arrangement has been observed and that Meridian has exercised no unauthorized rights.</w:t>
      </w:r>
    </w:p>
    <w:p>
      <w:pPr>
        <w:spacing w:after="60"/>
        <w:ind w:left="432"/>
      </w:pPr>
      <w:r>
        <w:rPr>
          <w:b/>
        </w:rPr>
        <w:t xml:space="preserve">Draft v3.2: </w:t>
      </w:r>
      <w:r>
        <w:t>§ 6.2 and Ex. B ¶ 10: quarterly reports to the Security Committee only.</w:t>
      </w:r>
    </w:p>
    <w:p>
      <w:pPr>
        <w:spacing w:after="60"/>
        <w:ind w:left="432"/>
      </w:pPr>
      <w:r>
        <w:rPr>
          <w:b/>
        </w:rPr>
        <w:t xml:space="preserve">Analysis: </w:t>
      </w:r>
      <w:r>
        <w:t>The NST certification is omitted.</w:t>
      </w:r>
    </w:p>
    <w:p>
      <w:pPr>
        <w:spacing w:after="60"/>
        <w:ind w:left="432"/>
      </w:pPr>
      <w:r>
        <w:rPr>
          <w:b/>
        </w:rPr>
        <w:t xml:space="preserve">Recommended fix: </w:t>
      </w:r>
      <w:r>
        <w:t>Add the certification to CFIUS, due by January 30 of each year. Keep the quarterly reports to the Security Committee.</w:t>
      </w:r>
    </w:p>
    <w:p>
      <w:pPr>
        <w:spacing w:before="120" w:after="60"/>
      </w:pPr>
      <w:r>
        <w:rPr>
          <w:b/>
        </w:rPr>
        <w:t xml:space="preserve">Gap 3-G — Trustee resignation and vacancy </w:t>
      </w:r>
      <w:r>
        <w:rPr>
          <w:b/>
          <w:color w:val="7F6000"/>
        </w:rPr>
        <w:t>[Medium]</w:t>
      </w:r>
    </w:p>
    <w:p>
      <w:pPr>
        <w:spacing w:after="60"/>
        <w:ind w:left="432"/>
      </w:pPr>
      <w:r>
        <w:rPr>
          <w:b/>
        </w:rPr>
        <w:t xml:space="preserve">NST: </w:t>
      </w:r>
      <w:r>
        <w:t>NST 3.4–3.5 (a CFIUS-approved Trustee at all times).</w:t>
      </w:r>
    </w:p>
    <w:p>
      <w:pPr>
        <w:spacing w:after="60"/>
        <w:ind w:left="432"/>
      </w:pPr>
      <w:r>
        <w:rPr>
          <w:b/>
        </w:rPr>
        <w:t xml:space="preserve">Draft v3.2: </w:t>
      </w:r>
      <w:r>
        <w:t>§ 6.4: resignation on 90 days’ notice. Saxonbrook and the Security Committee propose a successor and use “commercially reasonable efforts” to obtain CFIUS approval.</w:t>
      </w:r>
    </w:p>
    <w:p>
      <w:pPr>
        <w:spacing w:after="60"/>
        <w:ind w:left="432"/>
      </w:pPr>
      <w:r>
        <w:rPr>
          <w:b/>
        </w:rPr>
        <w:t xml:space="preserve">Analysis: </w:t>
      </w:r>
      <w:r>
        <w:t>A gap with no Trustee in place is possible. The 90-day resignation notice does not go to CFIUS.</w:t>
      </w:r>
    </w:p>
    <w:p>
      <w:pPr>
        <w:spacing w:after="60"/>
        <w:ind w:left="432"/>
      </w:pPr>
      <w:r>
        <w:rPr>
          <w:b/>
        </w:rPr>
        <w:t xml:space="preserve">Recommended fix: </w:t>
      </w:r>
      <w:r>
        <w:t>Provide that a resignation takes effect only when a CFIUS-approved successor accepts appointment, and that notice goes to CFIUS. Delete “commercially reasonable efforts”.</w:t>
      </w:r>
    </w:p>
    <w:p>
      <w:pPr>
        <w:pStyle w:val="Heading2"/>
      </w:pPr>
      <w:r>
        <w:t>Requirement 4 — Access Restrictions</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4-A — Export-Controlled Technical Data omitted </w:t>
      </w:r>
      <w:r>
        <w:rPr>
          <w:b/>
          <w:color w:val="C00000"/>
        </w:rPr>
        <w:t>[Critical]</w:t>
      </w:r>
    </w:p>
    <w:p>
      <w:pPr>
        <w:spacing w:after="60"/>
        <w:ind w:left="432"/>
      </w:pPr>
      <w:r>
        <w:rPr>
          <w:b/>
        </w:rPr>
        <w:t xml:space="preserve">NST: </w:t>
      </w:r>
      <w:r>
        <w:t>NST 4.1(b), 4.4: no Foreign National may access Export-Controlled Technical Data (all ITAR- and EAR-controlled data, classified or not) except as specifically authorized by a valid DDTC or BIS license, license exception or other written authorization. The NST definition of “Export-Controlled Technical Data” stresses that it is broader than Classified Information.</w:t>
      </w:r>
    </w:p>
    <w:p>
      <w:pPr>
        <w:spacing w:after="60"/>
        <w:ind w:left="432"/>
      </w:pPr>
      <w:r>
        <w:rPr>
          <w:b/>
        </w:rPr>
        <w:t xml:space="preserve">Draft v3.2: </w:t>
      </w:r>
      <w:r>
        <w:t>§ 8.1 restricts access only to “Classified Information or Classified Facilities”. The draft does not define Export-Controlled Technical Data. Section 15 requires general ITAR and EAR compliance and export screening, but does not impose a mitigation-agreement access restriction.</w:t>
      </w:r>
    </w:p>
    <w:p>
      <w:pPr>
        <w:spacing w:after="60"/>
        <w:ind w:left="432"/>
      </w:pPr>
      <w:r>
        <w:rPr>
          <w:b/>
        </w:rPr>
        <w:t xml:space="preserve">Analysis: </w:t>
      </w:r>
      <w:r>
        <w:t>Greystone confirmed in writing that the narrowing was intentional (Natarajan e-mail, Apr. 11). The exposure is concrete. The Security Profile (§ 7) states that all three programs involve ITAR-controlled data (Cat. XI(a), XII(d), IV, IV(h)), and that much of the unclassified ITAR/EAR data (drawings, test data, guidance and navigation source code) sits on a general engineering network that is not access-restricted. That network is open to about 1,160 uncleared employees. As drafted, Meridian access to that data would not breach the Agreement. All five precedents cover ITAR/EAR data. Meridian’s proposed limitation to data “arising from or related to” classified programs is also inconsistent with NST 4.4 (“whether or not such information is also classified”).</w:t>
      </w:r>
    </w:p>
    <w:p>
      <w:pPr>
        <w:spacing w:after="60"/>
        <w:ind w:left="432"/>
      </w:pPr>
      <w:r>
        <w:rPr>
          <w:b/>
        </w:rPr>
        <w:t xml:space="preserve">Recommended fix: </w:t>
      </w:r>
      <w:r>
        <w:t>Adopt the NST definition of Export-Controlled Technical Data and add new § 8.1(b) (Rees proposal, Apr. 16), extended to cover all three NST categories: “No Foreign National … shall have access to (a) Classified Information, (b) Export-Controlled Technical Data held by or generated by Saxonbrook, or (c) Classified Spaces, without prior written authorization from the appropriate United States Government agency … Access to Export-Controlled Technical Data is prohibited except as specifically authorized by a valid export license, license exception, or other written authorization issued by DDTC or BIS.” Negotiating point: NST 4.4 already gives Meridian a route to legitimate commercial synergies. Meridian can apply for transaction-specific DDTC or BIS authorizations for Saxonbrook data, documented and logged by the GSD. That answers Greystone’s objection that the restriction would “prevent all commercial cooperation”. Meridian’s existing TAAs cover its own programs for BAE Systems, not Saxonbrook’s data.</w:t>
      </w:r>
    </w:p>
    <w:p>
      <w:pPr>
        <w:spacing w:before="120" w:after="60"/>
      </w:pPr>
      <w:r>
        <w:rPr>
          <w:b/>
        </w:rPr>
        <w:t xml:space="preserve">Gap 4-B — “Foreign National” definition excludes LPRs and foreign entities </w:t>
      </w:r>
      <w:r>
        <w:rPr>
          <w:b/>
          <w:color w:val="C00000"/>
        </w:rPr>
        <w:t>[Critical]</w:t>
      </w:r>
    </w:p>
    <w:p>
      <w:pPr>
        <w:spacing w:after="60"/>
        <w:ind w:left="432"/>
      </w:pPr>
      <w:r>
        <w:rPr>
          <w:b/>
        </w:rPr>
        <w:t xml:space="preserve">NST: </w:t>
      </w:r>
      <w:r>
        <w:t>NST § IV: “Foreign National” means any individual who is not a U.S. citizen or U.S. national, and any non-U.S.-organized entity or other foreign person under 31 C.F.R. § 800.224.</w:t>
      </w:r>
    </w:p>
    <w:p>
      <w:pPr>
        <w:spacing w:after="60"/>
        <w:ind w:left="432"/>
      </w:pPr>
      <w:r>
        <w:rPr>
          <w:b/>
        </w:rPr>
        <w:t xml:space="preserve">Draft v3.2: </w:t>
      </w:r>
      <w:r>
        <w:t>§ 1.1: any individual who is not a U.S. citizen “or a United States lawful permanent resident”. Entities are not covered.</w:t>
      </w:r>
    </w:p>
    <w:p>
      <w:pPr>
        <w:spacing w:after="60"/>
        <w:ind w:left="432"/>
      </w:pPr>
      <w:r>
        <w:rPr>
          <w:b/>
        </w:rPr>
        <w:t xml:space="preserve">Analysis: </w:t>
      </w:r>
      <w:r>
        <w:t>This narrowing has not been raised in the negotiations. It carries the ITAR “U.S. person” concept, under which LPRs are U.S. persons, into a CFIUS instrument that is deliberately stricter. As drafted, a Meridian employee who holds a U.S. green card would fall outside every Foreign National restriction in §§ 8, 9.3, 15.3 and 16.1(f). Meridian entities themselves would also fall outside those restrictions.</w:t>
      </w:r>
    </w:p>
    <w:p>
      <w:pPr>
        <w:spacing w:after="60"/>
        <w:ind w:left="432"/>
      </w:pPr>
      <w:r>
        <w:rPr>
          <w:b/>
        </w:rPr>
        <w:t xml:space="preserve">Recommended fix: </w:t>
      </w:r>
      <w:r>
        <w:t>Adopt the NST definition word for word.</w:t>
      </w:r>
    </w:p>
    <w:p>
      <w:pPr>
        <w:spacing w:before="120" w:after="60"/>
      </w:pPr>
      <w:r>
        <w:rPr>
          <w:b/>
        </w:rPr>
        <w:t xml:space="preserve">Gap 4-C — Reliance on international security agreements and foreign clearances </w:t>
      </w:r>
      <w:r>
        <w:rPr>
          <w:b/>
          <w:color w:val="C55A11"/>
        </w:rPr>
        <w:t>[High]</w:t>
      </w:r>
    </w:p>
    <w:p>
      <w:pPr>
        <w:spacing w:after="60"/>
        <w:ind w:left="432"/>
      </w:pPr>
      <w:r>
        <w:rPr>
          <w:b/>
        </w:rPr>
        <w:t xml:space="preserve">NST: </w:t>
      </w:r>
      <w:r>
        <w:t>NST 4.2: the restriction applies “regardless of the nationality … regardless of any security clearance … issued by a foreign government, and regardless of whether any bilateral security agreement or industrial security arrangement exists.”</w:t>
      </w:r>
    </w:p>
    <w:p>
      <w:pPr>
        <w:spacing w:after="60"/>
        <w:ind w:left="432"/>
      </w:pPr>
      <w:r>
        <w:rPr>
          <w:b/>
        </w:rPr>
        <w:t xml:space="preserve">Draft v3.2: </w:t>
      </w:r>
      <w:r>
        <w:t>§ 8.1: access is permitted on authorization “in accordance with … the terms of any applicable international security agreement.”</w:t>
      </w:r>
    </w:p>
    <w:p>
      <w:pPr>
        <w:spacing w:after="60"/>
        <w:ind w:left="432"/>
      </w:pPr>
      <w:r>
        <w:rPr>
          <w:b/>
        </w:rPr>
        <w:t xml:space="preserve">Analysis: </w:t>
      </w:r>
      <w:r>
        <w:t>This conflicts directly with NST 4.2. Given Meridian’s reliance on the U.S.–UK Defense Trade Cooperation Treaty and its UK clearances, the clause is a likely route to UK-cleared Meridian personnel gaining access.</w:t>
      </w:r>
    </w:p>
    <w:p>
      <w:pPr>
        <w:spacing w:after="60"/>
        <w:ind w:left="432"/>
      </w:pPr>
      <w:r>
        <w:rPr>
          <w:b/>
        </w:rPr>
        <w:t xml:space="preserve">Recommended fix: </w:t>
      </w:r>
      <w:r>
        <w:t>Delete the international-agreement wording and insert NST 4.2 word for word. Also make clear that no ITAR exemption (e.g., 22 C.F.R. § 126.17 treaty exemption) may be relied on for access by Meridian personnel to Saxonbrook data unless the GSD has documented it and notified CFIUS in advance.</w:t>
      </w:r>
    </w:p>
    <w:p>
      <w:pPr>
        <w:spacing w:before="120" w:after="60"/>
      </w:pPr>
      <w:r>
        <w:rPr>
          <w:b/>
        </w:rPr>
        <w:t xml:space="preserve">Gap 4-D — Enforcement controls incomplete </w:t>
      </w:r>
      <w:r>
        <w:rPr>
          <w:b/>
          <w:color w:val="7F6000"/>
        </w:rPr>
        <w:t>[Medium]</w:t>
      </w:r>
    </w:p>
    <w:p>
      <w:pPr>
        <w:spacing w:after="60"/>
        <w:ind w:left="432"/>
      </w:pPr>
      <w:r>
        <w:rPr>
          <w:b/>
        </w:rPr>
        <w:t xml:space="preserve">NST: </w:t>
      </w:r>
      <w:r>
        <w:t>NST 4.3: visitor management, mandatory escorts for all non-cleared personnel in proximity to classified areas, electronic access control lists, regular audits of access logs.</w:t>
      </w:r>
    </w:p>
    <w:p>
      <w:pPr>
        <w:spacing w:after="60"/>
        <w:ind w:left="432"/>
      </w:pPr>
      <w:r>
        <w:rPr>
          <w:b/>
        </w:rPr>
        <w:t xml:space="preserve">Draft v3.2: </w:t>
      </w:r>
      <w:r>
        <w:t>§ 8.3 and Ex. C: sign-in, badges, escorts for Foreign National visitors only, a visit log, and monthly log review (Ex. C ¶ IV).</w:t>
      </w:r>
    </w:p>
    <w:p>
      <w:pPr>
        <w:spacing w:after="60"/>
        <w:ind w:left="432"/>
      </w:pPr>
      <w:r>
        <w:rPr>
          <w:b/>
        </w:rPr>
        <w:t xml:space="preserve">Analysis: </w:t>
      </w:r>
      <w:r>
        <w:t>There is no escort requirement for non-cleared U.S. persons near classified areas, and no controls over export-controlled areas or systems. § 8.3 (Foreign Nationals “prohibited from entering classified areas”) also conflicts with § 8.1 (entry possible with authorization).</w:t>
      </w:r>
    </w:p>
    <w:p>
      <w:pPr>
        <w:spacing w:after="60"/>
        <w:ind w:left="432"/>
      </w:pPr>
      <w:r>
        <w:rPr>
          <w:b/>
        </w:rPr>
        <w:t xml:space="preserve">Recommended fix: </w:t>
      </w:r>
      <w:r>
        <w:t>Insert the NST 4.3 controls, applying them to both classified areas and export-controlled areas and systems. Reconcile §§ 8.1 and 8.3.</w:t>
      </w:r>
    </w:p>
    <w:p>
      <w:pPr>
        <w:pStyle w:val="Heading2"/>
      </w:pPr>
      <w:r>
        <w:t>Requirement 5 — Information Barriers</w:t>
      </w:r>
    </w:p>
    <w:p>
      <w:pPr>
        <w:spacing w:after="80"/>
      </w:pPr>
      <w:r>
        <w:rPr>
          <w:b/>
        </w:rPr>
        <w:t xml:space="preserve">Overall status: </w:t>
      </w:r>
      <w:r>
        <w:t xml:space="preserve">Partially compliant   </w:t>
      </w:r>
      <w:r>
        <w:rPr>
          <w:b/>
        </w:rPr>
        <w:t xml:space="preserve">Overall risk: </w:t>
      </w:r>
      <w:r>
        <w:t>High</w:t>
      </w:r>
    </w:p>
    <w:p>
      <w:pPr>
        <w:spacing w:before="120" w:after="60"/>
      </w:pPr>
      <w:r>
        <w:rPr>
          <w:b/>
        </w:rPr>
        <w:t xml:space="preserve">Gap 5-A — Barriers limited to classified operations </w:t>
      </w:r>
      <w:r>
        <w:rPr>
          <w:b/>
          <w:color w:val="C55A11"/>
        </w:rPr>
        <w:t>[High]</w:t>
      </w:r>
    </w:p>
    <w:p>
      <w:pPr>
        <w:spacing w:after="60"/>
        <w:ind w:left="432"/>
      </w:pPr>
      <w:r>
        <w:rPr>
          <w:b/>
        </w:rPr>
        <w:t xml:space="preserve">NST: </w:t>
      </w:r>
      <w:r>
        <w:t>NST 5.1: barriers between Saxonbrook’s “classified and export-controlled operations” and Meridian, to prevent disclosure of Classified Information or Export-Controlled Technical Data.</w:t>
      </w:r>
    </w:p>
    <w:p>
      <w:pPr>
        <w:spacing w:after="60"/>
        <w:ind w:left="432"/>
      </w:pPr>
      <w:r>
        <w:rPr>
          <w:b/>
        </w:rPr>
        <w:t xml:space="preserve">Draft v3.2: </w:t>
      </w:r>
      <w:r>
        <w:t>§ 9.1: physical barriers between “classified operations” and Meridian. § 9.2(a)–(b): electronic separation of “classified” IT systems. § 9.2(c) covers only “sensitive but unclassified information” (an undefined term).</w:t>
      </w:r>
    </w:p>
    <w:p>
      <w:pPr>
        <w:spacing w:after="60"/>
        <w:ind w:left="432"/>
      </w:pPr>
      <w:r>
        <w:rPr>
          <w:b/>
        </w:rPr>
        <w:t xml:space="preserve">Analysis: </w:t>
      </w:r>
      <w:r>
        <w:t>This is the same scope defect as Gap 4-A, in the barrier provisions. NST 5.2(a)–(c) and 5.3(a) each expressly cover export-controlled areas, materials and systems.</w:t>
      </w:r>
    </w:p>
    <w:p>
      <w:pPr>
        <w:spacing w:after="60"/>
        <w:ind w:left="432"/>
      </w:pPr>
      <w:r>
        <w:rPr>
          <w:b/>
        </w:rPr>
        <w:t xml:space="preserve">Recommended fix: </w:t>
      </w:r>
      <w:r>
        <w:t>Extend §§ 9.1 and 9.2 to “classified and export-controlled operations, areas, materials and systems”. Require the general engineering network holding ITAR/EAR data to be segmented from any system accessible to Meridian before Closing.</w:t>
      </w:r>
    </w:p>
    <w:p>
      <w:pPr>
        <w:spacing w:before="120" w:after="60"/>
      </w:pPr>
      <w:r>
        <w:rPr>
          <w:b/>
        </w:rPr>
        <w:t xml:space="preserve">Gap 5-B — Shared-infrastructure prohibition incomplete </w:t>
      </w:r>
      <w:r>
        <w:rPr>
          <w:b/>
          <w:color w:val="C55A11"/>
        </w:rPr>
        <w:t>[High]</w:t>
      </w:r>
    </w:p>
    <w:p>
      <w:pPr>
        <w:spacing w:after="60"/>
        <w:ind w:left="432"/>
      </w:pPr>
      <w:r>
        <w:rPr>
          <w:b/>
        </w:rPr>
        <w:t xml:space="preserve">NST: </w:t>
      </w:r>
      <w:r>
        <w:t>NST 5.3(b): no shared IT infrastructure, including email servers, cloud platforms, ERP systems, data analytics tools and collaborative software, between classified or export-controlled operations and Meridian.</w:t>
      </w:r>
    </w:p>
    <w:p>
      <w:pPr>
        <w:spacing w:after="60"/>
        <w:ind w:left="432"/>
      </w:pPr>
      <w:r>
        <w:rPr>
          <w:b/>
        </w:rPr>
        <w:t xml:space="preserve">Draft v3.2: </w:t>
      </w:r>
      <w:r>
        <w:t>§ 9.2(a) separates classified systems from “Meridian-connected networks” (intranet, email, file-sharing). There is no reference to ERP, analytics or collaboration tools, and no reference to export-controlled operations. Ex. C ¶ II.D addresses classified data on cloud platforms only.</w:t>
      </w:r>
    </w:p>
    <w:p>
      <w:pPr>
        <w:spacing w:after="60"/>
        <w:ind w:left="432"/>
      </w:pPr>
      <w:r>
        <w:rPr>
          <w:b/>
        </w:rPr>
        <w:t xml:space="preserve">Analysis: </w:t>
      </w:r>
      <w:r>
        <w:t>Post-closing integration of ERP and financial systems is a common source of leakage of export-controlled data.</w:t>
      </w:r>
    </w:p>
    <w:p>
      <w:pPr>
        <w:spacing w:after="60"/>
        <w:ind w:left="432"/>
      </w:pPr>
      <w:r>
        <w:rPr>
          <w:b/>
        </w:rPr>
        <w:t xml:space="preserve">Recommended fix: </w:t>
      </w:r>
      <w:r>
        <w:t>Insert the NST 5.3(b) list word for word, applying it to classified and export-controlled operations.</w:t>
      </w:r>
    </w:p>
    <w:p>
      <w:pPr>
        <w:spacing w:before="120" w:after="60"/>
      </w:pPr>
      <w:r>
        <w:rPr>
          <w:b/>
        </w:rPr>
        <w:t xml:space="preserve">Gap 5-C — Monitoring controls </w:t>
      </w:r>
      <w:r>
        <w:rPr>
          <w:b/>
          <w:color w:val="7F6000"/>
        </w:rPr>
        <w:t>[Medium]</w:t>
      </w:r>
    </w:p>
    <w:p>
      <w:pPr>
        <w:spacing w:after="60"/>
        <w:ind w:left="432"/>
      </w:pPr>
      <w:r>
        <w:rPr>
          <w:b/>
        </w:rPr>
        <w:t xml:space="preserve">NST: </w:t>
      </w:r>
      <w:r>
        <w:t>NST 5.3(c): intrusion detection, data loss prevention and continuous monitoring on all network boundaries.</w:t>
      </w:r>
    </w:p>
    <w:p>
      <w:pPr>
        <w:spacing w:after="60"/>
        <w:ind w:left="432"/>
      </w:pPr>
      <w:r>
        <w:rPr>
          <w:b/>
        </w:rPr>
        <w:t xml:space="preserve">Draft v3.2: </w:t>
      </w:r>
      <w:r>
        <w:t>§ 9.2(c) and Ex. C ¶ II.C: DLP on unclassified email. The intrusion detection systems in § 9.2 are physical-security upgrades.</w:t>
      </w:r>
    </w:p>
    <w:p>
      <w:pPr>
        <w:spacing w:after="60"/>
        <w:ind w:left="432"/>
      </w:pPr>
      <w:r>
        <w:rPr>
          <w:b/>
        </w:rPr>
        <w:t xml:space="preserve">Analysis: </w:t>
      </w:r>
      <w:r>
        <w:t>Network intrusion detection and continuous monitoring on all boundaries are not required.</w:t>
      </w:r>
    </w:p>
    <w:p>
      <w:pPr>
        <w:spacing w:after="60"/>
        <w:ind w:left="432"/>
      </w:pPr>
      <w:r>
        <w:rPr>
          <w:b/>
        </w:rPr>
        <w:t xml:space="preserve">Recommended fix: </w:t>
      </w:r>
      <w:r>
        <w:t>Add NST 5.3(c) word for word.</w:t>
      </w:r>
    </w:p>
    <w:p>
      <w:pPr>
        <w:spacing w:before="120" w:after="60"/>
      </w:pPr>
      <w:r>
        <w:rPr>
          <w:b/>
        </w:rPr>
        <w:t xml:space="preserve">Gap 5-D — No exception mechanism (GSD sole authority plus CFIUS prior approval) </w:t>
      </w:r>
      <w:r>
        <w:rPr>
          <w:b/>
          <w:color w:val="7F6000"/>
        </w:rPr>
        <w:t>[Medium]</w:t>
      </w:r>
    </w:p>
    <w:p>
      <w:pPr>
        <w:spacing w:after="60"/>
        <w:ind w:left="432"/>
      </w:pPr>
      <w:r>
        <w:rPr>
          <w:b/>
        </w:rPr>
        <w:t xml:space="preserve">NST: </w:t>
      </w:r>
      <w:r>
        <w:t>NST 5.4: only the GSD may approve exceptions, and only with CFIUS’s prior written approval.</w:t>
      </w:r>
    </w:p>
    <w:p>
      <w:pPr>
        <w:spacing w:after="60"/>
        <w:ind w:left="432"/>
      </w:pPr>
      <w:r>
        <w:rPr>
          <w:b/>
        </w:rPr>
        <w:t xml:space="preserve">Draft v3.2: </w:t>
      </w:r>
      <w:r>
        <w:t>None. Ex. C ¶ II.B (removable media) requires GSD authorization only.</w:t>
      </w:r>
    </w:p>
    <w:p>
      <w:pPr>
        <w:spacing w:after="60"/>
        <w:ind w:left="432"/>
      </w:pPr>
      <w:r>
        <w:rPr>
          <w:b/>
        </w:rPr>
        <w:t xml:space="preserve">Analysis: </w:t>
      </w:r>
      <w:r>
        <w:t>Without the provision, exceptions could be granted by management or the Board.</w:t>
      </w:r>
    </w:p>
    <w:p>
      <w:pPr>
        <w:spacing w:after="60"/>
        <w:ind w:left="432"/>
      </w:pPr>
      <w:r>
        <w:rPr>
          <w:b/>
        </w:rPr>
        <w:t xml:space="preserve">Recommended fix: </w:t>
      </w:r>
      <w:r>
        <w:t>Add NST 5.4.</w:t>
      </w:r>
    </w:p>
    <w:p>
      <w:pPr>
        <w:spacing w:before="120" w:after="60"/>
      </w:pPr>
      <w:r>
        <w:rPr>
          <w:b/>
        </w:rPr>
        <w:t xml:space="preserve">Gap 5-E — 120-day implementation window for physical upgrades </w:t>
      </w:r>
      <w:r>
        <w:rPr>
          <w:b/>
          <w:color w:val="7F6000"/>
        </w:rPr>
        <w:t>[Medium]</w:t>
      </w:r>
    </w:p>
    <w:p>
      <w:pPr>
        <w:spacing w:after="60"/>
        <w:ind w:left="432"/>
      </w:pPr>
      <w:r>
        <w:rPr>
          <w:b/>
        </w:rPr>
        <w:t xml:space="preserve">NST: </w:t>
      </w:r>
      <w:r>
        <w:t>NST 5.1 requires Saxonbrook to “establish and maintain” barriers. Access restrictions apply “at all times following the Closing.” The NST sets no phase-in period.</w:t>
      </w:r>
    </w:p>
    <w:p>
      <w:pPr>
        <w:spacing w:after="60"/>
        <w:ind w:left="432"/>
      </w:pPr>
      <w:r>
        <w:rPr>
          <w:b/>
        </w:rPr>
        <w:t xml:space="preserve">Draft v3.2: </w:t>
      </w:r>
      <w:r>
        <w:t>§ 9.2 (final paragraph): physical upgrades (controlled-access barriers, badge readers, intrusion detection) completed within 120 days of Closing.</w:t>
      </w:r>
    </w:p>
    <w:p>
      <w:pPr>
        <w:spacing w:after="60"/>
        <w:ind w:left="432"/>
      </w:pPr>
      <w:r>
        <w:rPr>
          <w:b/>
        </w:rPr>
        <w:t xml:space="preserve">Analysis: </w:t>
      </w:r>
      <w:r>
        <w:t>Our matrix says the NST requires barriers to be “fully operational prior to closing”. The NST does not say this expressly (see Part V), so the point should not be argued in those terms. Even so, a 120-day period after Closing in which barriers are incomplete, during which Meridian obtains its 51% interest, is inconsistent with the barriers being maintained from Closing. Four of five precedents required barriers before closing.</w:t>
      </w:r>
    </w:p>
    <w:p>
      <w:pPr>
        <w:spacing w:after="60"/>
        <w:ind w:left="432"/>
      </w:pPr>
      <w:r>
        <w:rPr>
          <w:b/>
        </w:rPr>
        <w:t xml:space="preserve">Recommended fix: </w:t>
      </w:r>
      <w:r>
        <w:t>Require the barriers sufficient to enforce Requirements 4 and 5 (including segmentation of the engineering network) to be in place at Closing, certified by the GSD. Only incremental hardening may be completed within a short period afterwards, and any such schedule should be disclosed to CFIUS. Separately, the “total estimated annual compliance cost” of $1,200,000 mixes one-time capital upgrades with recurring costs and should be relabeled.</w:t>
      </w:r>
    </w:p>
    <w:p>
      <w:pPr>
        <w:pStyle w:val="Heading2"/>
      </w:pPr>
      <w:r>
        <w:t>Requirement 6 — Personnel Vetting</w:t>
      </w:r>
    </w:p>
    <w:p>
      <w:pPr>
        <w:spacing w:after="80"/>
      </w:pPr>
      <w:r>
        <w:rPr>
          <w:b/>
        </w:rPr>
        <w:t xml:space="preserve">Overall status: </w:t>
      </w:r>
      <w:r>
        <w:t xml:space="preserve">Partially compliant   </w:t>
      </w:r>
      <w:r>
        <w:rPr>
          <w:b/>
        </w:rPr>
        <w:t xml:space="preserve">Overall risk: </w:t>
      </w:r>
      <w:r>
        <w:t>High</w:t>
      </w:r>
    </w:p>
    <w:p>
      <w:pPr>
        <w:spacing w:before="120" w:after="60"/>
      </w:pPr>
      <w:r>
        <w:rPr>
          <w:b/>
        </w:rPr>
        <w:t xml:space="preserve">Gap 6-A — CFIUS removal: 30 days and no immediate exclusion </w:t>
      </w:r>
      <w:r>
        <w:rPr>
          <w:b/>
          <w:color w:val="C55A11"/>
        </w:rPr>
        <w:t>[High]</w:t>
      </w:r>
    </w:p>
    <w:p>
      <w:pPr>
        <w:spacing w:after="60"/>
        <w:ind w:left="432"/>
      </w:pPr>
      <w:r>
        <w:rPr>
          <w:b/>
        </w:rPr>
        <w:t xml:space="preserve">NST: </w:t>
      </w:r>
      <w:r>
        <w:t>NST 6.2: removal within 10 business days of CFIUS notice; the individual is immediately excluded from all classified and export-controlled work areas pending removal.</w:t>
      </w:r>
    </w:p>
    <w:p>
      <w:pPr>
        <w:spacing w:after="60"/>
        <w:ind w:left="432"/>
      </w:pPr>
      <w:r>
        <w:rPr>
          <w:b/>
        </w:rPr>
        <w:t xml:space="preserve">Draft v3.2: </w:t>
      </w:r>
      <w:r>
        <w:t>§ 7.2: compliance within 30 days of notice. No interim exclusion.</w:t>
      </w:r>
    </w:p>
    <w:p>
      <w:pPr>
        <w:spacing w:after="60"/>
        <w:ind w:left="432"/>
      </w:pPr>
      <w:r>
        <w:rPr>
          <w:b/>
        </w:rPr>
        <w:t xml:space="preserve">Analysis: </w:t>
      </w:r>
      <w:r>
        <w:t>The draft triples the period, and a person CFIUS has found to be a risk could keep access for a month. Our matrix marks Requirement 6 “consistent”, which is wrong.</w:t>
      </w:r>
    </w:p>
    <w:p>
      <w:pPr>
        <w:spacing w:after="60"/>
        <w:ind w:left="432"/>
      </w:pPr>
      <w:r>
        <w:rPr>
          <w:b/>
        </w:rPr>
        <w:t xml:space="preserve">Recommended fix: </w:t>
      </w:r>
      <w:r>
        <w:t>Conform to 10 business days, with immediate exclusion upon receipt of notice.</w:t>
      </w:r>
    </w:p>
    <w:p>
      <w:pPr>
        <w:spacing w:before="120" w:after="60"/>
      </w:pPr>
      <w:r>
        <w:rPr>
          <w:b/>
        </w:rPr>
        <w:t xml:space="preserve">Gap 6-B — Enhanced investigations not DCSA-directed; scope omits export-controlled access and future access </w:t>
      </w:r>
      <w:r>
        <w:rPr>
          <w:b/>
          <w:color w:val="7F6000"/>
        </w:rPr>
        <w:t>[Medium]</w:t>
      </w:r>
    </w:p>
    <w:p>
      <w:pPr>
        <w:spacing w:after="60"/>
        <w:ind w:left="432"/>
      </w:pPr>
      <w:r>
        <w:rPr>
          <w:b/>
        </w:rPr>
        <w:t xml:space="preserve">NST: </w:t>
      </w:r>
      <w:r>
        <w:t>NST 6.1: enhanced background investigations “as directed by DCSA, at Saxonbrook’s expense”, for directors, officers and employees who “have or will have access” to Classified Information or Export-Controlled Technical Data.</w:t>
      </w:r>
    </w:p>
    <w:p>
      <w:pPr>
        <w:spacing w:after="60"/>
        <w:ind w:left="432"/>
      </w:pPr>
      <w:r>
        <w:rPr>
          <w:b/>
        </w:rPr>
        <w:t xml:space="preserve">Draft v3.2: </w:t>
      </w:r>
      <w:r>
        <w:t>§ 7.1: conducted “by or at the direction of the Government Security Director”. Covers only those who “have access to Classified Programs or Classified Information”. No reference to cost.</w:t>
      </w:r>
    </w:p>
    <w:p>
      <w:pPr>
        <w:spacing w:after="60"/>
        <w:ind w:left="432"/>
      </w:pPr>
      <w:r>
        <w:rPr>
          <w:b/>
        </w:rPr>
        <w:t xml:space="preserve">Analysis: </w:t>
      </w:r>
      <w:r>
        <w:t>The draft changes who directs the investigations, leaves out export-controlled access and future access, and is silent on cost.</w:t>
      </w:r>
    </w:p>
    <w:p>
      <w:pPr>
        <w:spacing w:after="60"/>
        <w:ind w:left="432"/>
      </w:pPr>
      <w:r>
        <w:rPr>
          <w:b/>
        </w:rPr>
        <w:t xml:space="preserve">Recommended fix: </w:t>
      </w:r>
      <w:r>
        <w:t>Conform to NST 6.1.</w:t>
      </w:r>
    </w:p>
    <w:p>
      <w:pPr>
        <w:spacing w:before="120" w:after="60"/>
      </w:pPr>
      <w:r>
        <w:rPr>
          <w:b/>
        </w:rPr>
        <w:t xml:space="preserve">Gap 6-C — No pre-duty vetting of new hires/transferees </w:t>
      </w:r>
      <w:r>
        <w:rPr>
          <w:b/>
          <w:color w:val="7F6000"/>
        </w:rPr>
        <w:t>[Medium]</w:t>
      </w:r>
    </w:p>
    <w:p>
      <w:pPr>
        <w:spacing w:after="60"/>
        <w:ind w:left="432"/>
      </w:pPr>
      <w:r>
        <w:rPr>
          <w:b/>
        </w:rPr>
        <w:t xml:space="preserve">NST: </w:t>
      </w:r>
      <w:r>
        <w:t>NST 6.3: new hires and transferees must be vetted and cleared before beginning classified or export-controlled duties.</w:t>
      </w:r>
    </w:p>
    <w:p>
      <w:pPr>
        <w:spacing w:after="60"/>
        <w:ind w:left="432"/>
      </w:pPr>
      <w:r>
        <w:rPr>
          <w:b/>
        </w:rPr>
        <w:t xml:space="preserve">Draft v3.2: </w:t>
      </w:r>
      <w:r>
        <w:t>None.</w:t>
      </w:r>
    </w:p>
    <w:p>
      <w:pPr>
        <w:spacing w:after="60"/>
        <w:ind w:left="432"/>
      </w:pPr>
      <w:r>
        <w:rPr>
          <w:b/>
        </w:rPr>
        <w:t xml:space="preserve">Analysis: </w:t>
      </w:r>
      <w:r>
        <w:t>The requirement is omitted.</w:t>
      </w:r>
    </w:p>
    <w:p>
      <w:pPr>
        <w:spacing w:after="60"/>
        <w:ind w:left="432"/>
      </w:pPr>
      <w:r>
        <w:rPr>
          <w:b/>
        </w:rPr>
        <w:t xml:space="preserve">Recommended fix: </w:t>
      </w:r>
      <w:r>
        <w:t>Add NST 6.3.</w:t>
      </w:r>
    </w:p>
    <w:p>
      <w:pPr>
        <w:spacing w:before="120" w:after="60"/>
      </w:pPr>
      <w:r>
        <w:rPr>
          <w:b/>
        </w:rPr>
        <w:t xml:space="preserve">Gap 6-D — No clearance roster obligation </w:t>
      </w:r>
      <w:r>
        <w:rPr>
          <w:b/>
          <w:color w:val="38761D"/>
        </w:rPr>
        <w:t>[Low]</w:t>
      </w:r>
    </w:p>
    <w:p>
      <w:pPr>
        <w:spacing w:after="60"/>
        <w:ind w:left="432"/>
      </w:pPr>
      <w:r>
        <w:rPr>
          <w:b/>
        </w:rPr>
        <w:t xml:space="preserve">NST: </w:t>
      </w:r>
      <w:r>
        <w:t>NST 6.4: a current roster (clearance level, date of issuance, program access), provided to DCSA and CFIUS on request.</w:t>
      </w:r>
    </w:p>
    <w:p>
      <w:pPr>
        <w:spacing w:after="60"/>
        <w:ind w:left="432"/>
      </w:pPr>
      <w:r>
        <w:rPr>
          <w:b/>
        </w:rPr>
        <w:t xml:space="preserve">Draft v3.2: </w:t>
      </w:r>
      <w:r>
        <w:t>§ 7.4 states the clearance population and requires adverse-action reporting. There is no roster.</w:t>
      </w:r>
    </w:p>
    <w:p>
      <w:pPr>
        <w:spacing w:after="60"/>
        <w:ind w:left="432"/>
      </w:pPr>
      <w:r>
        <w:rPr>
          <w:b/>
        </w:rPr>
        <w:t xml:space="preserve">Analysis: </w:t>
      </w:r>
      <w:r>
        <w:t>The requirement is omitted.</w:t>
      </w:r>
    </w:p>
    <w:p>
      <w:pPr>
        <w:spacing w:after="60"/>
        <w:ind w:left="432"/>
      </w:pPr>
      <w:r>
        <w:rPr>
          <w:b/>
        </w:rPr>
        <w:t xml:space="preserve">Recommended fix: </w:t>
      </w:r>
      <w:r>
        <w:t>Add NST 6.4.</w:t>
      </w:r>
    </w:p>
    <w:p>
      <w:pPr>
        <w:pStyle w:val="Heading2"/>
      </w:pPr>
      <w:r>
        <w:t>Requirement 7 — Technology Control Plan</w:t>
      </w:r>
    </w:p>
    <w:p>
      <w:pPr>
        <w:spacing w:after="80"/>
      </w:pPr>
      <w:r>
        <w:rPr>
          <w:b/>
        </w:rPr>
        <w:t xml:space="preserve">Overall status: </w:t>
      </w:r>
      <w:r>
        <w:t xml:space="preserve">Partially compliant   </w:t>
      </w:r>
      <w:r>
        <w:rPr>
          <w:b/>
        </w:rPr>
        <w:t xml:space="preserve">Overall risk: </w:t>
      </w:r>
      <w:r>
        <w:t>High</w:t>
      </w:r>
    </w:p>
    <w:p>
      <w:pPr>
        <w:spacing w:before="120" w:after="60"/>
      </w:pPr>
      <w:r>
        <w:rPr>
          <w:b/>
        </w:rPr>
        <w:t xml:space="preserve">Gap 7-A — Deadline measured from wrong trigger and wrong period </w:t>
      </w:r>
      <w:r>
        <w:rPr>
          <w:b/>
          <w:color w:val="C55A11"/>
        </w:rPr>
        <w:t>[High]</w:t>
      </w:r>
    </w:p>
    <w:p>
      <w:pPr>
        <w:spacing w:after="60"/>
        <w:ind w:left="432"/>
      </w:pPr>
      <w:r>
        <w:rPr>
          <w:b/>
        </w:rPr>
        <w:t xml:space="preserve">NST: </w:t>
      </w:r>
      <w:r>
        <w:t>NST 7.2: the TCP is developed within 60 days of the Closing Date and submitted to DCSA for review and approval.</w:t>
      </w:r>
    </w:p>
    <w:p>
      <w:pPr>
        <w:spacing w:after="60"/>
        <w:ind w:left="432"/>
      </w:pPr>
      <w:r>
        <w:rPr>
          <w:b/>
        </w:rPr>
        <w:t xml:space="preserve">Draft v3.2: </w:t>
      </w:r>
      <w:r>
        <w:t>§ 9.4: submitted to DCSA “within ninety (90) days of the Effective Date”, where the Effective Date is CFIUS clearance (§ 1.1).</w:t>
      </w:r>
    </w:p>
    <w:p>
      <w:pPr>
        <w:spacing w:after="60"/>
        <w:ind w:left="432"/>
      </w:pPr>
      <w:r>
        <w:rPr>
          <w:b/>
        </w:rPr>
        <w:t xml:space="preserve">Analysis: </w:t>
      </w:r>
      <w:r>
        <w:t>On the current timetable (clearance about May 15; Closing June 30), v3.2 produces August 13, 2025, which is earlier than the NST date of August 29, 2025 (also shown in the Security Profile). The two clocks diverge whenever clearance and Closing are less than 30 days apart. In the limiting case (clearance and Closing on the same day), v3.2 would allow 90 days against the NST’s 60. CFIUS will expect its own formulation. The NST metric is 60 days from Closing in four of five precedents.</w:t>
      </w:r>
    </w:p>
    <w:p>
      <w:pPr>
        <w:spacing w:after="60"/>
        <w:ind w:left="432"/>
      </w:pPr>
      <w:r>
        <w:rPr>
          <w:b/>
        </w:rPr>
        <w:t xml:space="preserve">Recommended fix: </w:t>
      </w:r>
      <w:r>
        <w:t>“within the earlier of sixty (60) days after the Closing Date or ninety (90) days after the Effective Date”, or simply track NST 7.2. Begin drafting the TCP now, because the Security Profile already identifies the engineering-network issue.</w:t>
      </w:r>
    </w:p>
    <w:p>
      <w:pPr>
        <w:spacing w:before="120" w:after="60"/>
      </w:pPr>
      <w:r>
        <w:rPr>
          <w:b/>
        </w:rPr>
        <w:t xml:space="preserve">Gap 7-B — Required contents missing </w:t>
      </w:r>
      <w:r>
        <w:rPr>
          <w:b/>
          <w:color w:val="7F6000"/>
        </w:rPr>
        <w:t>[Medium]</w:t>
      </w:r>
    </w:p>
    <w:p>
      <w:pPr>
        <w:spacing w:after="60"/>
        <w:ind w:left="432"/>
      </w:pPr>
      <w:r>
        <w:rPr>
          <w:b/>
        </w:rPr>
        <w:t xml:space="preserve">NST: </w:t>
      </w:r>
      <w:r>
        <w:t>NST 7.3(a)–(g): includes (c) insider threat detection, (d) visitor access procedures (escorted and unescorted), (e) handling, storage, transmission, reproduction and destruction of ITAR- and EAR-controlled materials, and (g) security incident reporting procedures.</w:t>
      </w:r>
    </w:p>
    <w:p>
      <w:pPr>
        <w:spacing w:after="60"/>
        <w:ind w:left="432"/>
      </w:pPr>
      <w:r>
        <w:rPr>
          <w:b/>
        </w:rPr>
        <w:t xml:space="preserve">Draft v3.2: </w:t>
      </w:r>
      <w:r>
        <w:t>§ 9.5(a)–(g): classified-material handling, electronic and physical security, personnel protocols, training, incident response, and audit. No insider-threat component, no visitor procedures, and no detailed ITAR/EAR handling (§ 9.4 refers generally to “handling of export-controlled materials”).</w:t>
      </w:r>
    </w:p>
    <w:p>
      <w:pPr>
        <w:spacing w:after="60"/>
        <w:ind w:left="432"/>
      </w:pPr>
      <w:r>
        <w:rPr>
          <w:b/>
        </w:rPr>
        <w:t xml:space="preserve">Analysis: </w:t>
      </w:r>
      <w:r>
        <w:t>Several NST content items are missing.</w:t>
      </w:r>
    </w:p>
    <w:p>
      <w:pPr>
        <w:spacing w:after="60"/>
        <w:ind w:left="432"/>
      </w:pPr>
      <w:r>
        <w:rPr>
          <w:b/>
        </w:rPr>
        <w:t xml:space="preserve">Recommended fix: </w:t>
      </w:r>
      <w:r>
        <w:t>Insert NST 7.3(a)–(g) as the minimum content. Keep v3.2’s additional training and audit items.</w:t>
      </w:r>
    </w:p>
    <w:p>
      <w:pPr>
        <w:spacing w:before="120" w:after="60"/>
      </w:pPr>
      <w:r>
        <w:rPr>
          <w:b/>
        </w:rPr>
        <w:t xml:space="preserve">Gap 7-C — No annual update; GSD responsibility </w:t>
      </w:r>
      <w:r>
        <w:rPr>
          <w:b/>
          <w:color w:val="7F6000"/>
        </w:rPr>
        <w:t>[Medium]</w:t>
      </w:r>
    </w:p>
    <w:p>
      <w:pPr>
        <w:spacing w:after="60"/>
        <w:ind w:left="432"/>
      </w:pPr>
      <w:r>
        <w:rPr>
          <w:b/>
        </w:rPr>
        <w:t xml:space="preserve">NST: </w:t>
      </w:r>
      <w:r>
        <w:t>NST 7.4: reviewed and updated at least annually, or more often as DCSA or CFIUS requires or circumstances warrant. NST 7.5: the GSD is responsible for developing, implementing and enforcing the TCP.</w:t>
      </w:r>
    </w:p>
    <w:p>
      <w:pPr>
        <w:spacing w:after="60"/>
        <w:ind w:left="432"/>
      </w:pPr>
      <w:r>
        <w:rPr>
          <w:b/>
        </w:rPr>
        <w:t xml:space="preserve">Draft v3.2: </w:t>
      </w:r>
      <w:r>
        <w:t>§ 9.4: “periodic review and update as necessary”. § 5.2(a): the GSD oversees compliance with the TCP.</w:t>
      </w:r>
    </w:p>
    <w:p>
      <w:pPr>
        <w:spacing w:after="60"/>
        <w:ind w:left="432"/>
      </w:pPr>
      <w:r>
        <w:rPr>
          <w:b/>
        </w:rPr>
        <w:t xml:space="preserve">Analysis: </w:t>
      </w:r>
      <w:r>
        <w:t>The draft has no minimum review frequency, and the GSD is not made responsible for developing the TCP.</w:t>
      </w:r>
    </w:p>
    <w:p>
      <w:pPr>
        <w:spacing w:after="60"/>
        <w:ind w:left="432"/>
      </w:pPr>
      <w:r>
        <w:rPr>
          <w:b/>
        </w:rPr>
        <w:t xml:space="preserve">Recommended fix: </w:t>
      </w:r>
      <w:r>
        <w:t>Add an annual minimum review, triggers for event-driven updates, and NST 7.5.</w:t>
      </w:r>
    </w:p>
    <w:p>
      <w:pPr>
        <w:pStyle w:val="Heading2"/>
      </w:pPr>
      <w:r>
        <w:t>Requirement 8 — Third-Party Monitor</w:t>
      </w:r>
    </w:p>
    <w:p>
      <w:pPr>
        <w:spacing w:after="80"/>
      </w:pPr>
      <w:r>
        <w:rPr>
          <w:b/>
        </w:rPr>
        <w:t xml:space="preserve">Overall status: </w:t>
      </w:r>
      <w:r>
        <w:t xml:space="preserve">Non-compliant   </w:t>
      </w:r>
      <w:r>
        <w:rPr>
          <w:b/>
        </w:rPr>
        <w:t xml:space="preserve">Overall risk: </w:t>
      </w:r>
      <w:r>
        <w:t>High</w:t>
      </w:r>
    </w:p>
    <w:p>
      <w:pPr>
        <w:spacing w:before="120" w:after="60"/>
      </w:pPr>
      <w:r>
        <w:rPr>
          <w:b/>
        </w:rPr>
        <w:t xml:space="preserve">Gap 8-A — Annual rather than semiannual audits </w:t>
      </w:r>
      <w:r>
        <w:rPr>
          <w:b/>
          <w:color w:val="C55A11"/>
        </w:rPr>
        <w:t>[High]</w:t>
      </w:r>
    </w:p>
    <w:p>
      <w:pPr>
        <w:spacing w:after="60"/>
        <w:ind w:left="432"/>
      </w:pPr>
      <w:r>
        <w:rPr>
          <w:b/>
        </w:rPr>
        <w:t xml:space="preserve">NST: </w:t>
      </w:r>
      <w:r>
        <w:t>NST 8.3: semiannual compliance audits (every six months).</w:t>
      </w:r>
    </w:p>
    <w:p>
      <w:pPr>
        <w:spacing w:after="60"/>
        <w:ind w:left="432"/>
      </w:pPr>
      <w:r>
        <w:rPr>
          <w:b/>
        </w:rPr>
        <w:t xml:space="preserve">Draft v3.2: </w:t>
      </w:r>
      <w:r>
        <w:t>§ 12.1 and Ex. D ¶ V: annual audits. The first audit is due within 12 months of Closing.</w:t>
      </w:r>
    </w:p>
    <w:p>
      <w:pPr>
        <w:spacing w:after="60"/>
        <w:ind w:left="432"/>
      </w:pPr>
      <w:r>
        <w:rPr>
          <w:b/>
        </w:rPr>
        <w:t xml:space="preserve">Analysis: </w:t>
      </w:r>
      <w:r>
        <w:t>The draft halves the required frequency, and the first audit could come almost a year after Closing. Four of five precedents are semiannual; only Precedent E (2024, Australia) is annual. Meridian is likely to cite Precedent E, but the NST’s express term controls.</w:t>
      </w:r>
    </w:p>
    <w:p>
      <w:pPr>
        <w:spacing w:after="60"/>
        <w:ind w:left="432"/>
      </w:pPr>
      <w:r>
        <w:rPr>
          <w:b/>
        </w:rPr>
        <w:t xml:space="preserve">Recommended fix: </w:t>
      </w:r>
      <w:r>
        <w:t>Require audits every six months, the first within six months of Closing. The cost effect (Pinnacle’s $475,000 fee, payable by Saxonbrook) should be repriced with Pinnacle now.</w:t>
      </w:r>
    </w:p>
    <w:p>
      <w:pPr>
        <w:spacing w:before="120" w:after="60"/>
      </w:pPr>
      <w:r>
        <w:rPr>
          <w:b/>
        </w:rPr>
        <w:t xml:space="preserve">Gap 8-B — No report delivery deadline </w:t>
      </w:r>
      <w:r>
        <w:rPr>
          <w:b/>
          <w:color w:val="C55A11"/>
        </w:rPr>
        <w:t>[High]</w:t>
      </w:r>
    </w:p>
    <w:p>
      <w:pPr>
        <w:spacing w:after="60"/>
        <w:ind w:left="432"/>
      </w:pPr>
      <w:r>
        <w:rPr>
          <w:b/>
        </w:rPr>
        <w:t xml:space="preserve">NST: </w:t>
      </w:r>
      <w:r>
        <w:t>NST 8.4: written reports to CFIUS within 30 days of completion of each audit.</w:t>
      </w:r>
    </w:p>
    <w:p>
      <w:pPr>
        <w:spacing w:after="60"/>
        <w:ind w:left="432"/>
      </w:pPr>
      <w:r>
        <w:rPr>
          <w:b/>
        </w:rPr>
        <w:t xml:space="preserve">Draft v3.2: </w:t>
      </w:r>
      <w:r>
        <w:t>§ 12.2 and Ex. D ¶ VI: reports to the Security Committee and CFIUS, with no deadline.</w:t>
      </w:r>
    </w:p>
    <w:p>
      <w:pPr>
        <w:spacing w:after="60"/>
        <w:ind w:left="432"/>
      </w:pPr>
      <w:r>
        <w:rPr>
          <w:b/>
        </w:rPr>
        <w:t xml:space="preserve">Analysis: </w:t>
      </w:r>
      <w:r>
        <w:t>The draft contains no deadline at all. All precedents set 30 days, except Precedent D (21 days).</w:t>
      </w:r>
    </w:p>
    <w:p>
      <w:pPr>
        <w:spacing w:after="60"/>
        <w:ind w:left="432"/>
      </w:pPr>
      <w:r>
        <w:rPr>
          <w:b/>
        </w:rPr>
        <w:t xml:space="preserve">Recommended fix: </w:t>
      </w:r>
      <w:r>
        <w:t>Add “within thirty (30) days after completion of each audit”.</w:t>
      </w:r>
    </w:p>
    <w:p>
      <w:pPr>
        <w:spacing w:before="120" w:after="60"/>
      </w:pPr>
      <w:r>
        <w:rPr>
          <w:b/>
        </w:rPr>
        <w:t xml:space="preserve">Gap 8-C — No CFIUS approval of the Monitor; no CFIUS replacement right </w:t>
      </w:r>
      <w:r>
        <w:rPr>
          <w:b/>
          <w:color w:val="C55A11"/>
        </w:rPr>
        <w:t>[High]</w:t>
      </w:r>
    </w:p>
    <w:p>
      <w:pPr>
        <w:spacing w:after="60"/>
        <w:ind w:left="432"/>
      </w:pPr>
      <w:r>
        <w:rPr>
          <w:b/>
        </w:rPr>
        <w:t xml:space="preserve">NST: </w:t>
      </w:r>
      <w:r>
        <w:t>NST 8.1: the Monitor must be approved by CFIUS. NST 8.7: CFIUS may require replacement at any time, and the parties must engage a CFIUS-approved successor within 30 days. NST § VII: naming Pinnacle does not constitute approval.</w:t>
      </w:r>
    </w:p>
    <w:p>
      <w:pPr>
        <w:spacing w:after="60"/>
        <w:ind w:left="432"/>
      </w:pPr>
      <w:r>
        <w:rPr>
          <w:b/>
        </w:rPr>
        <w:t xml:space="preserve">Draft v3.2: </w:t>
      </w:r>
      <w:r>
        <w:t>§ 1.1 defines the Monitor as Pinnacle. No provision conditions the appointment on CFIUS approval or gives CFIUS a replacement right. Our matrix states that § 12.4 requires CFIUS approval; § 12.4 is the fee clause.</w:t>
      </w:r>
    </w:p>
    <w:p>
      <w:pPr>
        <w:spacing w:after="60"/>
        <w:ind w:left="432"/>
      </w:pPr>
      <w:r>
        <w:rPr>
          <w:b/>
        </w:rPr>
        <w:t xml:space="preserve">Analysis: </w:t>
      </w:r>
      <w:r>
        <w:t>The NST approval and replacement mechanism is missing.</w:t>
      </w:r>
    </w:p>
    <w:p>
      <w:pPr>
        <w:spacing w:after="60"/>
        <w:ind w:left="432"/>
      </w:pPr>
      <w:r>
        <w:rPr>
          <w:b/>
        </w:rPr>
        <w:t xml:space="preserve">Recommended fix: </w:t>
      </w:r>
      <w:r>
        <w:t>Add CFIUS written approval as a condition precedent, the NST 8.7 replacement right, and a 30-day successor obligation.</w:t>
      </w:r>
    </w:p>
    <w:p>
      <w:pPr>
        <w:spacing w:before="120" w:after="60"/>
      </w:pPr>
      <w:r>
        <w:rPr>
          <w:b/>
        </w:rPr>
        <w:t xml:space="preserve">Gap 8-D — Independence qualifiers; fee set by Saxonbrook and Monitor </w:t>
      </w:r>
      <w:r>
        <w:rPr>
          <w:b/>
          <w:color w:val="7F6000"/>
        </w:rPr>
        <w:t>[Medium]</w:t>
      </w:r>
    </w:p>
    <w:p>
      <w:pPr>
        <w:spacing w:after="60"/>
        <w:ind w:left="432"/>
      </w:pPr>
      <w:r>
        <w:rPr>
          <w:b/>
        </w:rPr>
        <w:t xml:space="preserve">NST: </w:t>
      </w:r>
      <w:r>
        <w:t>NST 8.2: no affiliation, financial interest or business relationship with either Saxonbrook or Meridian or their affiliates.</w:t>
      </w:r>
    </w:p>
    <w:p>
      <w:pPr>
        <w:spacing w:after="60"/>
        <w:ind w:left="432"/>
      </w:pPr>
      <w:r>
        <w:rPr>
          <w:b/>
        </w:rPr>
        <w:t xml:space="preserve">Draft v3.2: </w:t>
      </w:r>
      <w:r>
        <w:t>§ 3.4(c): no “material” financial interest or business relationship. Ex. D ¶ VII is similar. § 12.4: the fee is “adjusted by mutual agreement of Saxonbrook and the Third-Party Monitor.”</w:t>
      </w:r>
    </w:p>
    <w:p>
      <w:pPr>
        <w:spacing w:after="60"/>
        <w:ind w:left="432"/>
      </w:pPr>
      <w:r>
        <w:rPr>
          <w:b/>
        </w:rPr>
        <w:t xml:space="preserve">Analysis: </w:t>
      </w:r>
      <w:r>
        <w:t>The materiality qualifier weakens the NST test. Annual fee negotiations between the Monitor and the audited company create a structural incentive that CFIUS may question. Cost allocation itself is left to the parties (NST 8.6), so payment by Saxonbrook is permissible.</w:t>
      </w:r>
    </w:p>
    <w:p>
      <w:pPr>
        <w:spacing w:after="60"/>
        <w:ind w:left="432"/>
      </w:pPr>
      <w:r>
        <w:rPr>
          <w:b/>
        </w:rPr>
        <w:t xml:space="preserve">Recommended fix: </w:t>
      </w:r>
      <w:r>
        <w:t>Delete “material”. Provide that fee adjustments are approved by the Security Committee and disclosed to CFIUS, and that fees may not be reduced while an audit is open.</w:t>
      </w:r>
    </w:p>
    <w:p>
      <w:pPr>
        <w:spacing w:before="120" w:after="60"/>
      </w:pPr>
      <w:r>
        <w:rPr>
          <w:b/>
        </w:rPr>
        <w:t xml:space="preserve">Gap 8-E — Audit scope and report contents incomplete; GSD not copied </w:t>
      </w:r>
      <w:r>
        <w:rPr>
          <w:b/>
          <w:color w:val="7F6000"/>
        </w:rPr>
        <w:t>[Medium]</w:t>
      </w:r>
    </w:p>
    <w:p>
      <w:pPr>
        <w:spacing w:after="60"/>
        <w:ind w:left="432"/>
      </w:pPr>
      <w:r>
        <w:rPr>
          <w:b/>
        </w:rPr>
        <w:t xml:space="preserve">NST: </w:t>
      </w:r>
      <w:r>
        <w:t>NST 8.3 scope includes “the GSD’s activities and independence” and “subcontracting compliance”. NST 8.4(a)–(e) report contents include scope and methodology and an assessment of overall effectiveness. NST 8.5: copies go to the Security Committee and the GSD at the same time as to CFIUS.</w:t>
      </w:r>
    </w:p>
    <w:p>
      <w:pPr>
        <w:spacing w:after="60"/>
        <w:ind w:left="432"/>
      </w:pPr>
      <w:r>
        <w:rPr>
          <w:b/>
        </w:rPr>
        <w:t xml:space="preserve">Draft v3.2: </w:t>
      </w:r>
      <w:r>
        <w:t>§ 12.1 and Ex. D ¶ III omit GSD independence and subcontracting. The report contents do not expressly require scope and methodology. § 12.2 sends copies to the Security Committee and CFIUS only.</w:t>
      </w:r>
    </w:p>
    <w:p>
      <w:pPr>
        <w:spacing w:after="60"/>
        <w:ind w:left="432"/>
      </w:pPr>
      <w:r>
        <w:rPr>
          <w:b/>
        </w:rPr>
        <w:t xml:space="preserve">Analysis: </w:t>
      </w:r>
      <w:r>
        <w:t>Several NST scope, content and distribution items are missing.</w:t>
      </w:r>
    </w:p>
    <w:p>
      <w:pPr>
        <w:spacing w:after="60"/>
        <w:ind w:left="432"/>
      </w:pPr>
      <w:r>
        <w:rPr>
          <w:b/>
        </w:rPr>
        <w:t xml:space="preserve">Recommended fix: </w:t>
      </w:r>
      <w:r>
        <w:t>Add the missing scope items and NST 8.4(a)–(e) contents, and distribute copies at the same time to CFIUS, the Security Committee and the GSD. Keep v3.2’s compliance ratings and trend comparison, which exceed the NST.</w:t>
      </w:r>
    </w:p>
    <w:p>
      <w:pPr>
        <w:pStyle w:val="Heading2"/>
      </w:pPr>
      <w:r>
        <w:t>Requirement 9 — Annual Compliance Report</w:t>
      </w:r>
    </w:p>
    <w:p>
      <w:pPr>
        <w:spacing w:after="80"/>
      </w:pPr>
      <w:r>
        <w:rPr>
          <w:b/>
        </w:rPr>
        <w:t xml:space="preserve">Overall status: </w:t>
      </w:r>
      <w:r>
        <w:t xml:space="preserve">Non-compliant   </w:t>
      </w:r>
      <w:r>
        <w:rPr>
          <w:b/>
        </w:rPr>
        <w:t xml:space="preserve">Overall risk: </w:t>
      </w:r>
      <w:r>
        <w:t>High</w:t>
      </w:r>
    </w:p>
    <w:p>
      <w:pPr>
        <w:spacing w:before="120" w:after="60"/>
      </w:pPr>
      <w:r>
        <w:rPr>
          <w:b/>
        </w:rPr>
        <w:t xml:space="preserve">Gap 9-A — Deadline extendable by the Monitor </w:t>
      </w:r>
      <w:r>
        <w:rPr>
          <w:b/>
          <w:color w:val="C55A11"/>
        </w:rPr>
        <w:t>[High]</w:t>
      </w:r>
    </w:p>
    <w:p>
      <w:pPr>
        <w:spacing w:after="60"/>
        <w:ind w:left="432"/>
      </w:pPr>
      <w:r>
        <w:rPr>
          <w:b/>
        </w:rPr>
        <w:t xml:space="preserve">NST: </w:t>
      </w:r>
      <w:r>
        <w:t>NST 9.2: no later than March 31 each year. The date is fixed and may not be extended “by the parties, the Third-Party Monitor, or any other person” without CFIUS’s prior written approval.</w:t>
      </w:r>
    </w:p>
    <w:p>
      <w:pPr>
        <w:spacing w:after="60"/>
        <w:ind w:left="432"/>
      </w:pPr>
      <w:r>
        <w:rPr>
          <w:b/>
        </w:rPr>
        <w:t xml:space="preserve">Draft v3.2: </w:t>
      </w:r>
      <w:r>
        <w:t>§ 12.3 and Ex. E: “within ninety (90) days following the end of each calendar year, or such later date as agreed by the Third-Party Monitor.”</w:t>
      </w:r>
    </w:p>
    <w:p>
      <w:pPr>
        <w:spacing w:after="60"/>
        <w:ind w:left="432"/>
      </w:pPr>
      <w:r>
        <w:rPr>
          <w:b/>
        </w:rPr>
        <w:t xml:space="preserve">Analysis: </w:t>
      </w:r>
      <w:r>
        <w:t>The extension mechanism is expressly prohibited. Separately, 90 days does not always equal March 31: in leap years (e.g., 2028) it falls on March 30. It is better to use the NST date. All five precedents use a fixed March 31.</w:t>
      </w:r>
    </w:p>
    <w:p>
      <w:pPr>
        <w:spacing w:after="60"/>
        <w:ind w:left="432"/>
      </w:pPr>
      <w:r>
        <w:rPr>
          <w:b/>
        </w:rPr>
        <w:t xml:space="preserve">Recommended fix: </w:t>
      </w:r>
      <w:r>
        <w:t>“no later than March 31 of each year; this deadline may not be extended except with the prior written approval of CFIUS.”</w:t>
      </w:r>
    </w:p>
    <w:p>
      <w:pPr>
        <w:spacing w:before="120" w:after="60"/>
      </w:pPr>
      <w:r>
        <w:rPr>
          <w:b/>
        </w:rPr>
        <w:t xml:space="preserve">Gap 9-B — Certifications and signatories wrong </w:t>
      </w:r>
      <w:r>
        <w:rPr>
          <w:b/>
          <w:color w:val="C55A11"/>
        </w:rPr>
        <w:t>[High]</w:t>
      </w:r>
    </w:p>
    <w:p>
      <w:pPr>
        <w:spacing w:after="60"/>
        <w:ind w:left="432"/>
      </w:pPr>
      <w:r>
        <w:rPr>
          <w:b/>
        </w:rPr>
        <w:t xml:space="preserve">NST: </w:t>
      </w:r>
      <w:r>
        <w:t>NST 9.3(a): a certification by the GSD and the Chair of the Security Committee of material compliance with the Mitigation Agreement. NST 9.4: signed by the CEO and the GSD, certifying accuracy and completeness.</w:t>
      </w:r>
    </w:p>
    <w:p>
      <w:pPr>
        <w:spacing w:after="60"/>
        <w:ind w:left="432"/>
      </w:pPr>
      <w:r>
        <w:rPr>
          <w:b/>
        </w:rPr>
        <w:t xml:space="preserve">Draft v3.2: </w:t>
      </w:r>
      <w:r>
        <w:t>§ 12.3(b): a GSD certification limited to TCP compliance. § 12.3(f): a certification by the CEO and General Counsel. Ex. E signature blocks: CEO and GSD.</w:t>
      </w:r>
    </w:p>
    <w:p>
      <w:pPr>
        <w:spacing w:after="60"/>
        <w:ind w:left="432"/>
      </w:pPr>
      <w:r>
        <w:rPr>
          <w:b/>
        </w:rPr>
        <w:t xml:space="preserve">Analysis: </w:t>
      </w:r>
      <w:r>
        <w:t>The scope of certification is narrower than the NST requires. The Security Committee Chair is omitted. § 12.3(f) is internally inconsistent with Exhibit E.</w:t>
      </w:r>
    </w:p>
    <w:p>
      <w:pPr>
        <w:spacing w:after="60"/>
        <w:ind w:left="432"/>
      </w:pPr>
      <w:r>
        <w:rPr>
          <w:b/>
        </w:rPr>
        <w:t xml:space="preserve">Recommended fix: </w:t>
      </w:r>
      <w:r>
        <w:t>Conform to NST 9.3(a) and 9.4, and conform Exhibit E. The General Counsel may be added as an additional signatory.</w:t>
      </w:r>
    </w:p>
    <w:p>
      <w:pPr>
        <w:spacing w:before="120" w:after="60"/>
      </w:pPr>
      <w:r>
        <w:rPr>
          <w:b/>
        </w:rPr>
        <w:t xml:space="preserve">Gap 9-C — Required contents missing </w:t>
      </w:r>
      <w:r>
        <w:rPr>
          <w:b/>
          <w:color w:val="7F6000"/>
        </w:rPr>
        <w:t>[Medium]</w:t>
      </w:r>
    </w:p>
    <w:p>
      <w:pPr>
        <w:spacing w:after="60"/>
        <w:ind w:left="432"/>
      </w:pPr>
      <w:r>
        <w:rPr>
          <w:b/>
        </w:rPr>
        <w:t xml:space="preserve">NST: </w:t>
      </w:r>
      <w:r>
        <w:t>NST 9.3(d): organizational chart (Board, Security Committee, GSD). NST 9.3(e): changes to classified contracts. NST 9.3(f): financial information on viability, including revenue for classified and unclassified operations. NST 9.3(g): other information CFIUS requests.</w:t>
      </w:r>
    </w:p>
    <w:p>
      <w:pPr>
        <w:spacing w:after="60"/>
        <w:ind w:left="432"/>
      </w:pPr>
      <w:r>
        <w:rPr>
          <w:b/>
        </w:rPr>
        <w:t xml:space="preserve">Draft v3.2: </w:t>
      </w:r>
      <w:r>
        <w:t>§ 12.3(a)–(f) omits the organizational chart and item (g). Financial content is limited to statements certified by Ashford &amp; Lyle “to the extent relevant to compliance costs”. Exhibit E covers contract status, but the body does not require it.</w:t>
      </w:r>
    </w:p>
    <w:p>
      <w:pPr>
        <w:spacing w:after="60"/>
        <w:ind w:left="432"/>
      </w:pPr>
      <w:r>
        <w:rPr>
          <w:b/>
        </w:rPr>
        <w:t xml:space="preserve">Analysis: </w:t>
      </w:r>
      <w:r>
        <w:t>CFIUS uses the viability financials to monitor dependence on classified revenue (64.3% of FY2024 revenue). Limiting financial content to compliance costs does not meet NST 9.3(f).</w:t>
      </w:r>
    </w:p>
    <w:p>
      <w:pPr>
        <w:spacing w:after="60"/>
        <w:ind w:left="432"/>
      </w:pPr>
      <w:r>
        <w:rPr>
          <w:b/>
        </w:rPr>
        <w:t xml:space="preserve">Recommended fix: </w:t>
      </w:r>
      <w:r>
        <w:t>Add NST 9.3(d)–(g) to § 12.3, and add organizational chart and viability-financials sections to Exhibit E.</w:t>
      </w:r>
    </w:p>
    <w:p>
      <w:pPr>
        <w:spacing w:before="120" w:after="60"/>
      </w:pPr>
      <w:r>
        <w:rPr>
          <w:b/>
        </w:rPr>
        <w:t xml:space="preserve">Gap 9-D — No stub-period first report </w:t>
      </w:r>
      <w:r>
        <w:rPr>
          <w:b/>
          <w:color w:val="38761D"/>
        </w:rPr>
        <w:t>[Low]</w:t>
      </w:r>
    </w:p>
    <w:p>
      <w:pPr>
        <w:spacing w:after="60"/>
        <w:ind w:left="432"/>
      </w:pPr>
      <w:r>
        <w:rPr>
          <w:b/>
        </w:rPr>
        <w:t xml:space="preserve">NST: </w:t>
      </w:r>
      <w:r>
        <w:t>NST 9.5: the first report covers the Closing Date through December 31 of the year of Closing.</w:t>
      </w:r>
    </w:p>
    <w:p>
      <w:pPr>
        <w:spacing w:after="60"/>
        <w:ind w:left="432"/>
      </w:pPr>
      <w:r>
        <w:rPr>
          <w:b/>
        </w:rPr>
        <w:t xml:space="preserve">Draft v3.2: </w:t>
      </w:r>
      <w:r>
        <w:t>Not addressed.</w:t>
      </w:r>
    </w:p>
    <w:p>
      <w:pPr>
        <w:spacing w:after="60"/>
        <w:ind w:left="432"/>
      </w:pPr>
      <w:r>
        <w:rPr>
          <w:b/>
        </w:rPr>
        <w:t xml:space="preserve">Analysis: </w:t>
      </w:r>
      <w:r>
        <w:t>On a June 30, 2025 Closing, the first report (covering July 1 to December 31, 2025) is due March 31, 2026.</w:t>
      </w:r>
    </w:p>
    <w:p>
      <w:pPr>
        <w:spacing w:after="60"/>
        <w:ind w:left="432"/>
      </w:pPr>
      <w:r>
        <w:rPr>
          <w:b/>
        </w:rPr>
        <w:t xml:space="preserve">Recommended fix: </w:t>
      </w:r>
      <w:r>
        <w:t>Add NST 9.5.</w:t>
      </w:r>
    </w:p>
    <w:p>
      <w:pPr>
        <w:pStyle w:val="Heading2"/>
      </w:pPr>
      <w:r>
        <w:t>Requirement 10 — Incident Reporting</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10-A — 72 hours from GSD determination rather than 24 hours from discovery </w:t>
      </w:r>
      <w:r>
        <w:rPr>
          <w:b/>
          <w:color w:val="C00000"/>
        </w:rPr>
        <w:t>[Critical]</w:t>
      </w:r>
    </w:p>
    <w:p>
      <w:pPr>
        <w:spacing w:after="60"/>
        <w:ind w:left="432"/>
      </w:pPr>
      <w:r>
        <w:rPr>
          <w:b/>
        </w:rPr>
        <w:t xml:space="preserve">NST: </w:t>
      </w:r>
      <w:r>
        <w:t>NST 10.1: report within 24 hours of discovery. NST 10.2: “discovery” occurs when any Saxonbrook employee, officer, director, agent, contractor or representative first becomes aware of facts reasonably indicating a breach, and the obligation “shall not be conditioned upon or delayed pending investigation, verification, or determination by the GSD.” NST 10.4: the clock “commences upon discovery by any Saxonbrook personnel” and does not depend on the GSD’s awareness.</w:t>
      </w:r>
    </w:p>
    <w:p>
      <w:pPr>
        <w:spacing w:after="60"/>
        <w:ind w:left="432"/>
      </w:pPr>
      <w:r>
        <w:rPr>
          <w:b/>
        </w:rPr>
        <w:t xml:space="preserve">Draft v3.2: </w:t>
      </w:r>
      <w:r>
        <w:t>§ 14.2: within 72 hours after the GSD “determines that a Reportable Incident has occurred.” The GSD makes that determination “as promptly as practicable”, and the clock runs only from the GSD’s “affirmative determination.”</w:t>
      </w:r>
    </w:p>
    <w:p>
      <w:pPr>
        <w:spacing w:after="60"/>
        <w:ind w:left="432"/>
      </w:pPr>
      <w:r>
        <w:rPr>
          <w:b/>
        </w:rPr>
        <w:t xml:space="preserve">Analysis: </w:t>
      </w:r>
      <w:r>
        <w:t>The draft triples the reporting window. It also makes the start of the clock open-ended and dependent on the GSD’s determination, which is the gatekeeping step the NST forbids. All five precedents use 24 hours from discovery. Kit Holloway’s view is that CFIUS has not, to our knowledge, accepted anything longer. Meridian’s concern about unverified “noise” is already answered by the NST: the initial report may be preliminary and limited to facts “to the extent known”, may be sent by e-mail (NST 10.3), and is followed by a detailed report. The obligation is therefore not “duplicative”; the NST itself requires it.</w:t>
      </w:r>
    </w:p>
    <w:p>
      <w:pPr>
        <w:spacing w:after="60"/>
        <w:ind w:left="432"/>
      </w:pPr>
      <w:r>
        <w:rPr>
          <w:b/>
        </w:rPr>
        <w:t xml:space="preserve">Recommended fix: </w:t>
      </w:r>
      <w:r>
        <w:t>Replace § 14.2 with NST 10.1–10.4: a preliminary written report (e-mail acceptable) to Dr. Keene within 24 hours of discovery by any Saxonbrook personnel, and a detailed follow-up within five business days. Jonathan’s proposed 72-hour supplemental report may be added as an intermediate update, but it cannot replace the 24-hour notice and must not lengthen the five-business-day follow-up. Add an internal duty requiring all personnel to escalate immediately to the GSD, and cover it in training under § 16.1(e).</w:t>
      </w:r>
    </w:p>
    <w:p>
      <w:pPr>
        <w:spacing w:before="120" w:after="60"/>
      </w:pPr>
      <w:r>
        <w:rPr>
          <w:b/>
        </w:rPr>
        <w:t xml:space="preserve">Gap 10-B — Follow-up report and contents </w:t>
      </w:r>
      <w:r>
        <w:rPr>
          <w:b/>
          <w:color w:val="7F6000"/>
        </w:rPr>
        <w:t>[Medium]</w:t>
      </w:r>
    </w:p>
    <w:p>
      <w:pPr>
        <w:spacing w:after="60"/>
        <w:ind w:left="432"/>
      </w:pPr>
      <w:r>
        <w:rPr>
          <w:b/>
        </w:rPr>
        <w:t xml:space="preserve">NST: </w:t>
      </w:r>
      <w:r>
        <w:t>NST 10.3: the initial report includes a preliminary description, the date and time of discovery and the persons involved. A detailed written follow-up is due within five business days.</w:t>
      </w:r>
    </w:p>
    <w:p>
      <w:pPr>
        <w:spacing w:after="60"/>
        <w:ind w:left="432"/>
      </w:pPr>
      <w:r>
        <w:rPr>
          <w:b/>
        </w:rPr>
        <w:t xml:space="preserve">Draft v3.2: </w:t>
      </w:r>
      <w:r>
        <w:t>§ 14.3 sets out a single, detailed report (contents (a)–(g)). There is no two-stage structure.</w:t>
      </w:r>
    </w:p>
    <w:p>
      <w:pPr>
        <w:spacing w:after="60"/>
        <w:ind w:left="432"/>
      </w:pPr>
      <w:r>
        <w:rPr>
          <w:b/>
        </w:rPr>
        <w:t xml:space="preserve">Analysis: </w:t>
      </w:r>
      <w:r>
        <w:t>§ 14.3’s content list is good, but it should apply to the follow-up report.</w:t>
      </w:r>
    </w:p>
    <w:p>
      <w:pPr>
        <w:spacing w:after="60"/>
        <w:ind w:left="432"/>
      </w:pPr>
      <w:r>
        <w:rPr>
          <w:b/>
        </w:rPr>
        <w:t xml:space="preserve">Recommended fix: </w:t>
      </w:r>
      <w:r>
        <w:t>Two-stage structure: initial report (NST 10.3 contents) and follow-up report (the § 14.3 contents).</w:t>
      </w:r>
    </w:p>
    <w:p>
      <w:pPr>
        <w:spacing w:before="120" w:after="60"/>
      </w:pPr>
      <w:r>
        <w:rPr>
          <w:b/>
        </w:rPr>
        <w:t xml:space="preserve">Gap 10-C — Parallel reporting incomplete; scope cross-check </w:t>
      </w:r>
      <w:r>
        <w:rPr>
          <w:b/>
          <w:color w:val="38761D"/>
        </w:rPr>
        <w:t>[Low]</w:t>
      </w:r>
    </w:p>
    <w:p>
      <w:pPr>
        <w:spacing w:after="60"/>
        <w:ind w:left="432"/>
      </w:pPr>
      <w:r>
        <w:rPr>
          <w:b/>
        </w:rPr>
        <w:t xml:space="preserve">NST: </w:t>
      </w:r>
      <w:r>
        <w:t>NST 10.5: parallel reporting to DCSA, the cognizant security agency, the relevant contracting officer and other U.S. Government agencies. NST 10.1 covers any actual or suspected breach, including unauthorized access to Export-Controlled Technical Data or Classified Spaces.</w:t>
      </w:r>
    </w:p>
    <w:p>
      <w:pPr>
        <w:spacing w:after="60"/>
        <w:ind w:left="432"/>
      </w:pPr>
      <w:r>
        <w:rPr>
          <w:b/>
        </w:rPr>
        <w:t xml:space="preserve">Draft v3.2: </w:t>
      </w:r>
      <w:r>
        <w:t>§ 14.2: DCSA “to the extent required by applicable NISPOM provisions”. § 14.1(a) covers only classified information and facilities.</w:t>
      </w:r>
    </w:p>
    <w:p>
      <w:pPr>
        <w:spacing w:after="60"/>
        <w:ind w:left="432"/>
      </w:pPr>
      <w:r>
        <w:rPr>
          <w:b/>
        </w:rPr>
        <w:t xml:space="preserve">Analysis: </w:t>
      </w:r>
      <w:r>
        <w:t>Contracting officers and other agencies (e.g., DDTC voluntary disclosures) are not referenced. § 14.1(a) should also cover access to export-controlled data, although § 14.1(c)–(d) catch most of it.</w:t>
      </w:r>
    </w:p>
    <w:p>
      <w:pPr>
        <w:spacing w:after="60"/>
        <w:ind w:left="432"/>
      </w:pPr>
      <w:r>
        <w:rPr>
          <w:b/>
        </w:rPr>
        <w:t xml:space="preserve">Recommended fix: </w:t>
      </w:r>
      <w:r>
        <w:t>Add NST 10.5, and extend § 14.1(a) to Export-Controlled Technical Data and Classified Spaces.</w:t>
      </w:r>
    </w:p>
    <w:p>
      <w:pPr>
        <w:pStyle w:val="Heading2"/>
      </w:pPr>
      <w:r>
        <w:t>Requirement 11 — Government Contracts Continuity</w:t>
      </w:r>
    </w:p>
    <w:p>
      <w:pPr>
        <w:spacing w:after="80"/>
      </w:pPr>
      <w:r>
        <w:rPr>
          <w:b/>
        </w:rPr>
        <w:t xml:space="preserve">Overall status: </w:t>
      </w:r>
      <w:r>
        <w:t xml:space="preserve">Non-compliant   </w:t>
      </w:r>
      <w:r>
        <w:rPr>
          <w:b/>
        </w:rPr>
        <w:t xml:space="preserve">Overall risk: </w:t>
      </w:r>
      <w:r>
        <w:t>High</w:t>
      </w:r>
    </w:p>
    <w:p>
      <w:pPr>
        <w:spacing w:before="120" w:after="60"/>
      </w:pPr>
      <w:r>
        <w:rPr>
          <w:b/>
        </w:rPr>
        <w:t xml:space="preserve">Gap 11-A — Notice period, recipient and triggers </w:t>
      </w:r>
      <w:r>
        <w:rPr>
          <w:b/>
          <w:color w:val="C55A11"/>
        </w:rPr>
        <w:t>[High]</w:t>
      </w:r>
    </w:p>
    <w:p>
      <w:pPr>
        <w:spacing w:after="60"/>
        <w:ind w:left="432"/>
      </w:pPr>
      <w:r>
        <w:rPr>
          <w:b/>
        </w:rPr>
        <w:t xml:space="preserve">NST: </w:t>
      </w:r>
      <w:r>
        <w:t>NST 11.2: 90 days’ prior written notice delivered directly to the CFIUS monitoring contact of any decision to terminate, not rebid, or materially reduce the scope of a classified contract, with detailed reasons, impact and continuity steps.</w:t>
      </w:r>
    </w:p>
    <w:p>
      <w:pPr>
        <w:spacing w:after="60"/>
        <w:ind w:left="432"/>
      </w:pPr>
      <w:r>
        <w:rPr>
          <w:b/>
        </w:rPr>
        <w:t xml:space="preserve">Draft v3.2: </w:t>
      </w:r>
      <w:r>
        <w:t>§ 10.2: 60 days’ notice to the Security Committee, which “shall promptly inform CFIUS”. The triggers are termination, non-renewal and non-rebid only.</w:t>
      </w:r>
    </w:p>
    <w:p>
      <w:pPr>
        <w:spacing w:after="60"/>
        <w:ind w:left="432"/>
      </w:pPr>
      <w:r>
        <w:rPr>
          <w:b/>
        </w:rPr>
        <w:t xml:space="preserve">Analysis: </w:t>
      </w:r>
      <w:r>
        <w:t>The draft shortens the period by 30 days and routes notice through an intermediary, so CFIUS could receive materially less than 60 days. Material reductions in scope are omitted. Four of five precedents use 90 days direct to CFIUS; only Precedent D used 60.</w:t>
      </w:r>
    </w:p>
    <w:p>
      <w:pPr>
        <w:spacing w:after="60"/>
        <w:ind w:left="432"/>
      </w:pPr>
      <w:r>
        <w:rPr>
          <w:b/>
        </w:rPr>
        <w:t xml:space="preserve">Recommended fix: </w:t>
      </w:r>
      <w:r>
        <w:t>Conform to NST 11.2: 90 days, direct to Dr. Keene, with a copy to the Security Committee, and include material scope reductions.</w:t>
      </w:r>
    </w:p>
    <w:p>
      <w:pPr>
        <w:spacing w:before="120" w:after="60"/>
      </w:pPr>
      <w:r>
        <w:rPr>
          <w:b/>
        </w:rPr>
        <w:t xml:space="preserve">Gap 11-B — No CFIUS direction right during notice period </w:t>
      </w:r>
      <w:r>
        <w:rPr>
          <w:b/>
          <w:color w:val="7F6000"/>
        </w:rPr>
        <w:t>[Medium]</w:t>
      </w:r>
    </w:p>
    <w:p>
      <w:pPr>
        <w:spacing w:after="60"/>
        <w:ind w:left="432"/>
      </w:pPr>
      <w:r>
        <w:rPr>
          <w:b/>
        </w:rPr>
        <w:t xml:space="preserve">NST: </w:t>
      </w:r>
      <w:r>
        <w:t>NST 11.3: during the notice period, CFIUS may consult the contracting agencies and direct the steps necessary for continuity of supply and protection of classified information.</w:t>
      </w:r>
    </w:p>
    <w:p>
      <w:pPr>
        <w:spacing w:after="60"/>
        <w:ind w:left="432"/>
      </w:pPr>
      <w:r>
        <w:rPr>
          <w:b/>
        </w:rPr>
        <w:t xml:space="preserve">Draft v3.2: </w:t>
      </w:r>
      <w:r>
        <w:t>None.</w:t>
      </w:r>
    </w:p>
    <w:p>
      <w:pPr>
        <w:spacing w:after="60"/>
        <w:ind w:left="432"/>
      </w:pPr>
      <w:r>
        <w:rPr>
          <w:b/>
        </w:rPr>
        <w:t xml:space="preserve">Analysis: </w:t>
      </w:r>
      <w:r>
        <w:t>The CFIUS direction right is omitted.</w:t>
      </w:r>
    </w:p>
    <w:p>
      <w:pPr>
        <w:spacing w:after="60"/>
        <w:ind w:left="432"/>
      </w:pPr>
      <w:r>
        <w:rPr>
          <w:b/>
        </w:rPr>
        <w:t xml:space="preserve">Recommended fix: </w:t>
      </w:r>
      <w:r>
        <w:t>Add NST 11.3.</w:t>
      </w:r>
    </w:p>
    <w:p>
      <w:pPr>
        <w:spacing w:before="120" w:after="60"/>
      </w:pPr>
      <w:r>
        <w:rPr>
          <w:b/>
        </w:rPr>
        <w:t xml:space="preserve">Gap 11-C — No obligation to rebid or to consult before declining </w:t>
      </w:r>
      <w:r>
        <w:rPr>
          <w:b/>
          <w:color w:val="C55A11"/>
        </w:rPr>
        <w:t>[High]</w:t>
      </w:r>
    </w:p>
    <w:p>
      <w:pPr>
        <w:spacing w:after="60"/>
        <w:ind w:left="432"/>
      </w:pPr>
      <w:r>
        <w:rPr>
          <w:b/>
        </w:rPr>
        <w:t xml:space="preserve">NST: </w:t>
      </w:r>
      <w:r>
        <w:t>NST 11.4: commercially reasonable efforts to rebid and retain classified contracts. NST 11.5: Saxonbrook must consult CFIUS before declining to rebid.</w:t>
      </w:r>
    </w:p>
    <w:p>
      <w:pPr>
        <w:spacing w:after="60"/>
        <w:ind w:left="432"/>
      </w:pPr>
      <w:r>
        <w:rPr>
          <w:b/>
        </w:rPr>
        <w:t xml:space="preserve">Draft v3.2: </w:t>
      </w:r>
      <w:r>
        <w:t>§ 10.1 requires commercially reasonable efforts to continue performance of existing contracts. There is no rebid covenant and no consultation duty. Our matrix states that § 10.1 contains an “affirmative obligation to pursue rebid”; it does not.</w:t>
      </w:r>
    </w:p>
    <w:p>
      <w:pPr>
        <w:spacing w:after="60"/>
        <w:ind w:left="432"/>
      </w:pPr>
      <w:r>
        <w:rPr>
          <w:b/>
        </w:rPr>
        <w:t xml:space="preserve">Analysis: </w:t>
      </w:r>
      <w:r>
        <w:t>Both NST obligations are omitted. On the current timetable this matters: all three programs ($312.0M) will in time come up for recompetition.</w:t>
      </w:r>
    </w:p>
    <w:p>
      <w:pPr>
        <w:spacing w:after="60"/>
        <w:ind w:left="432"/>
      </w:pPr>
      <w:r>
        <w:rPr>
          <w:b/>
        </w:rPr>
        <w:t xml:space="preserve">Recommended fix: </w:t>
      </w:r>
      <w:r>
        <w:t>Add NST 11.4 and 11.5. Make clear that the “commercially unreasonable terms” exception in NST 11.5 is available only after consultation with CFIUS.</w:t>
      </w:r>
    </w:p>
    <w:p>
      <w:pPr>
        <w:spacing w:before="120" w:after="60"/>
      </w:pPr>
      <w:r>
        <w:rPr>
          <w:b/>
        </w:rPr>
        <w:t xml:space="preserve">Gap 11-D — Absolute maintenance covenant qualified </w:t>
      </w:r>
      <w:r>
        <w:rPr>
          <w:b/>
          <w:color w:val="38761D"/>
        </w:rPr>
        <w:t>[Low]</w:t>
      </w:r>
    </w:p>
    <w:p>
      <w:pPr>
        <w:spacing w:after="60"/>
        <w:ind w:left="432"/>
      </w:pPr>
      <w:r>
        <w:rPr>
          <w:b/>
        </w:rPr>
        <w:t xml:space="preserve">NST: </w:t>
      </w:r>
      <w:r>
        <w:t>NST 11.1: maintain all existing classified contracts “without interruption”.</w:t>
      </w:r>
    </w:p>
    <w:p>
      <w:pPr>
        <w:spacing w:after="60"/>
        <w:ind w:left="432"/>
      </w:pPr>
      <w:r>
        <w:rPr>
          <w:b/>
        </w:rPr>
        <w:t xml:space="preserve">Draft v3.2: </w:t>
      </w:r>
      <w:r>
        <w:t>§ 10.1 states the covenant but adds “commercially reasonable efforts to continue performance”.</w:t>
      </w:r>
    </w:p>
    <w:p>
      <w:pPr>
        <w:spacing w:after="60"/>
        <w:ind w:left="432"/>
      </w:pPr>
      <w:r>
        <w:rPr>
          <w:b/>
        </w:rPr>
        <w:t xml:space="preserve">Analysis: </w:t>
      </w:r>
      <w:r>
        <w:t>The efforts qualifier could be read to soften the unqualified maintenance obligation.</w:t>
      </w:r>
    </w:p>
    <w:p>
      <w:pPr>
        <w:spacing w:after="60"/>
        <w:ind w:left="432"/>
      </w:pPr>
      <w:r>
        <w:rPr>
          <w:b/>
        </w:rPr>
        <w:t xml:space="preserve">Recommended fix: </w:t>
      </w:r>
      <w:r>
        <w:t>Make the efforts language an additional obligation (“and shall use”), not a qualifier.</w:t>
      </w:r>
    </w:p>
    <w:p>
      <w:pPr>
        <w:spacing w:before="120" w:after="60"/>
      </w:pPr>
      <w:r>
        <w:rPr>
          <w:b/>
        </w:rPr>
        <w:t xml:space="preserve">Gap 11-E — New-contract notification </w:t>
      </w:r>
      <w:r>
        <w:rPr>
          <w:b/>
          <w:color w:val="38761D"/>
        </w:rPr>
        <w:t>[Low]</w:t>
      </w:r>
    </w:p>
    <w:p>
      <w:pPr>
        <w:spacing w:after="60"/>
        <w:ind w:left="432"/>
      </w:pPr>
      <w:r>
        <w:rPr>
          <w:b/>
        </w:rPr>
        <w:t xml:space="preserve">NST: </w:t>
      </w:r>
      <w:r>
        <w:t>NST App. A: prompt notice to CFIUS and DCSA of new classified awards, modifications, extensions or terminations.</w:t>
      </w:r>
    </w:p>
    <w:p>
      <w:pPr>
        <w:spacing w:after="60"/>
        <w:ind w:left="432"/>
      </w:pPr>
      <w:r>
        <w:rPr>
          <w:b/>
        </w:rPr>
        <w:t xml:space="preserve">Draft v3.2: </w:t>
      </w:r>
      <w:r>
        <w:t>§ 10.3: notice to the Security Committee and GSD within 30 days, and only where the award “materially alter[s]” security posture. § 13.1(e): “prompt” notice to CFIUS of new awards and material modifications (value change greater than 10%). DCSA is not covered.</w:t>
      </w:r>
    </w:p>
    <w:p>
      <w:pPr>
        <w:spacing w:after="60"/>
        <w:ind w:left="432"/>
      </w:pPr>
      <w:r>
        <w:rPr>
          <w:b/>
        </w:rPr>
        <w:t xml:space="preserve">Analysis: </w:t>
      </w:r>
      <w:r>
        <w:t>§§ 10.3 and 13.1(e) are inconsistent with each other, and DCSA notice is omitted.</w:t>
      </w:r>
    </w:p>
    <w:p>
      <w:pPr>
        <w:spacing w:after="60"/>
        <w:ind w:left="432"/>
      </w:pPr>
      <w:r>
        <w:rPr>
          <w:b/>
        </w:rPr>
        <w:t xml:space="preserve">Recommended fix: </w:t>
      </w:r>
      <w:r>
        <w:t>Harmonize: prompt notice to CFIUS and DCSA of every new award, modification, extension or termination.</w:t>
      </w:r>
    </w:p>
    <w:p>
      <w:pPr>
        <w:pStyle w:val="Heading2"/>
      </w:pPr>
      <w:r>
        <w:t>Requirement 12 — Subcontracting Restrictions</w:t>
      </w:r>
    </w:p>
    <w:p>
      <w:pPr>
        <w:spacing w:after="80"/>
      </w:pPr>
      <w:r>
        <w:rPr>
          <w:b/>
        </w:rPr>
        <w:t xml:space="preserve">Overall status: </w:t>
      </w:r>
      <w:r>
        <w:t xml:space="preserve">Non-compliant   </w:t>
      </w:r>
      <w:r>
        <w:rPr>
          <w:b/>
        </w:rPr>
        <w:t xml:space="preserve">Overall risk: </w:t>
      </w:r>
      <w:r>
        <w:t>High</w:t>
      </w:r>
    </w:p>
    <w:p>
      <w:pPr>
        <w:spacing w:before="120" w:after="60"/>
      </w:pPr>
      <w:r>
        <w:rPr>
          <w:b/>
        </w:rPr>
        <w:t xml:space="preserve">Gap 12-A — 25% direct-equity threshold rather than 10% direct or indirect </w:t>
      </w:r>
      <w:r>
        <w:rPr>
          <w:b/>
          <w:color w:val="C55A11"/>
        </w:rPr>
        <w:t>[High]</w:t>
      </w:r>
    </w:p>
    <w:p>
      <w:pPr>
        <w:spacing w:after="60"/>
        <w:ind w:left="432"/>
      </w:pPr>
      <w:r>
        <w:rPr>
          <w:b/>
        </w:rPr>
        <w:t xml:space="preserve">NST: </w:t>
      </w:r>
      <w:r>
        <w:t>NST 12.1: no subcontracting of classified work, without CFIUS’s prior written approval, to any Meridian affiliate or any entity in which Meridian holds a 10% or greater interest, “whether such interest is held directly or indirectly, including through subsidiaries, affiliates, joint ventures, partnerships, or other arrangements.”</w:t>
      </w:r>
    </w:p>
    <w:p>
      <w:pPr>
        <w:spacing w:after="60"/>
        <w:ind w:left="432"/>
      </w:pPr>
      <w:r>
        <w:rPr>
          <w:b/>
        </w:rPr>
        <w:t xml:space="preserve">Draft v3.2: </w:t>
      </w:r>
      <w:r>
        <w:t>§ 11.3: 25% or greater “direct equity interest”, measured “as reflected on Meridian’s books and records.” § 11.2: an absolute bar on Meridian and its subsidiaries, affiliates and parent. “Affiliate” is undefined.</w:t>
      </w:r>
    </w:p>
    <w:p>
      <w:pPr>
        <w:spacing w:after="60"/>
        <w:ind w:left="432"/>
      </w:pPr>
      <w:r>
        <w:rPr>
          <w:b/>
        </w:rPr>
        <w:t xml:space="preserve">Analysis: </w:t>
      </w:r>
      <w:r>
        <w:t>Greystone acknowledged that the 25% threshold was “specifically calibrated” to exclude Meridian joint ventures in France, Germany, Japan and South Korea in which it holds 10–24% (Rees e-mail, Apr. 17). Those are the entities the NST is aimed at. The “direct” qualifier excludes the joint-venture and consortium structures that NST 12.1 names. Measuring by Meridian’s own books and records leaves Meridian to determine whether the test is met. All five precedents use 10%, and two expressly include indirect interests. The absolute bar in § 11.2 exceeds the NST and is acceptable, but because “affiliate” is undefined it cannot fill the gap.</w:t>
      </w:r>
    </w:p>
    <w:p>
      <w:pPr>
        <w:spacing w:after="60"/>
        <w:ind w:left="432"/>
      </w:pPr>
      <w:r>
        <w:rPr>
          <w:b/>
        </w:rPr>
        <w:t xml:space="preserve">Recommended fix: </w:t>
      </w:r>
      <w:r>
        <w:t>Conform to NST 12.1 (10%, direct or indirect). Answer the diligence-burden concern by requiring Meridian to deliver at signing, and update quarterly, a certified schedule of every entity in which it holds a direct or indirect interest of 10% or more. This puts the diligence burden on Meridian, which holds the information. Note that the NST requires prior CFIUS approval, not a ban. Approval requests for specific joint-venture subcontractors can be made case by case.</w:t>
      </w:r>
    </w:p>
    <w:p>
      <w:pPr>
        <w:spacing w:before="120" w:after="60"/>
      </w:pPr>
      <w:r>
        <w:rPr>
          <w:b/>
        </w:rPr>
        <w:t xml:space="preserve">Gap 12-B — No lower-tier flow-down </w:t>
      </w:r>
      <w:r>
        <w:rPr>
          <w:b/>
          <w:color w:val="C55A11"/>
        </w:rPr>
        <w:t>[High]</w:t>
      </w:r>
    </w:p>
    <w:p>
      <w:pPr>
        <w:spacing w:after="60"/>
        <w:ind w:left="432"/>
      </w:pPr>
      <w:r>
        <w:rPr>
          <w:b/>
        </w:rPr>
        <w:t xml:space="preserve">NST: </w:t>
      </w:r>
      <w:r>
        <w:t>NST 12.2: the restriction applies at all tiers, and subcontractors must be contractually bound not to subcontract further to restricted entities without CFIUS approval.</w:t>
      </w:r>
    </w:p>
    <w:p>
      <w:pPr>
        <w:spacing w:after="60"/>
        <w:ind w:left="432"/>
      </w:pPr>
      <w:r>
        <w:rPr>
          <w:b/>
        </w:rPr>
        <w:t xml:space="preserve">Draft v3.2: </w:t>
      </w:r>
      <w:r>
        <w:t>None.</w:t>
      </w:r>
    </w:p>
    <w:p>
      <w:pPr>
        <w:spacing w:after="60"/>
        <w:ind w:left="432"/>
      </w:pPr>
      <w:r>
        <w:rPr>
          <w:b/>
        </w:rPr>
        <w:t xml:space="preserve">Analysis: </w:t>
      </w:r>
      <w:r>
        <w:t>Without flow-down, classified work could reach a 10%-plus Meridian joint venture at the second tier.</w:t>
      </w:r>
    </w:p>
    <w:p>
      <w:pPr>
        <w:spacing w:after="60"/>
        <w:ind w:left="432"/>
      </w:pPr>
      <w:r>
        <w:rPr>
          <w:b/>
        </w:rPr>
        <w:t xml:space="preserve">Recommended fix: </w:t>
      </w:r>
      <w:r>
        <w:t>Add NST 12.2 and a mandatory flow-down clause.</w:t>
      </w:r>
    </w:p>
    <w:p>
      <w:pPr>
        <w:spacing w:before="120" w:after="60"/>
      </w:pPr>
      <w:r>
        <w:rPr>
          <w:b/>
        </w:rPr>
        <w:t xml:space="preserve">Gap 12-C — “Classified work” undefined; list omits country of organization </w:t>
      </w:r>
      <w:r>
        <w:rPr>
          <w:b/>
          <w:color w:val="38761D"/>
        </w:rPr>
        <w:t>[Low]</w:t>
      </w:r>
    </w:p>
    <w:p>
      <w:pPr>
        <w:spacing w:after="60"/>
        <w:ind w:left="432"/>
      </w:pPr>
      <w:r>
        <w:rPr>
          <w:b/>
        </w:rPr>
        <w:t xml:space="preserve">NST: </w:t>
      </w:r>
      <w:r>
        <w:t>NST 12.3 defines “classified work”. NST 12.4: the subcontractor list includes country of organization and is available to CFIUS and the Monitor.</w:t>
      </w:r>
    </w:p>
    <w:p>
      <w:pPr>
        <w:spacing w:after="60"/>
        <w:ind w:left="432"/>
      </w:pPr>
      <w:r>
        <w:rPr>
          <w:b/>
        </w:rPr>
        <w:t xml:space="preserve">Draft v3.2: </w:t>
      </w:r>
      <w:r>
        <w:t>No definition. § 11.4 lists name, address, ownership and work description, updated quarterly.</w:t>
      </w:r>
    </w:p>
    <w:p>
      <w:pPr>
        <w:spacing w:after="60"/>
        <w:ind w:left="432"/>
      </w:pPr>
      <w:r>
        <w:rPr>
          <w:b/>
        </w:rPr>
        <w:t xml:space="preserve">Analysis: </w:t>
      </w:r>
      <w:r>
        <w:t>These are minor conforming points. The quarterly update is stricter than the NST and acceptable.</w:t>
      </w:r>
    </w:p>
    <w:p>
      <w:pPr>
        <w:spacing w:after="60"/>
        <w:ind w:left="432"/>
      </w:pPr>
      <w:r>
        <w:rPr>
          <w:b/>
        </w:rPr>
        <w:t xml:space="preserve">Recommended fix: </w:t>
      </w:r>
      <w:r>
        <w:t>Add the NST 12.3 definition and country of organization.</w:t>
      </w:r>
    </w:p>
    <w:p>
      <w:pPr>
        <w:pStyle w:val="Heading2"/>
      </w:pPr>
      <w:r>
        <w:t>Requirement 13 — Amendment and Termination</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13-A — Amendments without CFIUS consent </w:t>
      </w:r>
      <w:r>
        <w:rPr>
          <w:b/>
          <w:color w:val="C00000"/>
        </w:rPr>
        <w:t>[Critical]</w:t>
      </w:r>
    </w:p>
    <w:p>
      <w:pPr>
        <w:spacing w:after="60"/>
        <w:ind w:left="432"/>
      </w:pPr>
      <w:r>
        <w:rPr>
          <w:b/>
        </w:rPr>
        <w:t xml:space="preserve">NST: </w:t>
      </w:r>
      <w:r>
        <w:t>NST 13.1: amendment only with the prior written consent of all parties and CFIUS. No amendment, modification, waiver or supplement is effective unless signed by all parties and approved in writing by CFIUS. Waivers require CFIUS’s express written consent.</w:t>
      </w:r>
    </w:p>
    <w:p>
      <w:pPr>
        <w:spacing w:after="60"/>
        <w:ind w:left="432"/>
      </w:pPr>
      <w:r>
        <w:rPr>
          <w:b/>
        </w:rPr>
        <w:t xml:space="preserve">Draft v3.2: </w:t>
      </w:r>
      <w:r>
        <w:t>§ 18.1: a written instrument signed by Saxonbrook, Meridian and the Voting Trustee. CFIUS is omitted, and so is Pinnacle, although it is a Party. § 18.9: a waiver is effective if signed “by the Party granting such waiver”.</w:t>
      </w:r>
    </w:p>
    <w:p>
      <w:pPr>
        <w:spacing w:after="60"/>
        <w:ind w:left="432"/>
      </w:pPr>
      <w:r>
        <w:rPr>
          <w:b/>
        </w:rPr>
        <w:t xml:space="preserve">Analysis: </w:t>
      </w:r>
      <w:r>
        <w:t>As drafted, the private parties could unilaterally amend or waive any mitigation term, including the voting trust. All precedents require CFIUS consent.</w:t>
      </w:r>
    </w:p>
    <w:p>
      <w:pPr>
        <w:spacing w:after="60"/>
        <w:ind w:left="432"/>
      </w:pPr>
      <w:r>
        <w:rPr>
          <w:b/>
        </w:rPr>
        <w:t xml:space="preserve">Recommended fix: </w:t>
      </w:r>
      <w:r>
        <w:t>Replace § 18.1 and § 18.9 with NST 13.1 word for word, covering all Parties and CFIUS.</w:t>
      </w:r>
    </w:p>
    <w:p>
      <w:pPr>
        <w:spacing w:before="120" w:after="60"/>
      </w:pPr>
      <w:r>
        <w:rPr>
          <w:b/>
        </w:rPr>
        <w:t xml:space="preserve">Gap 13-B — Automatic termination with fixed 12-month wind-down </w:t>
      </w:r>
      <w:r>
        <w:rPr>
          <w:b/>
          <w:color w:val="C00000"/>
        </w:rPr>
        <w:t>[Critical]</w:t>
      </w:r>
    </w:p>
    <w:p>
      <w:pPr>
        <w:spacing w:after="60"/>
        <w:ind w:left="432"/>
      </w:pPr>
      <w:r>
        <w:rPr>
          <w:b/>
        </w:rPr>
        <w:t xml:space="preserve">NST: </w:t>
      </w:r>
      <w:r>
        <w:t>NST 13.2: in force for the duration of Meridian’s direct or indirect ownership, and does not lapse through the passage of time alone. NST 13.3: may survive divestiture at CFIUS’s “sole and unreviewable discretion”, including indefinitely. NST 13.4: termination only by petition to CFIUS, which may refuse or impose conditions.</w:t>
      </w:r>
    </w:p>
    <w:p>
      <w:pPr>
        <w:spacing w:after="60"/>
        <w:ind w:left="432"/>
      </w:pPr>
      <w:r>
        <w:rPr>
          <w:b/>
        </w:rPr>
        <w:t xml:space="preserve">Draft v3.2: </w:t>
      </w:r>
      <w:r>
        <w:t>§ 18.2: terminates “automatically upon the complete divestiture”. Sections 8, 9, 12 and 14 survive for 12 months only, then “all obligations … shall cease.” Ex. D ¶ II and Ex. B ¶ 3 are tied to this mechanism.</w:t>
      </w:r>
    </w:p>
    <w:p>
      <w:pPr>
        <w:spacing w:after="60"/>
        <w:ind w:left="432"/>
      </w:pPr>
      <w:r>
        <w:rPr>
          <w:b/>
        </w:rPr>
        <w:t xml:space="preserve">Analysis: </w:t>
      </w:r>
      <w:r>
        <w:t>The fixed wind-down replaces CFIUS’s discretion with a contractual end date. Divestiture to another foreign buyer, or a partial divestiture through indirect structures, could end the protections. “Ownership interest” is not stated to include indirect ownership. There is no petition mechanism. All precedents preserve CFIUS’s discretion over survival.</w:t>
      </w:r>
    </w:p>
    <w:p>
      <w:pPr>
        <w:spacing w:after="60"/>
        <w:ind w:left="432"/>
      </w:pPr>
      <w:r>
        <w:rPr>
          <w:b/>
        </w:rPr>
        <w:t xml:space="preserve">Recommended fix: </w:t>
      </w:r>
      <w:r>
        <w:t>Replace § 18.2 with NST 13.2–13.4. Any wind-down period may be expressed only as a minimum survival period, subject to CFIUS’s determination.</w:t>
      </w:r>
    </w:p>
    <w:p>
      <w:pPr>
        <w:spacing w:before="120" w:after="60"/>
      </w:pPr>
      <w:r>
        <w:rPr>
          <w:b/>
        </w:rPr>
        <w:t xml:space="preserve">Gap 13-C — Evidence-preservation survival and other survival clauses </w:t>
      </w:r>
      <w:r>
        <w:rPr>
          <w:b/>
          <w:color w:val="38761D"/>
        </w:rPr>
        <w:t>[Low]</w:t>
      </w:r>
    </w:p>
    <w:p>
      <w:pPr>
        <w:spacing w:after="60"/>
        <w:ind w:left="432"/>
      </w:pPr>
      <w:r>
        <w:rPr>
          <w:b/>
        </w:rPr>
        <w:t xml:space="preserve">NST: </w:t>
      </w:r>
      <w:r>
        <w:t>NST 13.3 (CFIUS determines survival).</w:t>
      </w:r>
    </w:p>
    <w:p>
      <w:pPr>
        <w:spacing w:after="60"/>
        <w:ind w:left="432"/>
      </w:pPr>
      <w:r>
        <w:rPr>
          <w:b/>
        </w:rPr>
        <w:t xml:space="preserve">Draft v3.2: </w:t>
      </w:r>
      <w:r>
        <w:t>§ 14.4: evidence is preserved for 5 years and survives termination.</w:t>
      </w:r>
    </w:p>
    <w:p>
      <w:pPr>
        <w:spacing w:after="60"/>
        <w:ind w:left="432"/>
      </w:pPr>
      <w:r>
        <w:rPr>
          <w:b/>
        </w:rPr>
        <w:t xml:space="preserve">Analysis: </w:t>
      </w:r>
      <w:r>
        <w:t>This is consistent with the NST and exceeds it. It should be preserved in the revised survival clause.</w:t>
      </w:r>
    </w:p>
    <w:p>
      <w:pPr>
        <w:spacing w:after="60"/>
        <w:ind w:left="432"/>
      </w:pPr>
      <w:r>
        <w:rPr>
          <w:b/>
        </w:rPr>
        <w:t xml:space="preserve">Recommended fix: </w:t>
      </w:r>
      <w:r>
        <w:t>Cross-reference in the revised § 18.2.</w:t>
      </w:r>
    </w:p>
    <w:p>
      <w:pPr>
        <w:pStyle w:val="Heading2"/>
      </w:pPr>
      <w:r>
        <w:t>Requirement 14 — Penalties and Enforcement</w:t>
      </w:r>
    </w:p>
    <w:p>
      <w:pPr>
        <w:spacing w:after="80"/>
      </w:pPr>
      <w:r>
        <w:rPr>
          <w:b/>
        </w:rPr>
        <w:t xml:space="preserve">Overall status: </w:t>
      </w:r>
      <w:r>
        <w:t xml:space="preserve">Non-compliant   </w:t>
      </w:r>
      <w:r>
        <w:rPr>
          <w:b/>
        </w:rPr>
        <w:t xml:space="preserve">Overall risk: </w:t>
      </w:r>
      <w:r>
        <w:t>Critical</w:t>
      </w:r>
    </w:p>
    <w:p>
      <w:pPr>
        <w:spacing w:before="120" w:after="60"/>
      </w:pPr>
      <w:r>
        <w:rPr>
          <w:b/>
        </w:rPr>
        <w:t xml:space="preserve">Gap 14-A — Penalty capped at $250,000; transaction-value measure omitted </w:t>
      </w:r>
      <w:r>
        <w:rPr>
          <w:b/>
          <w:color w:val="C00000"/>
        </w:rPr>
        <w:t>[Critical]</w:t>
      </w:r>
    </w:p>
    <w:p>
      <w:pPr>
        <w:spacing w:after="60"/>
        <w:ind w:left="432"/>
      </w:pPr>
      <w:r>
        <w:rPr>
          <w:b/>
        </w:rPr>
        <w:t xml:space="preserve">NST: </w:t>
      </w:r>
      <w:r>
        <w:t>NST 14.1: civil penalties of up to $250,000 per violation or the value of the transaction, “whichever is greater”. The transaction value is $588,285,000.</w:t>
      </w:r>
    </w:p>
    <w:p>
      <w:pPr>
        <w:spacing w:after="60"/>
        <w:ind w:left="432"/>
      </w:pPr>
      <w:r>
        <w:rPr>
          <w:b/>
        </w:rPr>
        <w:t xml:space="preserve">Draft v3.2: </w:t>
      </w:r>
      <w:r>
        <w:t>§ 17.1: penalties “not to exceed Two Hundred Fifty Thousand Dollars ($250,000) per violation.”</w:t>
      </w:r>
    </w:p>
    <w:p>
      <w:pPr>
        <w:spacing w:after="60"/>
        <w:ind w:left="432"/>
      </w:pPr>
      <w:r>
        <w:rPr>
          <w:b/>
        </w:rPr>
        <w:t xml:space="preserve">Analysis: </w:t>
      </w:r>
      <w:r>
        <w:t>The draft turns a minimum into a cap and removes an alternative measure of more than $588 million. CFIUS will not accept a contractual limit on its own penalty authority (NST 14.6–14.7). In addition, we understand that CFIUS’s November 2024 amendments to its penalty regulations (31 C.F.R. § 800.901, effective December 2024) raised the per-violation maximum for breaches of mitigation agreements above the $250,000 figure stated in the NST. That should be confirmed before submission. Either way, a hard dollar cap in the Agreement is inadvisable.</w:t>
      </w:r>
    </w:p>
    <w:p>
      <w:pPr>
        <w:spacing w:after="60"/>
        <w:ind w:left="432"/>
      </w:pPr>
      <w:r>
        <w:rPr>
          <w:b/>
        </w:rPr>
        <w:t xml:space="preserve">Recommended fix: </w:t>
      </w:r>
      <w:r>
        <w:t>Track NST 14.1, and add “or such greater amount as may be provided under 50 U.S.C. § 4565 and 31 C.F.R. Part 800 as in effect from time to time.”</w:t>
      </w:r>
    </w:p>
    <w:p>
      <w:pPr>
        <w:spacing w:before="120" w:after="60"/>
      </w:pPr>
      <w:r>
        <w:rPr>
          <w:b/>
        </w:rPr>
        <w:t xml:space="preserve">Gap 14-B — Continuing violations not treated as separate per-day violations </w:t>
      </w:r>
      <w:r>
        <w:rPr>
          <w:b/>
          <w:color w:val="C55A11"/>
        </w:rPr>
        <w:t>[High]</w:t>
      </w:r>
    </w:p>
    <w:p>
      <w:pPr>
        <w:spacing w:after="60"/>
        <w:ind w:left="432"/>
      </w:pPr>
      <w:r>
        <w:rPr>
          <w:b/>
        </w:rPr>
        <w:t xml:space="preserve">NST: </w:t>
      </w:r>
      <w:r>
        <w:t>NST 14.2: each day a violation continues is a separate violation.</w:t>
      </w:r>
    </w:p>
    <w:p>
      <w:pPr>
        <w:spacing w:after="60"/>
        <w:ind w:left="432"/>
      </w:pPr>
      <w:r>
        <w:rPr>
          <w:b/>
        </w:rPr>
        <w:t xml:space="preserve">Draft v3.2: </w:t>
      </w:r>
      <w:r>
        <w:t>None.</w:t>
      </w:r>
    </w:p>
    <w:p>
      <w:pPr>
        <w:spacing w:after="60"/>
        <w:ind w:left="432"/>
      </w:pPr>
      <w:r>
        <w:rPr>
          <w:b/>
        </w:rPr>
        <w:t xml:space="preserve">Analysis: </w:t>
      </w:r>
      <w:r>
        <w:t>Read together with the 30-day cure period (Gap 14-D), the omission substantially reduces exposure for continuing breaches.</w:t>
      </w:r>
    </w:p>
    <w:p>
      <w:pPr>
        <w:spacing w:after="60"/>
        <w:ind w:left="432"/>
      </w:pPr>
      <w:r>
        <w:rPr>
          <w:b/>
        </w:rPr>
        <w:t xml:space="preserve">Recommended fix: </w:t>
      </w:r>
      <w:r>
        <w:t>Add NST 14.2.</w:t>
      </w:r>
    </w:p>
    <w:p>
      <w:pPr>
        <w:spacing w:before="120" w:after="60"/>
      </w:pPr>
      <w:r>
        <w:rPr>
          <w:b/>
        </w:rPr>
        <w:t xml:space="preserve">Gap 14-C — Forced divestiture and Presidential authority omitted </w:t>
      </w:r>
      <w:r>
        <w:rPr>
          <w:b/>
          <w:color w:val="C00000"/>
        </w:rPr>
        <w:t>[Critical]</w:t>
      </w:r>
    </w:p>
    <w:p>
      <w:pPr>
        <w:spacing w:after="60"/>
        <w:ind w:left="432"/>
      </w:pPr>
      <w:r>
        <w:rPr>
          <w:b/>
        </w:rPr>
        <w:t xml:space="preserve">NST: </w:t>
      </w:r>
      <w:r>
        <w:t>NST 14.4: potential forced divestiture under 50 U.S.C. § 4565(d)(4), with the parties’ acknowledgment. NST 14.5: Presidential authority over classified contracts and FCLs. NST 14.6: remedies are cumulative.</w:t>
      </w:r>
    </w:p>
    <w:p>
      <w:pPr>
        <w:spacing w:after="60"/>
        <w:ind w:left="432"/>
      </w:pPr>
      <w:r>
        <w:rPr>
          <w:b/>
        </w:rPr>
        <w:t xml:space="preserve">Draft v3.2: </w:t>
      </w:r>
      <w:r>
        <w:t>§ 17.1 refers to injunctive relief and DOJ referral. § 17.3 preserves authority “including … suspending or prohibiting the Transaction”. Divestiture is not mentioned.</w:t>
      </w:r>
    </w:p>
    <w:p>
      <w:pPr>
        <w:spacing w:after="60"/>
        <w:ind w:left="432"/>
      </w:pPr>
      <w:r>
        <w:rPr>
          <w:b/>
        </w:rPr>
        <w:t xml:space="preserve">Analysis: </w:t>
      </w:r>
      <w:r>
        <w:t>Every precedent includes forced divestiture. Leaving out the parties’ express acknowledgment will be read as deliberate.</w:t>
      </w:r>
    </w:p>
    <w:p>
      <w:pPr>
        <w:spacing w:after="60"/>
        <w:ind w:left="432"/>
      </w:pPr>
      <w:r>
        <w:rPr>
          <w:b/>
        </w:rPr>
        <w:t xml:space="preserve">Recommended fix: </w:t>
      </w:r>
      <w:r>
        <w:t>Insert NST 14.3–14.7 word for word, including Meridian’s acknowledgment of the divestiture authority.</w:t>
      </w:r>
    </w:p>
    <w:p>
      <w:pPr>
        <w:spacing w:before="120" w:after="60"/>
      </w:pPr>
      <w:r>
        <w:rPr>
          <w:b/>
        </w:rPr>
        <w:t xml:space="preserve">Gap 14-D — New 30-day cure period </w:t>
      </w:r>
      <w:r>
        <w:rPr>
          <w:b/>
          <w:color w:val="C55A11"/>
        </w:rPr>
        <w:t>[High]</w:t>
      </w:r>
    </w:p>
    <w:p>
      <w:pPr>
        <w:spacing w:after="60"/>
        <w:ind w:left="432"/>
      </w:pPr>
      <w:r>
        <w:rPr>
          <w:b/>
        </w:rPr>
        <w:t xml:space="preserve">NST: </w:t>
      </w:r>
      <w:r>
        <w:t>No cure period in the NST. Remedies are cumulative and CFIUS’s authority “is not limited, constrained, or waived” (NST 14.6–14.7).</w:t>
      </w:r>
    </w:p>
    <w:p>
      <w:pPr>
        <w:spacing w:after="60"/>
        <w:ind w:left="432"/>
      </w:pPr>
      <w:r>
        <w:rPr>
          <w:b/>
        </w:rPr>
        <w:t xml:space="preserve">Draft v3.2: </w:t>
      </w:r>
      <w:r>
        <w:t>§ 17.2: 30 days to cure after CFIUS notice. Only a failure to cure “shall constitute a material breach.”</w:t>
      </w:r>
    </w:p>
    <w:p>
      <w:pPr>
        <w:spacing w:after="60"/>
        <w:ind w:left="432"/>
      </w:pPr>
      <w:r>
        <w:rPr>
          <w:b/>
        </w:rPr>
        <w:t xml:space="preserve">Analysis: </w:t>
      </w:r>
      <w:r>
        <w:t>The negative implication is that an uncured violation is not a material breach until 30 days have passed. That sits uneasily with per-violation penalties and per-day accrual, and limits CFIUS’s remedies.</w:t>
      </w:r>
    </w:p>
    <w:p>
      <w:pPr>
        <w:spacing w:after="60"/>
        <w:ind w:left="432"/>
      </w:pPr>
      <w:r>
        <w:rPr>
          <w:b/>
        </w:rPr>
        <w:t xml:space="preserve">Recommended fix: </w:t>
      </w:r>
      <w:r>
        <w:t>Delete § 17.2. As a fallback, recast it as a discretionary cure that CFIUS may grant, stating expressly that it does not limit penalties, per-day accrual or any other remedy.</w:t>
      </w:r>
    </w:p>
    <w:p>
      <w:pPr>
        <w:pStyle w:val="Heading2"/>
      </w:pPr>
      <w:r>
        <w:t>Cross-Cutting Issues (Not Tied to a Single Requirement)</w:t>
      </w:r>
    </w:p>
    <w:p>
      <w:pPr>
        <w:spacing w:before="120" w:after="60"/>
      </w:pPr>
      <w:r>
        <w:rPr>
          <w:b/>
        </w:rPr>
        <w:t xml:space="preserve">Gap X-1 — Wrong legal entity named on cover page, signature block and Exhibit E </w:t>
      </w:r>
      <w:r>
        <w:rPr>
          <w:b/>
          <w:color w:val="C55A11"/>
        </w:rPr>
        <w:t>[High]</w:t>
      </w:r>
    </w:p>
    <w:p>
      <w:pPr>
        <w:spacing w:after="60"/>
        <w:ind w:left="432"/>
      </w:pPr>
      <w:r>
        <w:rPr>
          <w:b/>
        </w:rPr>
        <w:t xml:space="preserve">NST: </w:t>
      </w:r>
      <w:r>
        <w:t>NST § II identifies the U.S. Business as Saxonbrook Precision Systems, Inc. (Delaware; EIN 63-4218907).</w:t>
      </w:r>
    </w:p>
    <w:p>
      <w:pPr>
        <w:spacing w:after="60"/>
        <w:ind w:left="432"/>
      </w:pPr>
      <w:r>
        <w:rPr>
          <w:b/>
        </w:rPr>
        <w:t xml:space="preserve">Draft v3.2: </w:t>
      </w:r>
      <w:r>
        <w:t>The preamble and § 3.1 refer to Saxonbrook. The cover page, the signature block (“VANGUARD PRECISION SYSTEMS, INC.” over Ms. Harlow’s name) and the Exhibit E header name “Vanguard Precision Systems, Inc.”. The Saxonbrook notice e-mail uses the vanguardprecision.com domain.</w:t>
      </w:r>
    </w:p>
    <w:p>
      <w:pPr>
        <w:spacing w:after="60"/>
        <w:ind w:left="432"/>
      </w:pPr>
      <w:r>
        <w:rPr>
          <w:b/>
        </w:rPr>
        <w:t xml:space="preserve">Analysis: </w:t>
      </w:r>
      <w:r>
        <w:t>If executed in this form, the U.S. Business would not be a signatory under its correct name, which gives rise to an enforceability and FCL-identity problem that CFIUS and DCSA will notice. The NST acknowledgment block and the Security Profile title contain the same error.</w:t>
      </w:r>
    </w:p>
    <w:p>
      <w:pPr>
        <w:spacing w:after="60"/>
        <w:ind w:left="432"/>
      </w:pPr>
      <w:r>
        <w:rPr>
          <w:b/>
        </w:rPr>
        <w:t xml:space="preserve">Recommended fix: </w:t>
      </w:r>
      <w:r>
        <w:t>Confirm with Mr. Ostroff whether “Vanguard” is a former or trade name or a separate entity. Conform every reference to Saxonbrook Precision Systems, Inc. (adding an “f/k/a” or “d/b/a” only if accurate). Raise the NST acknowledgment-block error with Dr. Keene’s office.</w:t>
      </w:r>
    </w:p>
    <w:p>
      <w:pPr>
        <w:spacing w:before="120" w:after="60"/>
      </w:pPr>
      <w:r>
        <w:rPr>
          <w:b/>
        </w:rPr>
        <w:t xml:space="preserve">Gap X-2 — No NST-precedence clause </w:t>
      </w:r>
      <w:r>
        <w:rPr>
          <w:b/>
          <w:color w:val="7F6000"/>
        </w:rPr>
        <w:t>[Medium]</w:t>
      </w:r>
    </w:p>
    <w:p>
      <w:pPr>
        <w:spacing w:after="60"/>
        <w:ind w:left="432"/>
      </w:pPr>
      <w:r>
        <w:rPr>
          <w:b/>
        </w:rPr>
        <w:t xml:space="preserve">NST: </w:t>
      </w:r>
      <w:r>
        <w:t>NST § V preamble: the NST controls in any ambiguity or conflict, and the Agreement may exceed but not “conflict with or diminish” the NST. NST § IV definitions are “incorporated into the Mitigation Agreement.”</w:t>
      </w:r>
    </w:p>
    <w:p>
      <w:pPr>
        <w:spacing w:after="60"/>
        <w:ind w:left="432"/>
      </w:pPr>
      <w:r>
        <w:rPr>
          <w:b/>
        </w:rPr>
        <w:t xml:space="preserve">Draft v3.2: </w:t>
      </w:r>
      <w:r>
        <w:t>§ 2.3 deals only with conflicts with NISPOM and DCSA directives (“more restrictive provision shall control”). The definitions in § 1.1 depart from the NST definitions in several places (Foreign National; Classified Facilities instead of Classified Spaces; Board limited to Saxonbrook alone; U.S. Business without subsidiaries).</w:t>
      </w:r>
    </w:p>
    <w:p>
      <w:pPr>
        <w:spacing w:after="60"/>
        <w:ind w:left="432"/>
      </w:pPr>
      <w:r>
        <w:rPr>
          <w:b/>
        </w:rPr>
        <w:t xml:space="preserve">Analysis: </w:t>
      </w:r>
      <w:r>
        <w:t>Without a precedence clause, the departures would govern as between the private parties. CFIUS will insist on the clause in any event.</w:t>
      </w:r>
    </w:p>
    <w:p>
      <w:pPr>
        <w:spacing w:after="60"/>
        <w:ind w:left="432"/>
      </w:pPr>
      <w:r>
        <w:rPr>
          <w:b/>
        </w:rPr>
        <w:t xml:space="preserve">Recommended fix: </w:t>
      </w:r>
      <w:r>
        <w:t>Add: “In the event of any ambiguity or conflict between this Agreement and the NST, the NST shall control.” Adopt the NST § IV definitions, including “U.S. Business … together with its subsidiaries and controlled affiliates”, so that subsidiaries are covered.</w:t>
      </w:r>
    </w:p>
    <w:p>
      <w:pPr>
        <w:spacing w:before="120" w:after="60"/>
      </w:pPr>
      <w:r>
        <w:rPr>
          <w:b/>
        </w:rPr>
        <w:t xml:space="preserve">Gap X-3 — Meridian-Nominated Directors who are U.S. citizens are not restricted </w:t>
      </w:r>
      <w:r>
        <w:rPr>
          <w:b/>
          <w:color w:val="7F6000"/>
        </w:rPr>
        <w:t>[Medium]</w:t>
      </w:r>
    </w:p>
    <w:p>
      <w:pPr>
        <w:spacing w:after="60"/>
        <w:ind w:left="432"/>
      </w:pPr>
      <w:r>
        <w:rPr>
          <w:b/>
        </w:rPr>
        <w:t xml:space="preserve">NST: </w:t>
      </w:r>
      <w:r>
        <w:t>NST 3.3(ii): the Foreign Acquirer may not receive non-public information about classified operations. NST 5.1: barriers between classified and export-controlled operations and Meridian.</w:t>
      </w:r>
    </w:p>
    <w:p>
      <w:pPr>
        <w:spacing w:after="60"/>
        <w:ind w:left="432"/>
      </w:pPr>
      <w:r>
        <w:rPr>
          <w:b/>
        </w:rPr>
        <w:t xml:space="preserve">Draft v3.2: </w:t>
      </w:r>
      <w:r>
        <w:t>§ 4.2(b) and Ex. A bar only Meridian-Nominated Directors “who are Foreign Nationals” from classified access. There is no ITAR/EAR restriction. The Security Profile assumes all Meridian nominees will have no clearance and no access to classified or ITAR/EAR material.</w:t>
      </w:r>
    </w:p>
    <w:p>
      <w:pPr>
        <w:spacing w:after="60"/>
        <w:ind w:left="432"/>
      </w:pPr>
      <w:r>
        <w:rPr>
          <w:b/>
        </w:rPr>
        <w:t xml:space="preserve">Analysis: </w:t>
      </w:r>
      <w:r>
        <w:t>A U.S.-citizen Meridian nominee, acting as Meridian’s representative, could be a channel for information to Meridian even though he or she is not a Foreign National.</w:t>
      </w:r>
    </w:p>
    <w:p>
      <w:pPr>
        <w:spacing w:after="60"/>
        <w:ind w:left="432"/>
      </w:pPr>
      <w:r>
        <w:rPr>
          <w:b/>
        </w:rPr>
        <w:t xml:space="preserve">Recommended fix: </w:t>
      </w:r>
      <w:r>
        <w:t>Provide that all Meridian-Nominated Directors, whatever their citizenship, are excluded from Classified Information, Export-Controlled Technical Data, Classified Spaces and Security Committee matters, as the Security Profile assumes.</w:t>
      </w:r>
    </w:p>
    <w:p>
      <w:pPr>
        <w:spacing w:before="120" w:after="60"/>
      </w:pPr>
      <w:r>
        <w:rPr>
          <w:b/>
        </w:rPr>
        <w:t xml:space="preserve">Gap X-4 — Effective Date / Closing / execution mechanics </w:t>
      </w:r>
      <w:r>
        <w:rPr>
          <w:b/>
          <w:color w:val="7F6000"/>
        </w:rPr>
        <w:t>[Medium]</w:t>
      </w:r>
    </w:p>
    <w:p>
      <w:pPr>
        <w:spacing w:after="60"/>
        <w:ind w:left="432"/>
      </w:pPr>
      <w:r>
        <w:rPr>
          <w:b/>
        </w:rPr>
        <w:t xml:space="preserve">NST: </w:t>
      </w:r>
      <w:r>
        <w:t>NST § VI: an executed agreement is to be submitted by May 3, 2025 (electronic, with hard copies by courier within five business days). Clearance is anticipated about May 15. No closing may occur before written clearance.</w:t>
      </w:r>
    </w:p>
    <w:p>
      <w:pPr>
        <w:spacing w:after="60"/>
        <w:ind w:left="432"/>
      </w:pPr>
      <w:r>
        <w:rPr>
          <w:b/>
        </w:rPr>
        <w:t xml:space="preserve">Draft v3.2: </w:t>
      </w:r>
      <w:r>
        <w:t>Effective Date = CFIUS clearance (§ 1.1). Obligations are keyed variously to the Effective Date (§§ 2.2, 9.4) and to Closing (§§ 4.2, 5.1, 9.2). The cover page reads “DRAFT — NOT FOR EXECUTION”.</w:t>
      </w:r>
    </w:p>
    <w:p>
      <w:pPr>
        <w:spacing w:after="60"/>
        <w:ind w:left="432"/>
      </w:pPr>
      <w:r>
        <w:rPr>
          <w:b/>
        </w:rPr>
        <w:t xml:space="preserve">Analysis: </w:t>
      </w:r>
      <w:r>
        <w:t>The mixed triggers create the timing mismatches discussed in Gaps 5-E and 7-A. They also leave unclear which obligations apply between clearance and Closing.</w:t>
      </w:r>
    </w:p>
    <w:p>
      <w:pPr>
        <w:spacing w:after="60"/>
        <w:ind w:left="432"/>
      </w:pPr>
      <w:r>
        <w:rPr>
          <w:b/>
        </w:rPr>
        <w:t xml:space="preserve">Recommended fix: </w:t>
      </w:r>
      <w:r>
        <w:t>Key each obligation to the NST trigger (generally Closing). Add a no-closing-before-clearance covenant. Build the execution and submission logistics into the timetable (Part VI).</w:t>
      </w:r>
    </w:p>
    <w:p>
      <w:pPr>
        <w:spacing w:before="120" w:after="60"/>
      </w:pPr>
      <w:r>
        <w:rPr>
          <w:b/>
        </w:rPr>
        <w:t xml:space="preserve">Gap X-5 — Undefined or inconsistent terms </w:t>
      </w:r>
      <w:r>
        <w:rPr>
          <w:b/>
          <w:color w:val="38761D"/>
        </w:rPr>
        <w:t>[Low]</w:t>
      </w:r>
    </w:p>
    <w:p>
      <w:pPr>
        <w:spacing w:after="60"/>
        <w:ind w:left="432"/>
      </w:pPr>
      <w:r>
        <w:rPr>
          <w:b/>
        </w:rPr>
        <w:t xml:space="preserve">NST: </w:t>
      </w:r>
      <w:r>
        <w:t>NST § IV definitions.</w:t>
      </w:r>
    </w:p>
    <w:p>
      <w:pPr>
        <w:spacing w:after="60"/>
        <w:ind w:left="432"/>
      </w:pPr>
      <w:r>
        <w:rPr>
          <w:b/>
        </w:rPr>
        <w:t xml:space="preserve">Draft v3.2: </w:t>
      </w:r>
      <w:r>
        <w:t>“Affiliate” (§§ 8.1, 11.2) and “sensitive but unclassified information” (§ 9.2(c)) are undefined. “Classified Facilities” is used in place of the NST’s “Classified Spaces”. The preamble cites 31 C.F.R. Part 802 (real estate transactions), which is not relevant.</w:t>
      </w:r>
    </w:p>
    <w:p>
      <w:pPr>
        <w:spacing w:after="60"/>
        <w:ind w:left="432"/>
      </w:pPr>
      <w:r>
        <w:rPr>
          <w:b/>
        </w:rPr>
        <w:t xml:space="preserve">Analysis: </w:t>
      </w:r>
      <w:r>
        <w:t>These are drafting-hygiene points.</w:t>
      </w:r>
    </w:p>
    <w:p>
      <w:pPr>
        <w:spacing w:after="60"/>
        <w:ind w:left="432"/>
      </w:pPr>
      <w:r>
        <w:rPr>
          <w:b/>
        </w:rPr>
        <w:t xml:space="preserve">Recommended fix: </w:t>
      </w:r>
      <w:r>
        <w:t>Define “Affiliate” to include any entity in which Meridian holds 10% or more, directly or indirectly (aligning with Requirement 12). Replace the undefined terms with the NST terms. Delete the Part 802 reference.</w:t>
      </w:r>
    </w:p>
    <w:p>
      <w:pPr>
        <w:spacing w:before="120" w:after="60"/>
      </w:pPr>
      <w:r>
        <w:rPr>
          <w:b/>
        </w:rPr>
        <w:t xml:space="preserve">Gap X-6 — Inconsistent description of Dr. Kessler and the outgoing Board </w:t>
      </w:r>
      <w:r>
        <w:rPr>
          <w:b/>
          <w:color w:val="38761D"/>
        </w:rPr>
        <w:t>[Low]</w:t>
      </w:r>
    </w:p>
    <w:p>
      <w:pPr>
        <w:spacing w:after="60"/>
        <w:ind w:left="432"/>
      </w:pPr>
      <w:r>
        <w:rPr>
          <w:b/>
        </w:rPr>
        <w:t xml:space="preserve">NST: </w:t>
      </w:r>
      <w:r>
        <w:t>NST § II: Dr. Kessler is a “current member of the board of directors.”</w:t>
      </w:r>
    </w:p>
    <w:p>
      <w:pPr>
        <w:spacing w:after="60"/>
        <w:ind w:left="432"/>
      </w:pPr>
      <w:r>
        <w:rPr>
          <w:b/>
        </w:rPr>
        <w:t xml:space="preserve">Draft v3.2: </w:t>
      </w:r>
      <w:r>
        <w:t>Recitals and Ex. A ¶ V: “Founder and Director Emeritus”. The Security Profile describes him as Chairman of the Board. The post-Closing board in Ex. A omits Dr. Kessler and Mr. Ostroff without explanation.</w:t>
      </w:r>
    </w:p>
    <w:p>
      <w:pPr>
        <w:spacing w:after="60"/>
        <w:ind w:left="432"/>
      </w:pPr>
      <w:r>
        <w:rPr>
          <w:b/>
        </w:rPr>
        <w:t xml:space="preserve">Analysis: </w:t>
      </w:r>
      <w:r>
        <w:t>This factual inconsistency should be resolved before submission. Dr. Kessler’s post-Closing role is also a client-relations issue, given his 22% stake and his concerns about governance.</w:t>
      </w:r>
    </w:p>
    <w:p>
      <w:pPr>
        <w:spacing w:after="60"/>
        <w:ind w:left="432"/>
      </w:pPr>
      <w:r>
        <w:rPr>
          <w:b/>
        </w:rPr>
        <w:t xml:space="preserve">Recommended fix: </w:t>
      </w:r>
      <w:r>
        <w:t>Confirm the facts with Mr. Ostroff and conform the documents. Discuss Dr. Kessler’s post-Closing role with the client.</w:t>
      </w:r>
    </w:p>
    <w:p>
      <w:pPr>
        <w:pStyle w:val="Heading1"/>
      </w:pPr>
      <w:r>
        <w:t>V. Corrections to the April 17 Precedent Matrix and Related Work Product</w:t>
      </w:r>
    </w:p>
    <w:p>
      <w:pPr>
        <w:spacing w:after="120"/>
      </w:pPr>
      <w:r>
        <w:rPr>
          <w:i w:val="0"/>
        </w:rPr>
        <w:t>Before the precedent matrix is shared with Meridian’s counsel or relied on in a call with Treasury, the following entries should be corrected. In several places the matrix describes v3.2 as “consistent” with the NST when it is not. Relying on those entries would concede points we need to win.</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2A44"/>
          </w:tcPr>
          <w:p>
            <w:r/>
            <w:r>
              <w:rPr>
                <w:b/>
                <w:color w:val="FFFFFF"/>
                <w:sz w:val="16"/>
              </w:rPr>
              <w:t>Matrix row</w:t>
            </w:r>
          </w:p>
        </w:tc>
        <w:tc>
          <w:tcPr>
            <w:tcW w:type="dxa" w:w="2736"/>
            <w:shd w:val="clear" w:color="auto" w:fill="1F2A44"/>
          </w:tcPr>
          <w:p>
            <w:r/>
            <w:r>
              <w:rPr>
                <w:b/>
                <w:color w:val="FFFFFF"/>
                <w:sz w:val="16"/>
              </w:rPr>
              <w:t>Matrix says</w:t>
            </w:r>
          </w:p>
        </w:tc>
        <w:tc>
          <w:tcPr>
            <w:tcW w:type="dxa" w:w="4608"/>
            <w:shd w:val="clear" w:color="auto" w:fill="1F2A44"/>
          </w:tcPr>
          <w:p>
            <w:r/>
            <w:r>
              <w:rPr>
                <w:b/>
                <w:color w:val="FFFFFF"/>
                <w:sz w:val="16"/>
              </w:rPr>
              <w:t>Correct position</w:t>
            </w:r>
          </w:p>
        </w:tc>
      </w:tr>
      <w:tr>
        <w:tc>
          <w:tcPr>
            <w:tcW w:type="dxa" w:w="2016"/>
          </w:tcPr>
          <w:p>
            <w:r/>
            <w:r>
              <w:rPr>
                <w:sz w:val="16"/>
              </w:rPr>
              <w:t>1b — Director approval / replacement</w:t>
            </w:r>
          </w:p>
        </w:tc>
        <w:tc>
          <w:tcPr>
            <w:tcW w:type="dxa" w:w="2736"/>
          </w:tcPr>
          <w:p>
            <w:r/>
            <w:r>
              <w:rPr>
                <w:sz w:val="16"/>
              </w:rPr>
              <w:t>Replacement subject to CFIUS approval within 45 days (“Section 4.3”); consistent with NST</w:t>
            </w:r>
          </w:p>
        </w:tc>
        <w:tc>
          <w:tcPr>
            <w:tcW w:type="dxa" w:w="4608"/>
          </w:tcPr>
          <w:p>
            <w:r/>
            <w:r>
              <w:rPr>
                <w:sz w:val="16"/>
              </w:rPr>
              <w:t>The provision is § 4.2, not § 4.3. It is a 45-day nomination deadline, not a 60-day fill requirement. The DGCL savings clause in § 4.4 allows removal without CFIUS approval. Not consistent (Gaps 1-B, 1-F).</w:t>
            </w:r>
          </w:p>
        </w:tc>
      </w:tr>
      <w:tr>
        <w:tc>
          <w:tcPr>
            <w:tcW w:type="dxa" w:w="2016"/>
          </w:tcPr>
          <w:p>
            <w:r/>
            <w:r>
              <w:rPr>
                <w:sz w:val="16"/>
              </w:rPr>
              <w:t>2b — GSD reporting line</w:t>
            </w:r>
          </w:p>
        </w:tc>
        <w:tc>
          <w:tcPr>
            <w:tcW w:type="dxa" w:w="2736"/>
          </w:tcPr>
          <w:p>
            <w:r/>
            <w:r>
              <w:rPr>
                <w:sz w:val="16"/>
              </w:rPr>
              <w:t>Consistent with NST</w:t>
            </w:r>
          </w:p>
        </w:tc>
        <w:tc>
          <w:tcPr>
            <w:tcW w:type="dxa" w:w="4608"/>
          </w:tcPr>
          <w:p>
            <w:r/>
            <w:r>
              <w:rPr>
                <w:sz w:val="16"/>
              </w:rPr>
              <w:t>NST 2.3 requires reporting “directly and exclusively” to the Security Committee. v3.2 puts the GSD on the management team with direct CEO/GC lines (Gap 2-C).</w:t>
            </w:r>
          </w:p>
        </w:tc>
      </w:tr>
      <w:tr>
        <w:tc>
          <w:tcPr>
            <w:tcW w:type="dxa" w:w="2016"/>
          </w:tcPr>
          <w:p>
            <w:r/>
            <w:r>
              <w:rPr>
                <w:sz w:val="16"/>
              </w:rPr>
              <w:t>3a — Trustee independence/approval</w:t>
            </w:r>
          </w:p>
        </w:tc>
        <w:tc>
          <w:tcPr>
            <w:tcW w:type="dxa" w:w="2736"/>
          </w:tcPr>
          <w:p>
            <w:r/>
            <w:r>
              <w:rPr>
                <w:sz w:val="16"/>
              </w:rPr>
              <w:t>Clearfield subject to CFIUS approval (“Section 6.2”); consistent</w:t>
            </w:r>
          </w:p>
        </w:tc>
        <w:tc>
          <w:tcPr>
            <w:tcW w:type="dxa" w:w="4608"/>
          </w:tcPr>
          <w:p>
            <w:r/>
            <w:r>
              <w:rPr>
                <w:sz w:val="16"/>
              </w:rPr>
              <w:t>v3.2 has no initial CFIUS approval requirement for Clearfield (only for a successor, § 6.4). § 6.2 concerns the Trustee’s duties. The independence representation is qualified by materiality (Gap 3-D).</w:t>
            </w:r>
          </w:p>
        </w:tc>
      </w:tr>
      <w:tr>
        <w:tc>
          <w:tcPr>
            <w:tcW w:type="dxa" w:w="2016"/>
          </w:tcPr>
          <w:p>
            <w:r/>
            <w:r>
              <w:rPr>
                <w:sz w:val="16"/>
              </w:rPr>
              <w:t>4a — Persons restricted</w:t>
            </w:r>
          </w:p>
        </w:tc>
        <w:tc>
          <w:tcPr>
            <w:tcW w:type="dxa" w:w="2736"/>
          </w:tcPr>
          <w:p>
            <w:r/>
            <w:r>
              <w:rPr>
                <w:sz w:val="16"/>
              </w:rPr>
              <w:t>Does not explicitly extend to the Board Observer</w:t>
            </w:r>
          </w:p>
        </w:tc>
        <w:tc>
          <w:tcPr>
            <w:tcW w:type="dxa" w:w="4608"/>
          </w:tcPr>
          <w:p>
            <w:r/>
            <w:r>
              <w:rPr>
                <w:sz w:val="16"/>
              </w:rPr>
              <w:t>§ 8.2 does expressly restrict the Board Observer. The real defects are that the Observer exists at all (Gap 3-B) and that the Foreign National definition excludes LPRs and entities (Gap 4-B), which the matrix does not mention.</w:t>
            </w:r>
          </w:p>
        </w:tc>
      </w:tr>
      <w:tr>
        <w:tc>
          <w:tcPr>
            <w:tcW w:type="dxa" w:w="2016"/>
          </w:tcPr>
          <w:p>
            <w:r/>
            <w:r>
              <w:rPr>
                <w:sz w:val="16"/>
              </w:rPr>
              <w:t>5a — Barrier deadline</w:t>
            </w:r>
          </w:p>
        </w:tc>
        <w:tc>
          <w:tcPr>
            <w:tcW w:type="dxa" w:w="2736"/>
          </w:tcPr>
          <w:p>
            <w:r/>
            <w:r>
              <w:rPr>
                <w:sz w:val="16"/>
              </w:rPr>
              <w:t>NST requires barriers “fully operational prior to closing”</w:t>
            </w:r>
          </w:p>
        </w:tc>
        <w:tc>
          <w:tcPr>
            <w:tcW w:type="dxa" w:w="4608"/>
          </w:tcPr>
          <w:p>
            <w:r/>
            <w:r>
              <w:rPr>
                <w:sz w:val="16"/>
              </w:rPr>
              <w:t>The NST contains no express pre-closing deadline. Argue instead from NST 5.1 (“establish and maintain”), the obligations “at all times following the Closing”, and precedent (Gap 5-E).</w:t>
            </w:r>
          </w:p>
        </w:tc>
      </w:tr>
      <w:tr>
        <w:tc>
          <w:tcPr>
            <w:tcW w:type="dxa" w:w="2016"/>
          </w:tcPr>
          <w:p>
            <w:r/>
            <w:r>
              <w:rPr>
                <w:sz w:val="16"/>
              </w:rPr>
              <w:t>6 — Personnel vetting</w:t>
            </w:r>
          </w:p>
        </w:tc>
        <w:tc>
          <w:tcPr>
            <w:tcW w:type="dxa" w:w="2736"/>
          </w:tcPr>
          <w:p>
            <w:r/>
            <w:r>
              <w:rPr>
                <w:sz w:val="16"/>
              </w:rPr>
              <w:t>Consistent with NST</w:t>
            </w:r>
          </w:p>
        </w:tc>
        <w:tc>
          <w:tcPr>
            <w:tcW w:type="dxa" w:w="4608"/>
          </w:tcPr>
          <w:p>
            <w:r/>
            <w:r>
              <w:rPr>
                <w:sz w:val="16"/>
              </w:rPr>
              <w:t>Removal period is 30 days rather than 10 business days, with no immediate exclusion. Vetting is GSD-directed rather than DCSA-directed. Export-controlled access, pre-duty vetting and the roster are omitted (Gaps 6-A to 6-D).</w:t>
            </w:r>
          </w:p>
        </w:tc>
      </w:tr>
      <w:tr>
        <w:tc>
          <w:tcPr>
            <w:tcW w:type="dxa" w:w="2016"/>
          </w:tcPr>
          <w:p>
            <w:r/>
            <w:r>
              <w:rPr>
                <w:sz w:val="16"/>
              </w:rPr>
              <w:t>8c — Monitor approval</w:t>
            </w:r>
          </w:p>
        </w:tc>
        <w:tc>
          <w:tcPr>
            <w:tcW w:type="dxa" w:w="2736"/>
          </w:tcPr>
          <w:p>
            <w:r/>
            <w:r>
              <w:rPr>
                <w:sz w:val="16"/>
              </w:rPr>
              <w:t>Pinnacle subject to CFIUS approval (“Section 12.4”); consistent</w:t>
            </w:r>
          </w:p>
        </w:tc>
        <w:tc>
          <w:tcPr>
            <w:tcW w:type="dxa" w:w="4608"/>
          </w:tcPr>
          <w:p>
            <w:r/>
            <w:r>
              <w:rPr>
                <w:sz w:val="16"/>
              </w:rPr>
              <w:t>§ 12.4 is the fee clause. v3.2 contains no CFIUS approval or replacement right for the Monitor (Gap 8-C).</w:t>
            </w:r>
          </w:p>
        </w:tc>
      </w:tr>
      <w:tr>
        <w:tc>
          <w:tcPr>
            <w:tcW w:type="dxa" w:w="2016"/>
          </w:tcPr>
          <w:p>
            <w:r/>
            <w:r>
              <w:rPr>
                <w:sz w:val="16"/>
              </w:rPr>
              <w:t>11a — Rebid obligation</w:t>
            </w:r>
          </w:p>
        </w:tc>
        <w:tc>
          <w:tcPr>
            <w:tcW w:type="dxa" w:w="2736"/>
          </w:tcPr>
          <w:p>
            <w:r/>
            <w:r>
              <w:rPr>
                <w:sz w:val="16"/>
              </w:rPr>
              <w:t>Affirmative obligation to pursue rebid (§ 10.1); consistent</w:t>
            </w:r>
          </w:p>
        </w:tc>
        <w:tc>
          <w:tcPr>
            <w:tcW w:type="dxa" w:w="4608"/>
          </w:tcPr>
          <w:p>
            <w:r/>
            <w:r>
              <w:rPr>
                <w:sz w:val="16"/>
              </w:rPr>
              <w:t>§ 10.1 covers only continued performance. There is no rebid covenant and no duty to consult CFIUS before declining (Gap 11-C).</w:t>
            </w:r>
          </w:p>
        </w:tc>
      </w:tr>
      <w:tr>
        <w:tc>
          <w:tcPr>
            <w:tcW w:type="dxa" w:w="2016"/>
          </w:tcPr>
          <w:p>
            <w:r/>
            <w:r>
              <w:rPr>
                <w:sz w:val="16"/>
              </w:rPr>
              <w:t>12a — CFIUS pre-approval</w:t>
            </w:r>
          </w:p>
        </w:tc>
        <w:tc>
          <w:tcPr>
            <w:tcW w:type="dxa" w:w="2736"/>
          </w:tcPr>
          <w:p>
            <w:r/>
            <w:r>
              <w:rPr>
                <w:sz w:val="16"/>
              </w:rPr>
              <w:t>Prior CFIUS approval required (“Section 11.4”)</w:t>
            </w:r>
          </w:p>
        </w:tc>
        <w:tc>
          <w:tcPr>
            <w:tcW w:type="dxa" w:w="4608"/>
          </w:tcPr>
          <w:p>
            <w:r/>
            <w:r>
              <w:rPr>
                <w:sz w:val="16"/>
              </w:rPr>
              <w:t>The approval requirement is in § 11.3. § 11.4 is the reporting clause.</w:t>
            </w:r>
          </w:p>
        </w:tc>
      </w:tr>
      <w:tr>
        <w:tc>
          <w:tcPr>
            <w:tcW w:type="dxa" w:w="2016"/>
          </w:tcPr>
          <w:p>
            <w:r/>
            <w:r>
              <w:rPr>
                <w:sz w:val="16"/>
              </w:rPr>
              <w:t>Gap Summary</w:t>
            </w:r>
          </w:p>
        </w:tc>
        <w:tc>
          <w:tcPr>
            <w:tcW w:type="dxa" w:w="2736"/>
          </w:tcPr>
          <w:p>
            <w:r/>
            <w:r>
              <w:rPr>
                <w:sz w:val="16"/>
              </w:rPr>
              <w:t>16 gaps (11 High / 5 Medium)</w:t>
            </w:r>
          </w:p>
        </w:tc>
        <w:tc>
          <w:tcPr>
            <w:tcW w:type="dxa" w:w="4608"/>
          </w:tcPr>
          <w:p>
            <w:r/>
            <w:r>
              <w:rPr>
                <w:sz w:val="16"/>
              </w:rPr>
              <w:t>Materially under-inclusive. This memorandum identifies 71 gaps, including several Critical items absent from the matrix: the Foreign National definition, the GSD’s access authority, the Trustee and Monitor approvals, the trustee certification, the cure period and the per-day penalty provision.</w:t>
            </w:r>
          </w:p>
        </w:tc>
      </w:tr>
    </w:tbl>
    <w:p>
      <w:pPr>
        <w:spacing w:after="40"/>
      </w:pPr>
    </w:p>
    <w:p>
      <w:pPr>
        <w:spacing w:after="160"/>
      </w:pPr>
      <w:r>
        <w:rPr>
          <w:i w:val="0"/>
        </w:rPr>
        <w:t>Facility Security Profile (April 18). Two points should be corrected before the Profile goes to Pinnacle. (i) It refers to the NST as a “National Security Threat Assessment”. (ii) It paraphrases NST Requirement 1 inside quotation marks. The quoted text should be conformed to NST 1.1–1.2 as written. The e-mail chain contains similar paraphrased “quotations” of the NST. In any document that goes to Greystone or Treasury, quote the NST verbatim.</w:t>
      </w:r>
    </w:p>
    <w:p>
      <w:pPr>
        <w:pStyle w:val="Heading1"/>
      </w:pPr>
      <w:r>
        <w:t>VI. Recommended Negotiation Strategy and Next Steps</w:t>
      </w:r>
    </w:p>
    <w:p>
      <w:pPr>
        <w:pStyle w:val="Heading2"/>
      </w:pPr>
      <w:r>
        <w:t>A. Prioritization</w:t>
      </w:r>
    </w:p>
    <w:p>
      <w:pPr>
        <w:spacing w:after="60"/>
      </w:pPr>
      <w:r>
        <w:rPr>
          <w:i w:val="0"/>
        </w:rPr>
        <w:t>We agree with Jonathan’s April 17 assessment that the board, incident-reporting and ITAR/EAR issues are the most likely to cause rejection. We would add three items to that first tier:</w:t>
      </w:r>
    </w:p>
    <w:p>
      <w:pPr>
        <w:pStyle w:val="ListBullet"/>
        <w:spacing w:after="60"/>
      </w:pPr>
      <w:r>
        <w:rPr>
          <w:b/>
        </w:rPr>
        <w:t>Observer and consultation rights (Req. 3).</w:t>
      </w:r>
      <w:r>
        <w:t xml:space="preserve"> Greystone has characterized the Board Observer right as “firm”, and the April 17 readout suggests CFIUS might correct it in review. However, NST 3.3 prohibits observer and consultation rights by name, so CFIUS has no flexibility to accept them. Leaving them for CFIUS to strike costs negotiating credibility and time we do not have.</w:t>
      </w:r>
    </w:p>
    <w:p>
      <w:pPr>
        <w:pStyle w:val="ListBullet"/>
        <w:spacing w:after="60"/>
      </w:pPr>
      <w:r>
        <w:rPr>
          <w:b/>
        </w:rPr>
        <w:t>CFIUS-authority provisions (Reqs. 13 and 14).</w:t>
      </w:r>
      <w:r>
        <w:t xml:space="preserve"> These provisions (no CFIUS consent to amendments, automatic termination, the penalty cap, no divestiture acknowledgment, the cure period) restate or reduce CFIUS’s own statutory authority. CFIUS cannot accept them. They also cost Meridian little commercially, because CFIUS’s statutory authority applies whatever the contract says. They should be easy to concede and should be cleared first.</w:t>
      </w:r>
    </w:p>
    <w:p>
      <w:pPr>
        <w:pStyle w:val="ListBullet"/>
        <w:spacing w:after="60"/>
      </w:pPr>
      <w:r>
        <w:rPr>
          <w:b/>
        </w:rPr>
        <w:t>GSD removal and authority (Req. 2).</w:t>
      </w:r>
      <w:r>
        <w:t xml:space="preserve"> Removal on notice only and the absence of the GSD’s independent access authority go to the core of the FOCI structure.</w:t>
      </w:r>
    </w:p>
    <w:p>
      <w:pPr>
        <w:spacing w:after="120"/>
      </w:pPr>
      <w:r>
        <w:rPr>
          <w:i w:val="0"/>
        </w:rPr>
        <w:t>The remaining items (Reqs. 5–9, 11, 12 and the cross-cutting points) are largely conforming changes. We recommend sending them to Greystone as a single conforming markup that tracks the NST language, so they are not negotiated one by one. The exception is subcontracting (Req. 12), which carries real commercial cost for Meridian and needs the trade described below.</w:t>
      </w:r>
    </w:p>
    <w:p>
      <w:pPr>
        <w:pStyle w:val="Heading2"/>
      </w:pPr>
      <w:r>
        <w:t>B. Proposed Package for Greystone McNair</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F2A44"/>
          </w:tcPr>
          <w:p>
            <w:r/>
            <w:r>
              <w:rPr>
                <w:b/>
                <w:color w:val="FFFFFF"/>
                <w:sz w:val="16"/>
              </w:rPr>
              <w:t>Issue</w:t>
            </w:r>
          </w:p>
        </w:tc>
        <w:tc>
          <w:tcPr>
            <w:tcW w:type="dxa" w:w="2880"/>
            <w:shd w:val="clear" w:color="auto" w:fill="1F2A44"/>
          </w:tcPr>
          <w:p>
            <w:r/>
            <w:r>
              <w:rPr>
                <w:b/>
                <w:color w:val="FFFFFF"/>
                <w:sz w:val="16"/>
              </w:rPr>
              <w:t>Saxonbrook position</w:t>
            </w:r>
          </w:p>
        </w:tc>
        <w:tc>
          <w:tcPr>
            <w:tcW w:type="dxa" w:w="4464"/>
            <w:shd w:val="clear" w:color="auto" w:fill="1F2A44"/>
          </w:tcPr>
          <w:p>
            <w:r/>
            <w:r>
              <w:rPr>
                <w:b/>
                <w:color w:val="FFFFFF"/>
                <w:sz w:val="16"/>
              </w:rPr>
              <w:t>Offer to Meridian (within the NST)</w:t>
            </w:r>
          </w:p>
        </w:tc>
      </w:tr>
      <w:tr>
        <w:tc>
          <w:tcPr>
            <w:tcW w:type="dxa" w:w="2016"/>
          </w:tcPr>
          <w:p>
            <w:r/>
            <w:r>
              <w:rPr>
                <w:sz w:val="16"/>
              </w:rPr>
              <w:t>Board (Req. 1)</w:t>
            </w:r>
          </w:p>
        </w:tc>
        <w:tc>
          <w:tcPr>
            <w:tcW w:type="dxa" w:w="2880"/>
          </w:tcPr>
          <w:p>
            <w:r/>
            <w:r>
              <w:rPr>
                <w:sz w:val="16"/>
              </w:rPr>
              <w:t>CFIUS-Approved majority, with vacancy protection</w:t>
            </w:r>
          </w:p>
        </w:tc>
        <w:tc>
          <w:tcPr>
            <w:tcW w:type="dxa" w:w="4464"/>
          </w:tcPr>
          <w:p>
            <w:r/>
            <w:r>
              <w:rPr>
                <w:sz w:val="16"/>
              </w:rPr>
              <w:t>9-seat board (5/3/1) keeps Meridian’s three seats. Meridian proposes candidates; the Voting Trustee elects them.</w:t>
            </w:r>
          </w:p>
        </w:tc>
      </w:tr>
      <w:tr>
        <w:tc>
          <w:tcPr>
            <w:tcW w:type="dxa" w:w="2016"/>
          </w:tcPr>
          <w:p>
            <w:r/>
            <w:r>
              <w:rPr>
                <w:sz w:val="16"/>
              </w:rPr>
              <w:t>Observer / consultation (Req. 3)</w:t>
            </w:r>
          </w:p>
        </w:tc>
        <w:tc>
          <w:tcPr>
            <w:tcW w:type="dxa" w:w="2880"/>
          </w:tcPr>
          <w:p>
            <w:r/>
            <w:r>
              <w:rPr>
                <w:sz w:val="16"/>
              </w:rPr>
              <w:t>Delete both</w:t>
            </w:r>
          </w:p>
        </w:tc>
        <w:tc>
          <w:tcPr>
            <w:tcW w:type="dxa" w:w="4464"/>
          </w:tcPr>
          <w:p>
            <w:r/>
            <w:r>
              <w:rPr>
                <w:sz w:val="16"/>
              </w:rPr>
              <w:t>Notice of Fundamental Transaction votes, delivered at the same time as to other shareholders, with no input right (Greystone’s own April 15 proposal), subject to CFIUS acceptance. Periodic financial reporting under § 9.3.</w:t>
            </w:r>
          </w:p>
        </w:tc>
      </w:tr>
      <w:tr>
        <w:tc>
          <w:tcPr>
            <w:tcW w:type="dxa" w:w="2016"/>
          </w:tcPr>
          <w:p>
            <w:r/>
            <w:r>
              <w:rPr>
                <w:sz w:val="16"/>
              </w:rPr>
              <w:t>ITAR/EAR (Req. 4)</w:t>
            </w:r>
          </w:p>
        </w:tc>
        <w:tc>
          <w:tcPr>
            <w:tcW w:type="dxa" w:w="2880"/>
          </w:tcPr>
          <w:p>
            <w:r/>
            <w:r>
              <w:rPr>
                <w:sz w:val="16"/>
              </w:rPr>
              <w:t>Full NST scope and the NST Foreign National definition</w:t>
            </w:r>
          </w:p>
        </w:tc>
        <w:tc>
          <w:tcPr>
            <w:tcW w:type="dxa" w:w="4464"/>
          </w:tcPr>
          <w:p>
            <w:r/>
            <w:r>
              <w:rPr>
                <w:sz w:val="16"/>
              </w:rPr>
              <w:t>License-based path under NST 4.4: Meridian may seek DDTC/BIS authorizations for specific Saxonbrook data, logged and approved by the GSD.</w:t>
            </w:r>
          </w:p>
        </w:tc>
      </w:tr>
      <w:tr>
        <w:tc>
          <w:tcPr>
            <w:tcW w:type="dxa" w:w="2016"/>
          </w:tcPr>
          <w:p>
            <w:r/>
            <w:r>
              <w:rPr>
                <w:sz w:val="16"/>
              </w:rPr>
              <w:t>Incident reporting (Req. 10)</w:t>
            </w:r>
          </w:p>
        </w:tc>
        <w:tc>
          <w:tcPr>
            <w:tcW w:type="dxa" w:w="2880"/>
          </w:tcPr>
          <w:p>
            <w:r/>
            <w:r>
              <w:rPr>
                <w:sz w:val="16"/>
              </w:rPr>
              <w:t>24 hours from discovery by any personnel</w:t>
            </w:r>
          </w:p>
        </w:tc>
        <w:tc>
          <w:tcPr>
            <w:tcW w:type="dxa" w:w="4464"/>
          </w:tcPr>
          <w:p>
            <w:r/>
            <w:r>
              <w:rPr>
                <w:sz w:val="16"/>
              </w:rPr>
              <w:t>Preliminary e-mail report (facts “to the extent known”), an optional 72-hour update, and a detailed report within 5 business days, consistent with the NST’s own two-stage structure.</w:t>
            </w:r>
          </w:p>
        </w:tc>
      </w:tr>
      <w:tr>
        <w:tc>
          <w:tcPr>
            <w:tcW w:type="dxa" w:w="2016"/>
          </w:tcPr>
          <w:p>
            <w:r/>
            <w:r>
              <w:rPr>
                <w:sz w:val="16"/>
              </w:rPr>
              <w:t>Subcontracting (Req. 12)</w:t>
            </w:r>
          </w:p>
        </w:tc>
        <w:tc>
          <w:tcPr>
            <w:tcW w:type="dxa" w:w="2880"/>
          </w:tcPr>
          <w:p>
            <w:r/>
            <w:r>
              <w:rPr>
                <w:sz w:val="16"/>
              </w:rPr>
              <w:t>10%, direct or indirect</w:t>
            </w:r>
          </w:p>
        </w:tc>
        <w:tc>
          <w:tcPr>
            <w:tcW w:type="dxa" w:w="4464"/>
          </w:tcPr>
          <w:p>
            <w:r/>
            <w:r>
              <w:rPr>
                <w:sz w:val="16"/>
              </w:rPr>
              <w:t>Meridian delivers a certified 10%-plus entity schedule. Case-by-case CFIUS approval requests for particular joint-venture subcontractors.</w:t>
            </w:r>
          </w:p>
        </w:tc>
      </w:tr>
      <w:tr>
        <w:tc>
          <w:tcPr>
            <w:tcW w:type="dxa" w:w="2016"/>
          </w:tcPr>
          <w:p>
            <w:r/>
            <w:r>
              <w:rPr>
                <w:sz w:val="16"/>
              </w:rPr>
              <w:t>Monitor (Req. 8)</w:t>
            </w:r>
          </w:p>
        </w:tc>
        <w:tc>
          <w:tcPr>
            <w:tcW w:type="dxa" w:w="2880"/>
          </w:tcPr>
          <w:p>
            <w:r/>
            <w:r>
              <w:rPr>
                <w:sz w:val="16"/>
              </w:rPr>
              <w:t>Semiannual audits; 30-day reports</w:t>
            </w:r>
          </w:p>
        </w:tc>
        <w:tc>
          <w:tcPr>
            <w:tcW w:type="dxa" w:w="4464"/>
          </w:tcPr>
          <w:p>
            <w:r/>
            <w:r>
              <w:rPr>
                <w:sz w:val="16"/>
              </w:rPr>
              <w:t>Saxonbrook bears the incremental Pinnacle cost (already its fee obligation under § 12.4).</w:t>
            </w:r>
          </w:p>
        </w:tc>
      </w:tr>
    </w:tbl>
    <w:p>
      <w:pPr>
        <w:spacing w:after="40"/>
      </w:pPr>
    </w:p>
    <w:p>
      <w:pPr>
        <w:pStyle w:val="Heading2"/>
      </w:pPr>
      <w:r>
        <w:t>C. Questions for the Informal Treasury Outreach (Kit / Dr. Keene’s Office)</w:t>
      </w:r>
    </w:p>
    <w:p>
      <w:pPr>
        <w:pStyle w:val="ListBullet"/>
        <w:spacing w:after="60"/>
      </w:pPr>
      <w:r>
        <w:t>Would CFIUS accept a 9-seat (5/3/1) board? Does it read NST 3.3(i) as barring any Meridian nomination right, notwithstanding NST 1.6?</w:t>
      </w:r>
    </w:p>
    <w:p>
      <w:pPr>
        <w:pStyle w:val="ListBullet"/>
        <w:spacing w:after="60"/>
      </w:pPr>
      <w:r>
        <w:t>Would CFIUS accept notice-only treatment of Fundamental Transactions under the NST 3.3(iii) “economic value” carve-out?</w:t>
      </w:r>
    </w:p>
    <w:p>
      <w:pPr>
        <w:pStyle w:val="ListBullet"/>
        <w:spacing w:after="60"/>
      </w:pPr>
      <w:r>
        <w:t>Does CFIUS expect the NST’s $250,000 per-violation reference to be updated to the current regulatory maximum?</w:t>
      </w:r>
    </w:p>
    <w:p>
      <w:pPr>
        <w:pStyle w:val="ListBullet"/>
        <w:spacing w:after="60"/>
      </w:pPr>
      <w:r>
        <w:t>Does CFIUS expect specific timing for barrier implementation (at Closing versus a short phase-in), given the NST’s silence?</w:t>
      </w:r>
    </w:p>
    <w:p>
      <w:pPr>
        <w:pStyle w:val="ListBullet"/>
        <w:spacing w:after="60"/>
      </w:pPr>
      <w:r>
        <w:t>The “Vanguard Precision Systems, Inc.” reference in the NST acknowledgment block.</w:t>
      </w:r>
    </w:p>
    <w:p>
      <w:pPr>
        <w:pStyle w:val="Heading2"/>
      </w:pPr>
      <w:r>
        <w:t>D. Client Decisions Needed (David Ostroff / Meg Harlow / Dr. Kessler)</w:t>
      </w:r>
    </w:p>
    <w:p>
      <w:pPr>
        <w:pStyle w:val="ListBullet"/>
        <w:spacing w:after="60"/>
      </w:pPr>
      <w:r>
        <w:t>Is Saxonbrook willing to hold firm on board composition and the Observer, even at some risk to the May 3 date? Our view is that submitting a non-compliant structure is the greater risk to the timetable, because the NST signals that CFIUS may recommend blocking the transaction.</w:t>
      </w:r>
    </w:p>
    <w:p>
      <w:pPr>
        <w:pStyle w:val="ListBullet"/>
        <w:spacing w:after="60"/>
      </w:pPr>
      <w:r>
        <w:t>Approve the 9-seat fallback. Identify additional independent nominees (two more under the 9-seat option) and confirm TS/SCI eligibility for Ms. Langford (currently SECRET) and Col. (Ret.) Byrd (currently TOP SECRET).</w:t>
      </w:r>
    </w:p>
    <w:p>
      <w:pPr>
        <w:pStyle w:val="ListBullet"/>
        <w:spacing w:after="60"/>
      </w:pPr>
      <w:r>
        <w:t>Confirm Dr. Kessler’s post-Closing role and the correct corporate name (Gap X-1).</w:t>
      </w:r>
    </w:p>
    <w:p>
      <w:pPr>
        <w:pStyle w:val="ListBullet"/>
        <w:spacing w:after="60"/>
      </w:pPr>
      <w:r>
        <w:t>Budget for semiannual monitoring, and for segmenting the general engineering network before Closing.</w:t>
      </w:r>
    </w:p>
    <w:p>
      <w:pPr>
        <w:pStyle w:val="Heading2"/>
      </w:pPr>
      <w:r>
        <w:t>E. Timetable to May 3, 2025</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F2A44"/>
          </w:tcPr>
          <w:p>
            <w:r/>
            <w:r>
              <w:rPr>
                <w:b/>
                <w:color w:val="FFFFFF"/>
                <w:sz w:val="16"/>
              </w:rPr>
              <w:t>Date</w:t>
            </w:r>
          </w:p>
        </w:tc>
        <w:tc>
          <w:tcPr>
            <w:tcW w:type="dxa" w:w="7200"/>
            <w:shd w:val="clear" w:color="auto" w:fill="1F2A44"/>
          </w:tcPr>
          <w:p>
            <w:r/>
            <w:r>
              <w:rPr>
                <w:b/>
                <w:color w:val="FFFFFF"/>
                <w:sz w:val="16"/>
              </w:rPr>
              <w:t>Action</w:t>
            </w:r>
          </w:p>
        </w:tc>
      </w:tr>
      <w:tr>
        <w:tc>
          <w:tcPr>
            <w:tcW w:type="dxa" w:w="2160"/>
          </w:tcPr>
          <w:p>
            <w:r/>
            <w:r>
              <w:rPr>
                <w:sz w:val="16"/>
              </w:rPr>
              <w:t>Tue Apr 22</w:t>
            </w:r>
          </w:p>
        </w:tc>
        <w:tc>
          <w:tcPr>
            <w:tcW w:type="dxa" w:w="7200"/>
          </w:tcPr>
          <w:p>
            <w:r/>
            <w:r>
              <w:rPr>
                <w:sz w:val="16"/>
              </w:rPr>
              <w:t>Kit reviews this memorandum. Client call with David Ostroff (and Meg Harlow / Dr. Kessler as appropriate) on the Part VI.D decisions.</w:t>
            </w:r>
          </w:p>
        </w:tc>
      </w:tr>
      <w:tr>
        <w:tc>
          <w:tcPr>
            <w:tcW w:type="dxa" w:w="2160"/>
          </w:tcPr>
          <w:p>
            <w:r/>
            <w:r>
              <w:rPr>
                <w:sz w:val="16"/>
              </w:rPr>
              <w:t>Wed Apr 23</w:t>
            </w:r>
          </w:p>
        </w:tc>
        <w:tc>
          <w:tcPr>
            <w:tcW w:type="dxa" w:w="7200"/>
          </w:tcPr>
          <w:p>
            <w:r/>
            <w:r>
              <w:rPr>
                <w:sz w:val="16"/>
              </w:rPr>
              <w:t>Circulate a Saxonbrook markup of v3.2 (v3.3) to Greystone, combining the Tier 1 positions with a conforming markup of all other gaps.</w:t>
            </w:r>
          </w:p>
        </w:tc>
      </w:tr>
      <w:tr>
        <w:tc>
          <w:tcPr>
            <w:tcW w:type="dxa" w:w="2160"/>
          </w:tcPr>
          <w:p>
            <w:r/>
            <w:r>
              <w:rPr>
                <w:sz w:val="16"/>
              </w:rPr>
              <w:t>Thu Apr 24 – Fri Apr 25</w:t>
            </w:r>
          </w:p>
        </w:tc>
        <w:tc>
          <w:tcPr>
            <w:tcW w:type="dxa" w:w="7200"/>
          </w:tcPr>
          <w:p>
            <w:r/>
            <w:r>
              <w:rPr>
                <w:sz w:val="16"/>
              </w:rPr>
              <w:t>All-parties call (Greystone, Helena Fairchild, Whitfield Moss as needed). Kit’s informal Treasury outreach. Escalate the board issue to Sir Alistair.</w:t>
            </w:r>
          </w:p>
        </w:tc>
      </w:tr>
      <w:tr>
        <w:tc>
          <w:tcPr>
            <w:tcW w:type="dxa" w:w="2160"/>
          </w:tcPr>
          <w:p>
            <w:r/>
            <w:r>
              <w:rPr>
                <w:sz w:val="16"/>
              </w:rPr>
              <w:t>Mon Apr 28 – Tue Apr 29</w:t>
            </w:r>
          </w:p>
        </w:tc>
        <w:tc>
          <w:tcPr>
            <w:tcW w:type="dxa" w:w="7200"/>
          </w:tcPr>
          <w:p>
            <w:r/>
            <w:r>
              <w:rPr>
                <w:sz w:val="16"/>
              </w:rPr>
              <w:t>Final turn. Clearfield and Pinnacle confirm engagement terms (both are waiting on the board and trust terms). Confirm Exhibits A, B, D and E.</w:t>
            </w:r>
          </w:p>
        </w:tc>
      </w:tr>
      <w:tr>
        <w:tc>
          <w:tcPr>
            <w:tcW w:type="dxa" w:w="2160"/>
          </w:tcPr>
          <w:p>
            <w:r/>
            <w:r>
              <w:rPr>
                <w:sz w:val="16"/>
              </w:rPr>
              <w:t>Wed Apr 30 – Thu May 1</w:t>
            </w:r>
          </w:p>
        </w:tc>
        <w:tc>
          <w:tcPr>
            <w:tcW w:type="dxa" w:w="7200"/>
          </w:tcPr>
          <w:p>
            <w:r/>
            <w:r>
              <w:rPr>
                <w:sz w:val="16"/>
              </w:rPr>
              <w:t>Execution by all Parties. Prepare the transmittal to Dr. Keene.</w:t>
            </w:r>
          </w:p>
        </w:tc>
      </w:tr>
      <w:tr>
        <w:tc>
          <w:tcPr>
            <w:tcW w:type="dxa" w:w="2160"/>
          </w:tcPr>
          <w:p>
            <w:r/>
            <w:r>
              <w:rPr>
                <w:sz w:val="16"/>
              </w:rPr>
              <w:t>Fri May 2</w:t>
            </w:r>
          </w:p>
        </w:tc>
        <w:tc>
          <w:tcPr>
            <w:tcW w:type="dxa" w:w="7200"/>
          </w:tcPr>
          <w:p>
            <w:r/>
            <w:r>
              <w:rPr>
                <w:sz w:val="16"/>
              </w:rPr>
              <w:t>Electronic submission to Dr. Keene, one day before the deadline (May 3 is a Saturday). Hard copies by courier within 5 business days (NST § VI).</w:t>
            </w:r>
          </w:p>
        </w:tc>
      </w:tr>
      <w:tr>
        <w:tc>
          <w:tcPr>
            <w:tcW w:type="dxa" w:w="2160"/>
          </w:tcPr>
          <w:p>
            <w:r/>
            <w:r>
              <w:rPr>
                <w:sz w:val="16"/>
              </w:rPr>
              <w:t>By May 31 (Closing − 30)</w:t>
            </w:r>
          </w:p>
        </w:tc>
        <w:tc>
          <w:tcPr>
            <w:tcW w:type="dxa" w:w="7200"/>
          </w:tcPr>
          <w:p>
            <w:r/>
            <w:r>
              <w:rPr>
                <w:sz w:val="16"/>
              </w:rPr>
              <w:t>Submit nominee packages for the CFIUS-Approved Directors and the GSD candidate. Seek CFIUS written approval of Clearfield and Pinnacle before Closing.</w:t>
            </w:r>
          </w:p>
        </w:tc>
      </w:tr>
      <w:tr>
        <w:tc>
          <w:tcPr>
            <w:tcW w:type="dxa" w:w="2160"/>
          </w:tcPr>
          <w:p>
            <w:r/>
            <w:r>
              <w:rPr>
                <w:sz w:val="16"/>
              </w:rPr>
              <w:t>By Closing (Jun 30)</w:t>
            </w:r>
          </w:p>
        </w:tc>
        <w:tc>
          <w:tcPr>
            <w:tcW w:type="dxa" w:w="7200"/>
          </w:tcPr>
          <w:p>
            <w:r/>
            <w:r>
              <w:rPr>
                <w:sz w:val="16"/>
              </w:rPr>
              <w:t>Voting Trust Agreement executed and operative. Charter and bylaw amendments (majority covenant; CFIUS approval of removals). Barriers in place, including engineering-network segmentation.</w:t>
            </w:r>
          </w:p>
        </w:tc>
      </w:tr>
      <w:tr>
        <w:tc>
          <w:tcPr>
            <w:tcW w:type="dxa" w:w="2160"/>
          </w:tcPr>
          <w:p>
            <w:r/>
            <w:r>
              <w:rPr>
                <w:sz w:val="16"/>
              </w:rPr>
              <w:t>Jul 30 / Aug 29 / Dec 31</w:t>
            </w:r>
          </w:p>
        </w:tc>
        <w:tc>
          <w:tcPr>
            <w:tcW w:type="dxa" w:w="7200"/>
          </w:tcPr>
          <w:p>
            <w:r/>
            <w:r>
              <w:rPr>
                <w:sz w:val="16"/>
              </w:rPr>
              <w:t>GSD appointed (Closing + 30). TCP developed and submitted to DCSA (Closing + 60). First semiannual audit (Closing + 6 months).</w:t>
            </w:r>
          </w:p>
        </w:tc>
      </w:tr>
      <w:tr>
        <w:tc>
          <w:tcPr>
            <w:tcW w:type="dxa" w:w="2160"/>
          </w:tcPr>
          <w:p>
            <w:r/>
            <w:r>
              <w:rPr>
                <w:sz w:val="16"/>
              </w:rPr>
              <w:t>Jan 30 / Mar 31, 2026</w:t>
            </w:r>
          </w:p>
        </w:tc>
        <w:tc>
          <w:tcPr>
            <w:tcW w:type="dxa" w:w="7200"/>
          </w:tcPr>
          <w:p>
            <w:r/>
            <w:r>
              <w:rPr>
                <w:sz w:val="16"/>
              </w:rPr>
              <w:t>Trustee annual certification. First (stub-period) Annual Compliance Report.</w:t>
            </w:r>
          </w:p>
        </w:tc>
      </w:tr>
    </w:tbl>
    <w:p>
      <w:pPr>
        <w:spacing w:after="40"/>
      </w:pPr>
    </w:p>
    <w:p>
      <w:pPr>
        <w:pStyle w:val="Heading1"/>
      </w:pPr>
      <w:r>
        <w:t>VII. Caveats</w:t>
      </w:r>
    </w:p>
    <w:p>
      <w:pPr>
        <w:spacing w:after="120"/>
      </w:pPr>
      <w:r>
        <w:rPr>
          <w:i w:val="0"/>
        </w:rPr>
        <w:t>This memorandum is based solely on the documents identified in Part II. It does not reflect any communication with CFIUS or DCSA. The market comparisons rest on a five-precedent sample. The references to the November 2024 amendments to CFIUS’s penalty regulations should be confirmed against the current text of 31 C.F.R. Part 800 before any reliance or submission. The proposed language in this memorandum is for negotiation purposes and should be conformed in the full v3.3 markup. Because this memorandum quotes CONTROLLED//CFIUS SENSITIVE material, it should be distributed only within the Saxonbrook engagement team.</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Privileged &amp; Confidential — Attorney Work Product — CFIUS-2025-00147 NST Gap Analysis — Page </w:t>
    </w:r>
    <w:r>
      <w:rPr>
        <w:sz w:val="16"/>
      </w:rPr>
      <w:fldChar w:fldCharType="begin"/>
    </w:r>
    <w:r>
      <w:rPr>
        <w:sz w:val="16"/>
      </w:rPr>
      <w:instrText xml:space="preserve">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