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18"/>
        </w:rPr>
        <w:t>PRIVILEGED &amp; CONFIDENTIAL — ATTORNEY-CLIENT COMMUNICATION / ATTORNEY WORK PRODUCT</w:t>
      </w:r>
    </w:p>
    <w:p>
      <w:pPr>
        <w:spacing w:after="40"/>
        <w:jc w:val="center"/>
      </w:pPr>
      <w:r>
        <w:rPr>
          <w:b/>
          <w:i w:val="0"/>
          <w:sz w:val="32"/>
        </w:rPr>
        <w:t>DISBURSEMENT COMPLIANCE REPORT</w:t>
      </w:r>
    </w:p>
    <w:p>
      <w:pPr>
        <w:spacing w:after="200"/>
        <w:jc w:val="center"/>
      </w:pPr>
      <w:r>
        <w:rPr>
          <w:b/>
          <w:i w:val="0"/>
          <w:sz w:val="24"/>
        </w:rPr>
        <w:t>Hargrove, Winslow &amp; Keane LLP Invoice No. HWK-2025-05-4781 (May 2025)</w:t>
      </w:r>
    </w:p>
    <w:tbl>
      <w:tblPr>
        <w:tblStyle w:val="TableGrid"/>
        <w:tblW w:type="auto" w:w="0"/>
        <w:tblLook w:firstColumn="1" w:firstRow="1" w:lastColumn="0" w:lastRow="0" w:noHBand="0" w:noVBand="1" w:val="04A0"/>
      </w:tblPr>
      <w:tblGrid>
        <w:gridCol w:w="4824"/>
        <w:gridCol w:w="4824"/>
      </w:tblGrid>
      <w:tr>
        <w:tc>
          <w:tcPr>
            <w:tcW w:type="dxa" w:w="2016"/>
            <w:shd w:val="clear" w:color="auto" w:fill="D9E2F3"/>
          </w:tcPr>
          <w:p>
            <w:r>
              <w:rPr>
                <w:sz w:val="19"/>
              </w:rPr>
            </w:r>
            <w:r>
              <w:rPr>
                <w:b/>
                <w:sz w:val="19"/>
              </w:rPr>
              <w:t>To</w:t>
            </w:r>
          </w:p>
        </w:tc>
        <w:tc>
          <w:tcPr>
            <w:tcW w:type="dxa" w:w="7632"/>
          </w:tcPr>
          <w:p>
            <w:r>
              <w:rPr>
                <w:sz w:val="19"/>
              </w:rPr>
              <w:t>Derek Yamashita, Associate General Counsel and Relationship Attorney, Pinnacle Health Systems, Inc.</w:t>
            </w:r>
          </w:p>
        </w:tc>
      </w:tr>
      <w:tr>
        <w:tc>
          <w:tcPr>
            <w:tcW w:type="dxa" w:w="2016"/>
            <w:shd w:val="clear" w:color="auto" w:fill="D9E2F3"/>
          </w:tcPr>
          <w:p>
            <w:r>
              <w:rPr>
                <w:sz w:val="19"/>
              </w:rPr>
            </w:r>
            <w:r>
              <w:rPr>
                <w:b/>
                <w:sz w:val="19"/>
              </w:rPr>
              <w:t>cc</w:t>
            </w:r>
          </w:p>
        </w:tc>
        <w:tc>
          <w:tcPr>
            <w:tcW w:type="dxa" w:w="7632"/>
          </w:tcPr>
          <w:p>
            <w:r>
              <w:rPr>
                <w:sz w:val="19"/>
              </w:rPr>
              <w:t>Lorraine Cha, General Counsel (approval required — total recommended reductions exceed $25,000; see Part VI)</w:t>
            </w:r>
          </w:p>
        </w:tc>
      </w:tr>
      <w:tr>
        <w:tc>
          <w:tcPr>
            <w:tcW w:type="dxa" w:w="2016"/>
            <w:shd w:val="clear" w:color="auto" w:fill="D9E2F3"/>
          </w:tcPr>
          <w:p>
            <w:r>
              <w:rPr>
                <w:sz w:val="19"/>
              </w:rPr>
            </w:r>
            <w:r>
              <w:rPr>
                <w:b/>
                <w:sz w:val="19"/>
              </w:rPr>
              <w:t>From</w:t>
            </w:r>
          </w:p>
        </w:tc>
        <w:tc>
          <w:tcPr>
            <w:tcW w:type="dxa" w:w="7632"/>
          </w:tcPr>
          <w:p>
            <w:r>
              <w:rPr>
                <w:sz w:val="19"/>
              </w:rPr>
              <w:t>Invoice Review</w:t>
            </w:r>
          </w:p>
        </w:tc>
      </w:tr>
      <w:tr>
        <w:tc>
          <w:tcPr>
            <w:tcW w:type="dxa" w:w="2016"/>
            <w:shd w:val="clear" w:color="auto" w:fill="D9E2F3"/>
          </w:tcPr>
          <w:p>
            <w:r>
              <w:rPr>
                <w:sz w:val="19"/>
              </w:rPr>
            </w:r>
            <w:r>
              <w:rPr>
                <w:b/>
                <w:sz w:val="19"/>
              </w:rPr>
              <w:t>Matter</w:t>
            </w:r>
          </w:p>
        </w:tc>
        <w:tc>
          <w:tcPr>
            <w:tcW w:type="dxa" w:w="7632"/>
          </w:tcPr>
          <w:p>
            <w:r>
              <w:rPr>
                <w:sz w:val="19"/>
              </w:rPr>
              <w:t>Morales v. Pinnacle Health Systems, Inc., Case No. 3:24-cv-01847-RJC (W.D.N.C.); HWK Client/Matter No. 4922-001</w:t>
            </w:r>
          </w:p>
        </w:tc>
      </w:tr>
      <w:tr>
        <w:tc>
          <w:tcPr>
            <w:tcW w:type="dxa" w:w="2016"/>
            <w:shd w:val="clear" w:color="auto" w:fill="D9E2F3"/>
          </w:tcPr>
          <w:p>
            <w:r>
              <w:rPr>
                <w:sz w:val="19"/>
              </w:rPr>
            </w:r>
            <w:r>
              <w:rPr>
                <w:b/>
                <w:sz w:val="19"/>
              </w:rPr>
              <w:t>Invoice</w:t>
            </w:r>
          </w:p>
        </w:tc>
        <w:tc>
          <w:tcPr>
            <w:tcW w:type="dxa" w:w="7632"/>
          </w:tcPr>
          <w:p>
            <w:r>
              <w:rPr>
                <w:sz w:val="19"/>
              </w:rPr>
              <w:t>HWK-2025-05-4781, dated June 3, 2025; billing period May 1–31, 2025; billing partner Constance Aldridge</w:t>
            </w:r>
          </w:p>
        </w:tc>
      </w:tr>
      <w:tr>
        <w:tc>
          <w:tcPr>
            <w:tcW w:type="dxa" w:w="2016"/>
            <w:shd w:val="clear" w:color="auto" w:fill="D9E2F3"/>
          </w:tcPr>
          <w:p>
            <w:r>
              <w:rPr>
                <w:sz w:val="19"/>
              </w:rPr>
            </w:r>
            <w:r>
              <w:rPr>
                <w:b/>
                <w:sz w:val="19"/>
              </w:rPr>
              <w:t>Sources reviewed</w:t>
            </w:r>
          </w:p>
        </w:tc>
        <w:tc>
          <w:tcPr>
            <w:tcW w:type="dxa" w:w="7632"/>
          </w:tcPr>
          <w:p>
            <w:r>
              <w:rPr>
                <w:sz w:val="19"/>
              </w:rPr>
              <w:t>(1) HWK invoice workbook (hwk-invoice-may-2025.xlsx: Summary, Professional Fees, Disbursements); (2) Pinnacle Outside Counsel Billing Guidelines, Version 3.1, eff. Jan. 15, 2024 (“GL”); (3) Pre-Approval Correspondence Log, certified by D. Yamashita June 5, 2025 (“Log”); (4) HWK Engagement Letter dated Oct. 1, 2024, countersigned Oct. 3, 2024 (“EL”)</w:t>
            </w:r>
          </w:p>
        </w:tc>
      </w:tr>
    </w:tbl>
    <w:p/>
    <w:p>
      <w:pPr>
        <w:pStyle w:val="Heading1"/>
      </w:pPr>
      <w:r>
        <w:rPr>
          <w:color w:val="1F3864"/>
        </w:rPr>
        <w:t>I. Executive Summary</w:t>
      </w:r>
    </w:p>
    <w:p>
      <w:pPr>
        <w:spacing w:after="120"/>
      </w:pPr>
      <w:r>
        <w:rPr>
          <w:b w:val="0"/>
          <w:i w:val="0"/>
        </w:rPr>
        <w:t>All 47 disbursement line items on the May 2025 invoice were tested against the Guidelines, the six certified pre-approvals in the Log, and the disbursement terms of the Engagement Letter (which incorporates the Guidelines and provides that the more restrictive provision controls; GL §1, EL §6). The principal conclusions are:</w:t>
      </w:r>
    </w:p>
    <w:p>
      <w:pPr>
        <w:pStyle w:val="ListBullet"/>
        <w:spacing w:after="60"/>
      </w:pPr>
      <w:r>
        <w:rPr>
          <w:b/>
        </w:rPr>
        <w:t>Invoice cannot be paid as submitted.</w:t>
      </w:r>
      <w:r>
        <w:t xml:space="preserve"> The disbursement schedule does not foot. The 47 line items total $145,404.30, but the invoice Summary and the schedule’s own “TOTAL DISBURSEMENTS” line state $86,742.19 — a $58,662.11 discrepancy. The professional-fee schedule is also misstated in the opposite direction (line items total $161,698.50 vs. $187,420.00 stated). The invoice violates GL §6.7 and should be returned for correction before any payment.</w:t>
      </w:r>
    </w:p>
    <w:p>
      <w:pPr>
        <w:pStyle w:val="ListBullet"/>
        <w:spacing w:after="60"/>
      </w:pPr>
      <w:r>
        <w:rPr>
          <w:b/>
        </w:rPr>
        <w:t>Recommended reductions: $42,822.30.</w:t>
      </w:r>
      <w:r>
        <w:t xml:space="preserve"> Recommended reductions total $42,822.30 across 24 line items (11 reduced, 13 rejected in full), leaving $102,582.00 in allowable disbursements measured against the line items.</w:t>
      </w:r>
    </w:p>
    <w:p>
      <w:pPr>
        <w:pStyle w:val="ListBullet"/>
        <w:spacing w:after="60"/>
      </w:pPr>
      <w:r>
        <w:rPr>
          <w:b/>
        </w:rPr>
        <w:t>Items on hold: $6,029.00.</w:t>
      </w:r>
      <w:r>
        <w:t xml:space="preserve"> A further 9 line items totaling $6,029.00 should be held pending supporting documentation or revised descriptions (Part V). One of these (Line 9, $87.00) is likely to become a reduction.</w:t>
      </w:r>
    </w:p>
    <w:p>
      <w:pPr>
        <w:pStyle w:val="ListBullet"/>
        <w:spacing w:after="60"/>
      </w:pPr>
      <w:r>
        <w:rPr>
          <w:b/>
        </w:rPr>
        <w:t>GC approval required.</w:t>
      </w:r>
      <w:r>
        <w:t xml:space="preserve"> Because the reductions exceed $25,000 for this invoice, they require General Counsel approval before being imposed (GL §8.2(b); EL §5). Notice of reductions is due to the billing partner within 15 business days of receipt (GL §8.3).</w:t>
      </w:r>
    </w:p>
    <w:p>
      <w:pPr>
        <w:pStyle w:val="ListBullet"/>
        <w:spacing w:after="60"/>
      </w:pPr>
      <w:r>
        <w:rPr>
          <w:b/>
        </w:rPr>
        <w:t>Root cause: pre-approval discipline.</w:t>
      </w:r>
      <w:r>
        <w:t xml:space="preserve"> Approximately 86% of the dollar value of the reductions ($36,810.00) stems from unapproved or over-cap third-party spend: an unapproved expert (Dr. Voss), an unapproved consultant (GraphicWorks), an unapproved contract attorney (A. Brooks), an unapproved &gt;$5,000 scanning job (DataScan), and overruns of the approved caps for Dr. Hartsfield, Relativity/e-discovery and R. Chen’s rate (which Pinnacle had expressly refused to raise).</w:t>
      </w:r>
    </w:p>
    <w:p>
      <w:pPr>
        <w:spacing w:after="40"/>
      </w:pPr>
      <w:r>
        <w:rPr>
          <w:b/>
          <w:i w:val="0"/>
        </w:rPr>
        <w:t>Summary of results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7200"/>
            <w:shd w:val="clear" w:color="auto" w:fill="1F3864"/>
          </w:tcPr>
          <w:p>
            <w:r/>
            <w:r>
              <w:rPr>
                <w:b/>
                <w:color w:val="FFFFFF"/>
                <w:sz w:val="19"/>
              </w:rPr>
              <w:t>Measure</w:t>
            </w:r>
          </w:p>
        </w:tc>
        <w:tc>
          <w:tcPr>
            <w:tcW w:type="dxa" w:w="2448"/>
            <w:shd w:val="clear" w:color="auto" w:fill="1F3864"/>
          </w:tcPr>
          <w:p>
            <w:r/>
            <w:r>
              <w:rPr>
                <w:b/>
                <w:color w:val="FFFFFF"/>
                <w:sz w:val="19"/>
              </w:rPr>
              <w:t>Amount</w:t>
            </w:r>
          </w:p>
        </w:tc>
      </w:tr>
      <w:tr>
        <w:tc>
          <w:tcPr>
            <w:tcW w:type="dxa" w:w="7200"/>
          </w:tcPr>
          <w:p>
            <w:r/>
            <w:r>
              <w:rPr>
                <w:sz w:val="19"/>
              </w:rPr>
              <w:t>Disbursements as stated on invoice (Summary / schedule total)</w:t>
            </w:r>
          </w:p>
        </w:tc>
        <w:tc>
          <w:tcPr>
            <w:tcW w:type="dxa" w:w="2448"/>
          </w:tcPr>
          <w:p>
            <w:r/>
            <w:r>
              <w:rPr>
                <w:sz w:val="19"/>
              </w:rPr>
              <w:t>$86,742.19</w:t>
            </w:r>
          </w:p>
        </w:tc>
      </w:tr>
      <w:tr>
        <w:tc>
          <w:tcPr>
            <w:tcW w:type="dxa" w:w="7200"/>
          </w:tcPr>
          <w:p>
            <w:r/>
            <w:r>
              <w:rPr>
                <w:sz w:val="19"/>
              </w:rPr>
              <w:t>Disbursements per sum of 47 line items</w:t>
            </w:r>
          </w:p>
        </w:tc>
        <w:tc>
          <w:tcPr>
            <w:tcW w:type="dxa" w:w="2448"/>
          </w:tcPr>
          <w:p>
            <w:r/>
            <w:r>
              <w:rPr>
                <w:sz w:val="19"/>
              </w:rPr>
              <w:t>$145,404.30</w:t>
            </w:r>
          </w:p>
        </w:tc>
      </w:tr>
      <w:tr>
        <w:tc>
          <w:tcPr>
            <w:tcW w:type="dxa" w:w="7200"/>
          </w:tcPr>
          <w:p>
            <w:r/>
            <w:r>
              <w:rPr>
                <w:sz w:val="19"/>
              </w:rPr>
              <w:t>Footing discrepancy (line items exceed stated total)</w:t>
            </w:r>
          </w:p>
        </w:tc>
        <w:tc>
          <w:tcPr>
            <w:tcW w:type="dxa" w:w="2448"/>
          </w:tcPr>
          <w:p>
            <w:r/>
            <w:r>
              <w:rPr>
                <w:sz w:val="19"/>
              </w:rPr>
              <w:t>$58,662.11</w:t>
            </w:r>
          </w:p>
        </w:tc>
      </w:tr>
      <w:tr>
        <w:tc>
          <w:tcPr>
            <w:tcW w:type="dxa" w:w="7200"/>
          </w:tcPr>
          <w:p>
            <w:r/>
            <w:r>
              <w:rPr>
                <w:sz w:val="19"/>
              </w:rPr>
              <w:t>Recommended reductions (reduce + reject)</w:t>
            </w:r>
          </w:p>
        </w:tc>
        <w:tc>
          <w:tcPr>
            <w:tcW w:type="dxa" w:w="2448"/>
          </w:tcPr>
          <w:p>
            <w:r/>
            <w:r>
              <w:rPr>
                <w:sz w:val="19"/>
              </w:rPr>
              <w:t>$42,822.30</w:t>
            </w:r>
          </w:p>
        </w:tc>
      </w:tr>
      <w:tr>
        <w:tc>
          <w:tcPr>
            <w:tcW w:type="dxa" w:w="7200"/>
          </w:tcPr>
          <w:p>
            <w:r/>
            <w:r>
              <w:rPr>
                <w:sz w:val="19"/>
              </w:rPr>
              <w:t>Allowable disbursements after reductions (line-item basis)</w:t>
            </w:r>
          </w:p>
        </w:tc>
        <w:tc>
          <w:tcPr>
            <w:tcW w:type="dxa" w:w="2448"/>
          </w:tcPr>
          <w:p>
            <w:r/>
            <w:r>
              <w:rPr>
                <w:sz w:val="19"/>
              </w:rPr>
              <w:t>$102,582.00</w:t>
            </w:r>
          </w:p>
        </w:tc>
      </w:tr>
      <w:tr>
        <w:tc>
          <w:tcPr>
            <w:tcW w:type="dxa" w:w="7200"/>
          </w:tcPr>
          <w:p>
            <w:r/>
            <w:r>
              <w:rPr>
                <w:sz w:val="19"/>
              </w:rPr>
              <w:t xml:space="preserve">   of which: held pending documentation (Part V)</w:t>
            </w:r>
          </w:p>
        </w:tc>
        <w:tc>
          <w:tcPr>
            <w:tcW w:type="dxa" w:w="2448"/>
          </w:tcPr>
          <w:p>
            <w:r/>
            <w:r>
              <w:rPr>
                <w:sz w:val="19"/>
              </w:rPr>
              <w:t>$6,029.00</w:t>
            </w:r>
          </w:p>
        </w:tc>
      </w:tr>
      <w:tr>
        <w:tc>
          <w:tcPr>
            <w:tcW w:type="dxa" w:w="7200"/>
          </w:tcPr>
          <w:p>
            <w:r/>
            <w:r>
              <w:rPr>
                <w:sz w:val="19"/>
              </w:rPr>
              <w:t>Allowable disbursements cleared for payment now (after reductions and holds)</w:t>
            </w:r>
          </w:p>
        </w:tc>
        <w:tc>
          <w:tcPr>
            <w:tcW w:type="dxa" w:w="2448"/>
          </w:tcPr>
          <w:p>
            <w:r/>
            <w:r>
              <w:rPr>
                <w:sz w:val="19"/>
              </w:rPr>
              <w:t>$96,553.00</w:t>
            </w:r>
          </w:p>
        </w:tc>
      </w:tr>
    </w:tbl>
    <w:p>
      <w:pPr>
        <w:spacing w:after="40"/>
      </w:pPr>
    </w:p>
    <w:p>
      <w:pPr>
        <w:spacing w:after="40"/>
      </w:pPr>
      <w:r>
        <w:rPr>
          <w:b/>
          <w:i w:val="0"/>
        </w:rPr>
        <w:t>Reductions by category</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3456"/>
            <w:shd w:val="clear" w:color="auto" w:fill="1F3864"/>
          </w:tcPr>
          <w:p>
            <w:r/>
            <w:r>
              <w:rPr>
                <w:b/>
                <w:color w:val="FFFFFF"/>
                <w:sz w:val="18"/>
              </w:rPr>
              <w:t>Category</w:t>
            </w:r>
          </w:p>
        </w:tc>
        <w:tc>
          <w:tcPr>
            <w:tcW w:type="dxa" w:w="1584"/>
            <w:shd w:val="clear" w:color="auto" w:fill="1F3864"/>
          </w:tcPr>
          <w:p>
            <w:r/>
            <w:r>
              <w:rPr>
                <w:b/>
                <w:color w:val="FFFFFF"/>
                <w:sz w:val="18"/>
              </w:rPr>
              <w:t>Billed (line items)</w:t>
            </w:r>
          </w:p>
        </w:tc>
        <w:tc>
          <w:tcPr>
            <w:tcW w:type="dxa" w:w="1728"/>
            <w:shd w:val="clear" w:color="auto" w:fill="1F3864"/>
          </w:tcPr>
          <w:p>
            <w:r/>
            <w:r>
              <w:rPr>
                <w:b/>
                <w:color w:val="FFFFFF"/>
                <w:sz w:val="18"/>
              </w:rPr>
              <w:t>Recommended reduction</w:t>
            </w:r>
          </w:p>
        </w:tc>
        <w:tc>
          <w:tcPr>
            <w:tcW w:type="dxa" w:w="1584"/>
            <w:shd w:val="clear" w:color="auto" w:fill="1F3864"/>
          </w:tcPr>
          <w:p>
            <w:r/>
            <w:r>
              <w:rPr>
                <w:b/>
                <w:color w:val="FFFFFF"/>
                <w:sz w:val="18"/>
              </w:rPr>
              <w:t>Allowable</w:t>
            </w:r>
          </w:p>
        </w:tc>
        <w:tc>
          <w:tcPr>
            <w:tcW w:type="dxa" w:w="1296"/>
            <w:shd w:val="clear" w:color="auto" w:fill="1F3864"/>
          </w:tcPr>
          <w:p>
            <w:r/>
            <w:r>
              <w:rPr>
                <w:b/>
                <w:color w:val="FFFFFF"/>
                <w:sz w:val="18"/>
              </w:rPr>
              <w:t>On hold</w:t>
            </w:r>
          </w:p>
        </w:tc>
      </w:tr>
      <w:tr>
        <w:tc>
          <w:tcPr>
            <w:tcW w:type="dxa" w:w="3456"/>
          </w:tcPr>
          <w:p>
            <w:r/>
            <w:r>
              <w:rPr>
                <w:sz w:val="18"/>
              </w:rPr>
              <w:t>Travel (Lines 1–14)</w:t>
            </w:r>
          </w:p>
        </w:tc>
        <w:tc>
          <w:tcPr>
            <w:tcW w:type="dxa" w:w="1584"/>
          </w:tcPr>
          <w:p>
            <w:r/>
            <w:r>
              <w:rPr>
                <w:sz w:val="18"/>
              </w:rPr>
              <w:t>$3,788.30</w:t>
            </w:r>
          </w:p>
        </w:tc>
        <w:tc>
          <w:tcPr>
            <w:tcW w:type="dxa" w:w="1728"/>
          </w:tcPr>
          <w:p>
            <w:r/>
            <w:r>
              <w:rPr>
                <w:sz w:val="18"/>
              </w:rPr>
              <w:t>$477.80</w:t>
            </w:r>
          </w:p>
        </w:tc>
        <w:tc>
          <w:tcPr>
            <w:tcW w:type="dxa" w:w="1584"/>
          </w:tcPr>
          <w:p>
            <w:r/>
            <w:r>
              <w:rPr>
                <w:sz w:val="18"/>
              </w:rPr>
              <w:t>$3,310.50</w:t>
            </w:r>
          </w:p>
        </w:tc>
        <w:tc>
          <w:tcPr>
            <w:tcW w:type="dxa" w:w="1296"/>
          </w:tcPr>
          <w:p>
            <w:r/>
            <w:r>
              <w:rPr>
                <w:sz w:val="18"/>
              </w:rPr>
              <w:t>$181.50</w:t>
            </w:r>
          </w:p>
        </w:tc>
      </w:tr>
      <w:tr>
        <w:tc>
          <w:tcPr>
            <w:tcW w:type="dxa" w:w="3456"/>
          </w:tcPr>
          <w:p>
            <w:r/>
            <w:r>
              <w:rPr>
                <w:sz w:val="18"/>
              </w:rPr>
              <w:t>Document production (15–21)</w:t>
            </w:r>
          </w:p>
        </w:tc>
        <w:tc>
          <w:tcPr>
            <w:tcW w:type="dxa" w:w="1584"/>
          </w:tcPr>
          <w:p>
            <w:r/>
            <w:r>
              <w:rPr>
                <w:sz w:val="18"/>
              </w:rPr>
              <w:t>$14,940.00</w:t>
            </w:r>
          </w:p>
        </w:tc>
        <w:tc>
          <w:tcPr>
            <w:tcW w:type="dxa" w:w="1728"/>
          </w:tcPr>
          <w:p>
            <w:r/>
            <w:r>
              <w:rPr>
                <w:sz w:val="18"/>
              </w:rPr>
              <w:t>$7,420.00</w:t>
            </w:r>
          </w:p>
        </w:tc>
        <w:tc>
          <w:tcPr>
            <w:tcW w:type="dxa" w:w="1584"/>
          </w:tcPr>
          <w:p>
            <w:r/>
            <w:r>
              <w:rPr>
                <w:sz w:val="18"/>
              </w:rPr>
              <w:t>$7,520.00</w:t>
            </w:r>
          </w:p>
        </w:tc>
        <w:tc>
          <w:tcPr>
            <w:tcW w:type="dxa" w:w="1296"/>
          </w:tcPr>
          <w:p>
            <w:r/>
            <w:r>
              <w:rPr>
                <w:sz w:val="18"/>
              </w:rPr>
              <w:t>$5,655.00</w:t>
            </w:r>
          </w:p>
        </w:tc>
      </w:tr>
      <w:tr>
        <w:tc>
          <w:tcPr>
            <w:tcW w:type="dxa" w:w="3456"/>
          </w:tcPr>
          <w:p>
            <w:r/>
            <w:r>
              <w:rPr>
                <w:sz w:val="18"/>
              </w:rPr>
              <w:t>Expert / consultant fees (22–27)</w:t>
            </w:r>
          </w:p>
        </w:tc>
        <w:tc>
          <w:tcPr>
            <w:tcW w:type="dxa" w:w="1584"/>
          </w:tcPr>
          <w:p>
            <w:r/>
            <w:r>
              <w:rPr>
                <w:sz w:val="18"/>
              </w:rPr>
              <w:t>$76,800.00</w:t>
            </w:r>
          </w:p>
        </w:tc>
        <w:tc>
          <w:tcPr>
            <w:tcW w:type="dxa" w:w="1728"/>
          </w:tcPr>
          <w:p>
            <w:r/>
            <w:r>
              <w:rPr>
                <w:sz w:val="18"/>
              </w:rPr>
              <w:t>$17,950.00</w:t>
            </w:r>
          </w:p>
        </w:tc>
        <w:tc>
          <w:tcPr>
            <w:tcW w:type="dxa" w:w="1584"/>
          </w:tcPr>
          <w:p>
            <w:r/>
            <w:r>
              <w:rPr>
                <w:sz w:val="18"/>
              </w:rPr>
              <w:t>$58,850.00</w:t>
            </w:r>
          </w:p>
        </w:tc>
        <w:tc>
          <w:tcPr>
            <w:tcW w:type="dxa" w:w="1296"/>
          </w:tcPr>
          <w:p>
            <w:r/>
            <w:r>
              <w:rPr>
                <w:sz w:val="18"/>
              </w:rPr>
              <w:t>$0.00</w:t>
            </w:r>
          </w:p>
        </w:tc>
      </w:tr>
      <w:tr>
        <w:tc>
          <w:tcPr>
            <w:tcW w:type="dxa" w:w="3456"/>
          </w:tcPr>
          <w:p>
            <w:r/>
            <w:r>
              <w:rPr>
                <w:sz w:val="18"/>
              </w:rPr>
              <w:t>Court costs (28–31)</w:t>
            </w:r>
          </w:p>
        </w:tc>
        <w:tc>
          <w:tcPr>
            <w:tcW w:type="dxa" w:w="1584"/>
          </w:tcPr>
          <w:p>
            <w:r/>
            <w:r>
              <w:rPr>
                <w:sz w:val="18"/>
              </w:rPr>
              <w:t>$511.00</w:t>
            </w:r>
          </w:p>
        </w:tc>
        <w:tc>
          <w:tcPr>
            <w:tcW w:type="dxa" w:w="1728"/>
          </w:tcPr>
          <w:p>
            <w:r/>
            <w:r>
              <w:rPr>
                <w:sz w:val="18"/>
              </w:rPr>
              <w:t>$0.00</w:t>
            </w:r>
          </w:p>
        </w:tc>
        <w:tc>
          <w:tcPr>
            <w:tcW w:type="dxa" w:w="1584"/>
          </w:tcPr>
          <w:p>
            <w:r/>
            <w:r>
              <w:rPr>
                <w:sz w:val="18"/>
              </w:rPr>
              <w:t>$511.00</w:t>
            </w:r>
          </w:p>
        </w:tc>
        <w:tc>
          <w:tcPr>
            <w:tcW w:type="dxa" w:w="1296"/>
          </w:tcPr>
          <w:p>
            <w:r/>
            <w:r>
              <w:rPr>
                <w:sz w:val="18"/>
              </w:rPr>
              <w:t>$52.00</w:t>
            </w:r>
          </w:p>
        </w:tc>
      </w:tr>
      <w:tr>
        <w:tc>
          <w:tcPr>
            <w:tcW w:type="dxa" w:w="3456"/>
          </w:tcPr>
          <w:p>
            <w:r/>
            <w:r>
              <w:rPr>
                <w:sz w:val="18"/>
              </w:rPr>
              <w:t>Courier / delivery (32–36)</w:t>
            </w:r>
          </w:p>
        </w:tc>
        <w:tc>
          <w:tcPr>
            <w:tcW w:type="dxa" w:w="1584"/>
          </w:tcPr>
          <w:p>
            <w:r/>
            <w:r>
              <w:rPr>
                <w:sz w:val="18"/>
              </w:rPr>
              <w:t>$159.00</w:t>
            </w:r>
          </w:p>
        </w:tc>
        <w:tc>
          <w:tcPr>
            <w:tcW w:type="dxa" w:w="1728"/>
          </w:tcPr>
          <w:p>
            <w:r/>
            <w:r>
              <w:rPr>
                <w:sz w:val="18"/>
              </w:rPr>
              <w:t>$18.50</w:t>
            </w:r>
          </w:p>
        </w:tc>
        <w:tc>
          <w:tcPr>
            <w:tcW w:type="dxa" w:w="1584"/>
          </w:tcPr>
          <w:p>
            <w:r/>
            <w:r>
              <w:rPr>
                <w:sz w:val="18"/>
              </w:rPr>
              <w:t>$140.50</w:t>
            </w:r>
          </w:p>
        </w:tc>
        <w:tc>
          <w:tcPr>
            <w:tcW w:type="dxa" w:w="1296"/>
          </w:tcPr>
          <w:p>
            <w:r/>
            <w:r>
              <w:rPr>
                <w:sz w:val="18"/>
              </w:rPr>
              <w:t>$140.50</w:t>
            </w:r>
          </w:p>
        </w:tc>
      </w:tr>
      <w:tr>
        <w:tc>
          <w:tcPr>
            <w:tcW w:type="dxa" w:w="3456"/>
          </w:tcPr>
          <w:p>
            <w:r/>
            <w:r>
              <w:rPr>
                <w:sz w:val="18"/>
              </w:rPr>
              <w:t>Meals (37–40)</w:t>
            </w:r>
          </w:p>
        </w:tc>
        <w:tc>
          <w:tcPr>
            <w:tcW w:type="dxa" w:w="1584"/>
          </w:tcPr>
          <w:p>
            <w:r/>
            <w:r>
              <w:rPr>
                <w:sz w:val="18"/>
              </w:rPr>
              <w:t>$1,001.00</w:t>
            </w:r>
          </w:p>
        </w:tc>
        <w:tc>
          <w:tcPr>
            <w:tcW w:type="dxa" w:w="1728"/>
          </w:tcPr>
          <w:p>
            <w:r/>
            <w:r>
              <w:rPr>
                <w:sz w:val="18"/>
              </w:rPr>
              <w:t>$901.00</w:t>
            </w:r>
          </w:p>
        </w:tc>
        <w:tc>
          <w:tcPr>
            <w:tcW w:type="dxa" w:w="1584"/>
          </w:tcPr>
          <w:p>
            <w:r/>
            <w:r>
              <w:rPr>
                <w:sz w:val="18"/>
              </w:rPr>
              <w:t>$100.00</w:t>
            </w:r>
          </w:p>
        </w:tc>
        <w:tc>
          <w:tcPr>
            <w:tcW w:type="dxa" w:w="1296"/>
          </w:tcPr>
          <w:p>
            <w:r/>
            <w:r>
              <w:rPr>
                <w:sz w:val="18"/>
              </w:rPr>
              <w:t>$0.00</w:t>
            </w:r>
          </w:p>
        </w:tc>
      </w:tr>
      <w:tr>
        <w:tc>
          <w:tcPr>
            <w:tcW w:type="dxa" w:w="3456"/>
          </w:tcPr>
          <w:p>
            <w:r/>
            <w:r>
              <w:rPr>
                <w:sz w:val="18"/>
              </w:rPr>
              <w:t>Technology / litigation support (41–44)</w:t>
            </w:r>
          </w:p>
        </w:tc>
        <w:tc>
          <w:tcPr>
            <w:tcW w:type="dxa" w:w="1584"/>
          </w:tcPr>
          <w:p>
            <w:r/>
            <w:r>
              <w:rPr>
                <w:sz w:val="18"/>
              </w:rPr>
              <w:t>$20,395.00</w:t>
            </w:r>
          </w:p>
        </w:tc>
        <w:tc>
          <w:tcPr>
            <w:tcW w:type="dxa" w:w="1728"/>
          </w:tcPr>
          <w:p>
            <w:r/>
            <w:r>
              <w:rPr>
                <w:sz w:val="18"/>
              </w:rPr>
              <w:t>$8,395.00</w:t>
            </w:r>
          </w:p>
        </w:tc>
        <w:tc>
          <w:tcPr>
            <w:tcW w:type="dxa" w:w="1584"/>
          </w:tcPr>
          <w:p>
            <w:r/>
            <w:r>
              <w:rPr>
                <w:sz w:val="18"/>
              </w:rPr>
              <w:t>$12,000.00</w:t>
            </w:r>
          </w:p>
        </w:tc>
        <w:tc>
          <w:tcPr>
            <w:tcW w:type="dxa" w:w="1296"/>
          </w:tcPr>
          <w:p>
            <w:r/>
            <w:r>
              <w:rPr>
                <w:sz w:val="18"/>
              </w:rPr>
              <w:t>$0.00</w:t>
            </w:r>
          </w:p>
        </w:tc>
      </w:tr>
      <w:tr>
        <w:tc>
          <w:tcPr>
            <w:tcW w:type="dxa" w:w="3456"/>
          </w:tcPr>
          <w:p>
            <w:r/>
            <w:r>
              <w:rPr>
                <w:sz w:val="18"/>
              </w:rPr>
              <w:t>Contract attorneys (45–47)</w:t>
            </w:r>
          </w:p>
        </w:tc>
        <w:tc>
          <w:tcPr>
            <w:tcW w:type="dxa" w:w="1584"/>
          </w:tcPr>
          <w:p>
            <w:r/>
            <w:r>
              <w:rPr>
                <w:sz w:val="18"/>
              </w:rPr>
              <w:t>$27,810.00</w:t>
            </w:r>
          </w:p>
        </w:tc>
        <w:tc>
          <w:tcPr>
            <w:tcW w:type="dxa" w:w="1728"/>
          </w:tcPr>
          <w:p>
            <w:r/>
            <w:r>
              <w:rPr>
                <w:sz w:val="18"/>
              </w:rPr>
              <w:t>$7,660.00</w:t>
            </w:r>
          </w:p>
        </w:tc>
        <w:tc>
          <w:tcPr>
            <w:tcW w:type="dxa" w:w="1584"/>
          </w:tcPr>
          <w:p>
            <w:r/>
            <w:r>
              <w:rPr>
                <w:sz w:val="18"/>
              </w:rPr>
              <w:t>$20,150.00</w:t>
            </w:r>
          </w:p>
        </w:tc>
        <w:tc>
          <w:tcPr>
            <w:tcW w:type="dxa" w:w="1296"/>
          </w:tcPr>
          <w:p>
            <w:r/>
            <w:r>
              <w:rPr>
                <w:sz w:val="18"/>
              </w:rPr>
              <w:t>$0.00</w:t>
            </w:r>
          </w:p>
        </w:tc>
      </w:tr>
      <w:tr>
        <w:tc>
          <w:tcPr>
            <w:tcW w:type="dxa" w:w="3456"/>
            <w:shd w:val="clear" w:color="auto" w:fill="D9E2F3"/>
          </w:tcPr>
          <w:p>
            <w:r/>
            <w:r>
              <w:rPr>
                <w:b/>
                <w:sz w:val="18"/>
              </w:rPr>
              <w:t>TOTAL</w:t>
            </w:r>
          </w:p>
        </w:tc>
        <w:tc>
          <w:tcPr>
            <w:tcW w:type="dxa" w:w="1584"/>
            <w:shd w:val="clear" w:color="auto" w:fill="D9E2F3"/>
          </w:tcPr>
          <w:p>
            <w:r/>
            <w:r>
              <w:rPr>
                <w:b/>
                <w:sz w:val="18"/>
              </w:rPr>
              <w:t>$145,404.30</w:t>
            </w:r>
          </w:p>
        </w:tc>
        <w:tc>
          <w:tcPr>
            <w:tcW w:type="dxa" w:w="1728"/>
            <w:shd w:val="clear" w:color="auto" w:fill="D9E2F3"/>
          </w:tcPr>
          <w:p>
            <w:r/>
            <w:r>
              <w:rPr>
                <w:b/>
                <w:sz w:val="18"/>
              </w:rPr>
              <w:t>$42,822.30</w:t>
            </w:r>
          </w:p>
        </w:tc>
        <w:tc>
          <w:tcPr>
            <w:tcW w:type="dxa" w:w="1584"/>
            <w:shd w:val="clear" w:color="auto" w:fill="D9E2F3"/>
          </w:tcPr>
          <w:p>
            <w:r/>
            <w:r>
              <w:rPr>
                <w:b/>
                <w:sz w:val="18"/>
              </w:rPr>
              <w:t>$102,582.00</w:t>
            </w:r>
          </w:p>
        </w:tc>
        <w:tc>
          <w:tcPr>
            <w:tcW w:type="dxa" w:w="1296"/>
            <w:shd w:val="clear" w:color="auto" w:fill="D9E2F3"/>
          </w:tcPr>
          <w:p>
            <w:r/>
            <w:r>
              <w:rPr>
                <w:b/>
                <w:sz w:val="18"/>
              </w:rPr>
              <w:t>$6,029.00</w:t>
            </w:r>
          </w:p>
        </w:tc>
      </w:tr>
    </w:tbl>
    <w:p>
      <w:pPr>
        <w:spacing w:after="40"/>
      </w:pPr>
    </w:p>
    <w:p>
      <w:pPr>
        <w:pStyle w:val="Heading1"/>
      </w:pPr>
      <w:r>
        <w:rPr>
          <w:color w:val="1F3864"/>
        </w:rPr>
        <w:t>II. Invoice-Level Defects</w:t>
      </w:r>
    </w:p>
    <w:p>
      <w:pPr>
        <w:spacing w:after="80"/>
      </w:pPr>
      <w:r>
        <w:rPr>
          <w:b/>
        </w:rPr>
        <w:t xml:space="preserve">1. Mathematical inaccuracy (GL §6.7). </w:t>
      </w:r>
      <w:r>
        <w:rPr>
          <w:b w:val="0"/>
        </w:rPr>
        <w:t>Recomputing every line (quantity x unit cost) confirms each disbursement line is internally consistent, but the 47 lines sum to $145,404.30, not the $86,742.19 stated. Likewise the 75 fee entries sum to $161,698.50, not $187,420.00 (overstated by $25,721.50). The stated invoice total of $274,162.19 therefore does not equal the sum of the line items ($307,102.80). GL §6.7 requires invoice totals to “accurately reflect the sum of all individual line items.” HWK should be required to reissue a corrected invoice and explain the discrepancy. Pinnacle should not pay against the stated totals; the reductions in this report are measured against the itemized charges, which are what HWK has actually billed and must substantiate.</w:t>
      </w:r>
    </w:p>
    <w:p>
      <w:pPr>
        <w:spacing w:after="80"/>
      </w:pPr>
      <w:r>
        <w:rPr>
          <w:b/>
        </w:rPr>
        <w:t xml:space="preserve">2. No UTBMS expense codes (GL §§7.2, 7.4; EL §5(e)). </w:t>
      </w:r>
      <w:r>
        <w:rPr>
          <w:b w:val="0"/>
        </w:rPr>
        <w:t>The Disbursements schedule carries a “Category” column but no UTBMS expense code for any line. Every expense entry must carry an E-code (App. C). Notably, Line 42 (Westlaw) would fall under E106, which the Guidelines state is automatically rejected. The invoice may be returned for this reason alone.</w:t>
      </w:r>
    </w:p>
    <w:p>
      <w:pPr>
        <w:spacing w:after="80"/>
      </w:pPr>
      <w:r>
        <w:rPr>
          <w:b/>
        </w:rPr>
        <w:t xml:space="preserve">3. Missing required invoice elements (GL §§6.3, 6.4; EL §5(f)). </w:t>
      </w:r>
      <w:r>
        <w:rPr>
          <w:b w:val="0"/>
        </w:rPr>
        <w:t>The invoice references only HWK’s client/matter number (4922-001) and not Pinnacle’s internal matter number, and contains no running/cumulative total of fees and disbursements billed to date or comparison to the approved litigation budget.</w:t>
      </w:r>
    </w:p>
    <w:p>
      <w:pPr>
        <w:spacing w:after="80"/>
      </w:pPr>
      <w:r>
        <w:rPr>
          <w:b/>
        </w:rPr>
        <w:t xml:space="preserve">4. Incorrect payment terms. </w:t>
      </w:r>
      <w:r>
        <w:rPr>
          <w:b w:val="0"/>
        </w:rPr>
        <w:t>The invoice states “Net 30 days from invoice date” (due July 3, 2025). Pinnacle’s terms are net 45 days from receipt of a compliant invoice (GL §8.5; EL §5); disputed amounts are held pending resolution. The stated due date has no effect.</w:t>
      </w:r>
    </w:p>
    <w:p>
      <w:pPr>
        <w:spacing w:after="80"/>
      </w:pPr>
      <w:r>
        <w:rPr>
          <w:b/>
        </w:rPr>
        <w:t xml:space="preserve">5. Expert and vendor invoices not attached (GL §§5.3, 5.4, 6.6). </w:t>
      </w:r>
      <w:r>
        <w:rPr>
          <w:b w:val="0"/>
        </w:rPr>
        <w:t>Pass-through charges for Dr. Hartsfield, Redmond, TechForensic, Copyland, DataScan and the contract-attorney agency must be supported by the original vendor invoices so Pinnacle can verify actual cost. Each pre-approval in the Log restated this condition. Request all within five business days (GL §5.1 Documentation).</w:t>
      </w:r>
    </w:p>
    <w:p>
      <w:pPr>
        <w:spacing w:after="80"/>
      </w:pPr>
      <w:r>
        <w:rPr>
          <w:b/>
        </w:rPr>
        <w:t xml:space="preserve">6. Deficient descriptions (GL §5.1 Description Requirements; §§5.6, 5.7). </w:t>
      </w:r>
      <w:r>
        <w:rPr>
          <w:b w:val="0"/>
        </w:rPr>
        <w:t>Numerous lines lack business purpose, personnel, or required meal/courier particulars (e.g., Lines 6, 7, 13, 15, 16, 32–35, 40). One-word or vague descriptions are non-compliant and are returned for revision.</w:t>
      </w:r>
    </w:p>
    <w:p>
      <w:pPr>
        <w:sectPr>
          <w:pgSz w:w="12240" w:h="15840"/>
          <w:pgMar w:top="1152" w:right="1296" w:bottom="1152" w:left="1296" w:header="720" w:footer="720" w:gutter="0"/>
          <w:cols w:space="720"/>
          <w:docGrid w:linePitch="360"/>
        </w:sectPr>
      </w:pPr>
    </w:p>
    <w:p>
      <w:pPr>
        <w:pStyle w:val="Heading1"/>
      </w:pPr>
      <w:r>
        <w:rPr>
          <w:color w:val="1F3864"/>
        </w:rPr>
        <w:t>III. Line-by-Line Disbursement Review</w:t>
      </w:r>
    </w:p>
    <w:p>
      <w:pPr>
        <w:spacing w:after="120"/>
      </w:pPr>
      <w:r>
        <w:rPr>
          <w:b w:val="0"/>
          <w:i/>
          <w:sz w:val="18"/>
        </w:rPr>
        <w:t>Status key: Compliant = pay as billed (subject to routine backup); Reduce = pay the allowable portion; Reject = disallow in full; Hold = do not pay until documentation or revised description is received (GL §§5.1, 6.6, 8.5).</w:t>
      </w:r>
    </w:p>
    <w:tbl>
      <w:tblPr>
        <w:tblStyle w:val="TableGrid"/>
        <w:tblW w:type="auto" w:w="0"/>
        <w:jc w:val="center"/>
        <w:tblLook w:firstColumn="1" w:firstRow="1" w:lastColumn="0" w:lastRow="0" w:noHBand="0" w:noVBand="1" w:val="04A0"/>
      </w:tblPr>
      <w:tblGrid>
        <w:gridCol w:w="1764"/>
        <w:gridCol w:w="1764"/>
        <w:gridCol w:w="1764"/>
        <w:gridCol w:w="1764"/>
        <w:gridCol w:w="1764"/>
        <w:gridCol w:w="1764"/>
        <w:gridCol w:w="1764"/>
        <w:gridCol w:w="1764"/>
      </w:tblGrid>
      <w:tr>
        <w:trPr>
          <w:tblHeader w:val="true"/>
        </w:trPr>
        <w:tc>
          <w:tcPr>
            <w:tcW w:type="dxa" w:w="576"/>
            <w:shd w:val="clear" w:color="auto" w:fill="1F3864"/>
          </w:tcPr>
          <w:p>
            <w:r/>
            <w:r>
              <w:rPr>
                <w:b/>
                <w:color w:val="FFFFFF"/>
                <w:sz w:val="16"/>
              </w:rPr>
              <w:t>Line</w:t>
            </w:r>
          </w:p>
        </w:tc>
        <w:tc>
          <w:tcPr>
            <w:tcW w:type="dxa" w:w="2736"/>
            <w:shd w:val="clear" w:color="auto" w:fill="1F3864"/>
          </w:tcPr>
          <w:p>
            <w:r/>
            <w:r>
              <w:rPr>
                <w:b/>
                <w:color w:val="FFFFFF"/>
                <w:sz w:val="16"/>
              </w:rPr>
              <w:t>Charge</w:t>
            </w:r>
          </w:p>
        </w:tc>
        <w:tc>
          <w:tcPr>
            <w:tcW w:type="dxa" w:w="1080"/>
            <w:shd w:val="clear" w:color="auto" w:fill="1F3864"/>
          </w:tcPr>
          <w:p>
            <w:r/>
            <w:r>
              <w:rPr>
                <w:b/>
                <w:color w:val="FFFFFF"/>
                <w:sz w:val="16"/>
              </w:rPr>
              <w:t>Billed</w:t>
            </w:r>
          </w:p>
        </w:tc>
        <w:tc>
          <w:tcPr>
            <w:tcW w:type="dxa" w:w="936"/>
            <w:shd w:val="clear" w:color="auto" w:fill="1F3864"/>
          </w:tcPr>
          <w:p>
            <w:r/>
            <w:r>
              <w:rPr>
                <w:b/>
                <w:color w:val="FFFFFF"/>
                <w:sz w:val="16"/>
              </w:rPr>
              <w:t>Status</w:t>
            </w:r>
          </w:p>
        </w:tc>
        <w:tc>
          <w:tcPr>
            <w:tcW w:type="dxa" w:w="1080"/>
            <w:shd w:val="clear" w:color="auto" w:fill="1F3864"/>
          </w:tcPr>
          <w:p>
            <w:r/>
            <w:r>
              <w:rPr>
                <w:b/>
                <w:color w:val="FFFFFF"/>
                <w:sz w:val="16"/>
              </w:rPr>
              <w:t>Reduction</w:t>
            </w:r>
          </w:p>
        </w:tc>
        <w:tc>
          <w:tcPr>
            <w:tcW w:type="dxa" w:w="1080"/>
            <w:shd w:val="clear" w:color="auto" w:fill="1F3864"/>
          </w:tcPr>
          <w:p>
            <w:r/>
            <w:r>
              <w:rPr>
                <w:b/>
                <w:color w:val="FFFFFF"/>
                <w:sz w:val="16"/>
              </w:rPr>
              <w:t>Allowable</w:t>
            </w:r>
          </w:p>
        </w:tc>
        <w:tc>
          <w:tcPr>
            <w:tcW w:type="dxa" w:w="5184"/>
            <w:shd w:val="clear" w:color="auto" w:fill="1F3864"/>
          </w:tcPr>
          <w:p>
            <w:r/>
            <w:r>
              <w:rPr>
                <w:b/>
                <w:color w:val="FFFFFF"/>
                <w:sz w:val="16"/>
              </w:rPr>
              <w:t>Finding</w:t>
            </w:r>
          </w:p>
        </w:tc>
        <w:tc>
          <w:tcPr>
            <w:tcW w:type="dxa" w:w="1872"/>
            <w:shd w:val="clear" w:color="auto" w:fill="1F3864"/>
          </w:tcPr>
          <w:p>
            <w:r/>
            <w:r>
              <w:rPr>
                <w:b/>
                <w:color w:val="FFFFFF"/>
                <w:sz w:val="16"/>
              </w:rPr>
              <w:t>Authority</w:t>
            </w:r>
          </w:p>
        </w:tc>
      </w:tr>
      <w:tr>
        <w:tc>
          <w:tcPr>
            <w:tcW w:type="dxa" w:w="576"/>
          </w:tcPr>
          <w:p>
            <w:r/>
            <w:r>
              <w:rPr>
                <w:sz w:val="16"/>
              </w:rPr>
              <w:t>1</w:t>
            </w:r>
          </w:p>
        </w:tc>
        <w:tc>
          <w:tcPr>
            <w:tcW w:type="dxa" w:w="2736"/>
          </w:tcPr>
          <w:p>
            <w:r/>
            <w:r>
              <w:rPr>
                <w:sz w:val="16"/>
              </w:rPr>
              <w:t>Airfare, M. Beale, CLT–SFO (Kuroda deposition)</w:t>
            </w:r>
          </w:p>
        </w:tc>
        <w:tc>
          <w:tcPr>
            <w:tcW w:type="dxa" w:w="1080"/>
          </w:tcPr>
          <w:p>
            <w:r/>
            <w:r>
              <w:rPr>
                <w:sz w:val="16"/>
              </w:rPr>
              <w:t>$487.00</w:t>
            </w:r>
          </w:p>
        </w:tc>
        <w:tc>
          <w:tcPr>
            <w:tcW w:type="dxa" w:w="936"/>
            <w:shd w:val="clear" w:color="auto" w:fill="E2EFDA"/>
          </w:tcPr>
          <w:p>
            <w:r/>
            <w:r>
              <w:rPr>
                <w:sz w:val="16"/>
              </w:rPr>
              <w:t>Compliant</w:t>
            </w:r>
          </w:p>
        </w:tc>
        <w:tc>
          <w:tcPr>
            <w:tcW w:type="dxa" w:w="1080"/>
          </w:tcPr>
          <w:p>
            <w:r/>
            <w:r>
              <w:rPr>
                <w:sz w:val="16"/>
              </w:rPr>
              <w:t>—</w:t>
            </w:r>
          </w:p>
        </w:tc>
        <w:tc>
          <w:tcPr>
            <w:tcW w:type="dxa" w:w="1080"/>
          </w:tcPr>
          <w:p>
            <w:r/>
            <w:r>
              <w:rPr>
                <w:sz w:val="16"/>
              </w:rPr>
              <w:t>$487.00</w:t>
            </w:r>
          </w:p>
        </w:tc>
        <w:tc>
          <w:tcPr>
            <w:tcW w:type="dxa" w:w="5184"/>
          </w:tcPr>
          <w:p>
            <w:r/>
            <w:r>
              <w:rPr>
                <w:sz w:val="16"/>
              </w:rPr>
              <w:t>Within the $450–$500 coach estimate approved 4/28/25 (Log Entry 5). Fare class is not stated on the invoice; confirm coach with the receipt.</w:t>
            </w:r>
          </w:p>
        </w:tc>
        <w:tc>
          <w:tcPr>
            <w:tcW w:type="dxa" w:w="1872"/>
          </w:tcPr>
          <w:p>
            <w:r/>
            <w:r>
              <w:rPr>
                <w:sz w:val="16"/>
              </w:rPr>
              <w:t>GL §5.2 (Air Travel); Log Entry 5</w:t>
            </w:r>
          </w:p>
        </w:tc>
      </w:tr>
      <w:tr>
        <w:tc>
          <w:tcPr>
            <w:tcW w:type="dxa" w:w="576"/>
          </w:tcPr>
          <w:p>
            <w:r/>
            <w:r>
              <w:rPr>
                <w:sz w:val="16"/>
              </w:rPr>
              <w:t>2</w:t>
            </w:r>
          </w:p>
        </w:tc>
        <w:tc>
          <w:tcPr>
            <w:tcW w:type="dxa" w:w="2736"/>
          </w:tcPr>
          <w:p>
            <w:r/>
            <w:r>
              <w:rPr>
                <w:sz w:val="16"/>
              </w:rPr>
              <w:t>Airfare, J. Palermo, CLT–SFO (Kuroda deposition)</w:t>
            </w:r>
          </w:p>
        </w:tc>
        <w:tc>
          <w:tcPr>
            <w:tcW w:type="dxa" w:w="1080"/>
          </w:tcPr>
          <w:p>
            <w:r/>
            <w:r>
              <w:rPr>
                <w:sz w:val="16"/>
              </w:rPr>
              <w:t>$487.00</w:t>
            </w:r>
          </w:p>
        </w:tc>
        <w:tc>
          <w:tcPr>
            <w:tcW w:type="dxa" w:w="936"/>
            <w:shd w:val="clear" w:color="auto" w:fill="E2EFDA"/>
          </w:tcPr>
          <w:p>
            <w:r/>
            <w:r>
              <w:rPr>
                <w:sz w:val="16"/>
              </w:rPr>
              <w:t>Compliant</w:t>
            </w:r>
          </w:p>
        </w:tc>
        <w:tc>
          <w:tcPr>
            <w:tcW w:type="dxa" w:w="1080"/>
          </w:tcPr>
          <w:p>
            <w:r/>
            <w:r>
              <w:rPr>
                <w:sz w:val="16"/>
              </w:rPr>
              <w:t>—</w:t>
            </w:r>
          </w:p>
        </w:tc>
        <w:tc>
          <w:tcPr>
            <w:tcW w:type="dxa" w:w="1080"/>
          </w:tcPr>
          <w:p>
            <w:r/>
            <w:r>
              <w:rPr>
                <w:sz w:val="16"/>
              </w:rPr>
              <w:t>$487.00</w:t>
            </w:r>
          </w:p>
        </w:tc>
        <w:tc>
          <w:tcPr>
            <w:tcW w:type="dxa" w:w="5184"/>
          </w:tcPr>
          <w:p>
            <w:r/>
            <w:r>
              <w:rPr>
                <w:sz w:val="16"/>
              </w:rPr>
              <w:t>Same as Line 1. Pre-approved; confirm coach class from receipt.</w:t>
            </w:r>
          </w:p>
        </w:tc>
        <w:tc>
          <w:tcPr>
            <w:tcW w:type="dxa" w:w="1872"/>
          </w:tcPr>
          <w:p>
            <w:r/>
            <w:r>
              <w:rPr>
                <w:sz w:val="16"/>
              </w:rPr>
              <w:t>GL §5.2; Log Entry 5</w:t>
            </w:r>
          </w:p>
        </w:tc>
      </w:tr>
      <w:tr>
        <w:tc>
          <w:tcPr>
            <w:tcW w:type="dxa" w:w="576"/>
          </w:tcPr>
          <w:p>
            <w:r/>
            <w:r>
              <w:rPr>
                <w:sz w:val="16"/>
              </w:rPr>
              <w:t>3</w:t>
            </w:r>
          </w:p>
        </w:tc>
        <w:tc>
          <w:tcPr>
            <w:tcW w:type="dxa" w:w="2736"/>
          </w:tcPr>
          <w:p>
            <w:r/>
            <w:r>
              <w:rPr>
                <w:sz w:val="16"/>
              </w:rPr>
              <w:t>Hotel, M. Beale, The Whitmore, San Francisco, 2 nights @ $319</w:t>
            </w:r>
          </w:p>
        </w:tc>
        <w:tc>
          <w:tcPr>
            <w:tcW w:type="dxa" w:w="1080"/>
          </w:tcPr>
          <w:p>
            <w:r/>
            <w:r>
              <w:rPr>
                <w:sz w:val="16"/>
              </w:rPr>
              <w:t>$638.00</w:t>
            </w:r>
          </w:p>
        </w:tc>
        <w:tc>
          <w:tcPr>
            <w:tcW w:type="dxa" w:w="936"/>
            <w:shd w:val="clear" w:color="auto" w:fill="FFE699"/>
          </w:tcPr>
          <w:p>
            <w:r/>
            <w:r>
              <w:rPr>
                <w:sz w:val="16"/>
              </w:rPr>
              <w:t>Reduce</w:t>
            </w:r>
          </w:p>
        </w:tc>
        <w:tc>
          <w:tcPr>
            <w:tcW w:type="dxa" w:w="1080"/>
          </w:tcPr>
          <w:p>
            <w:r/>
            <w:r>
              <w:rPr>
                <w:sz w:val="16"/>
              </w:rPr>
              <w:t>$88.00</w:t>
            </w:r>
          </w:p>
        </w:tc>
        <w:tc>
          <w:tcPr>
            <w:tcW w:type="dxa" w:w="1080"/>
          </w:tcPr>
          <w:p>
            <w:r/>
            <w:r>
              <w:rPr>
                <w:sz w:val="16"/>
              </w:rPr>
              <w:t>$550.00</w:t>
            </w:r>
          </w:p>
        </w:tc>
        <w:tc>
          <w:tcPr>
            <w:tcW w:type="dxa" w:w="5184"/>
          </w:tcPr>
          <w:p>
            <w:r/>
            <w:r>
              <w:rPr>
                <w:sz w:val="16"/>
              </w:rPr>
              <w:t>San Francisco is a Tier 1 City; cap is $275/night inclusive of taxes and fees. $319 exceeds cap by $44/night x 2 nights. No extraordinary-circumstances pre-approval; Yamashita’s 4/28 approval expressly conditioned travel on the $275 cap and HWK’s own request promised compliance.</w:t>
            </w:r>
          </w:p>
        </w:tc>
        <w:tc>
          <w:tcPr>
            <w:tcW w:type="dxa" w:w="1872"/>
          </w:tcPr>
          <w:p>
            <w:r/>
            <w:r>
              <w:rPr>
                <w:sz w:val="16"/>
              </w:rPr>
              <w:t>GL §5.2 (Hotels); App. A; Log Entry 5</w:t>
            </w:r>
          </w:p>
        </w:tc>
      </w:tr>
      <w:tr>
        <w:tc>
          <w:tcPr>
            <w:tcW w:type="dxa" w:w="576"/>
          </w:tcPr>
          <w:p>
            <w:r/>
            <w:r>
              <w:rPr>
                <w:sz w:val="16"/>
              </w:rPr>
              <w:t>4</w:t>
            </w:r>
          </w:p>
        </w:tc>
        <w:tc>
          <w:tcPr>
            <w:tcW w:type="dxa" w:w="2736"/>
          </w:tcPr>
          <w:p>
            <w:r/>
            <w:r>
              <w:rPr>
                <w:sz w:val="16"/>
              </w:rPr>
              <w:t>Hotel, J. Palermo, The Whitmore, San Francisco, 2 nights @ $319</w:t>
            </w:r>
          </w:p>
        </w:tc>
        <w:tc>
          <w:tcPr>
            <w:tcW w:type="dxa" w:w="1080"/>
          </w:tcPr>
          <w:p>
            <w:r/>
            <w:r>
              <w:rPr>
                <w:sz w:val="16"/>
              </w:rPr>
              <w:t>$638.00</w:t>
            </w:r>
          </w:p>
        </w:tc>
        <w:tc>
          <w:tcPr>
            <w:tcW w:type="dxa" w:w="936"/>
            <w:shd w:val="clear" w:color="auto" w:fill="FFE699"/>
          </w:tcPr>
          <w:p>
            <w:r/>
            <w:r>
              <w:rPr>
                <w:sz w:val="16"/>
              </w:rPr>
              <w:t>Reduce</w:t>
            </w:r>
          </w:p>
        </w:tc>
        <w:tc>
          <w:tcPr>
            <w:tcW w:type="dxa" w:w="1080"/>
          </w:tcPr>
          <w:p>
            <w:r/>
            <w:r>
              <w:rPr>
                <w:sz w:val="16"/>
              </w:rPr>
              <w:t>$88.00</w:t>
            </w:r>
          </w:p>
        </w:tc>
        <w:tc>
          <w:tcPr>
            <w:tcW w:type="dxa" w:w="1080"/>
          </w:tcPr>
          <w:p>
            <w:r/>
            <w:r>
              <w:rPr>
                <w:sz w:val="16"/>
              </w:rPr>
              <w:t>$550.00</w:t>
            </w:r>
          </w:p>
        </w:tc>
        <w:tc>
          <w:tcPr>
            <w:tcW w:type="dxa" w:w="5184"/>
          </w:tcPr>
          <w:p>
            <w:r/>
            <w:r>
              <w:rPr>
                <w:sz w:val="16"/>
              </w:rPr>
              <w:t>Same as Line 3: $44/night over the Tier 1 cap x 2 nights.</w:t>
            </w:r>
          </w:p>
        </w:tc>
        <w:tc>
          <w:tcPr>
            <w:tcW w:type="dxa" w:w="1872"/>
          </w:tcPr>
          <w:p>
            <w:r/>
            <w:r>
              <w:rPr>
                <w:sz w:val="16"/>
              </w:rPr>
              <w:t>GL §5.2; App. A; Log Entry 5</w:t>
            </w:r>
          </w:p>
        </w:tc>
      </w:tr>
      <w:tr>
        <w:tc>
          <w:tcPr>
            <w:tcW w:type="dxa" w:w="576"/>
          </w:tcPr>
          <w:p>
            <w:r/>
            <w:r>
              <w:rPr>
                <w:sz w:val="16"/>
              </w:rPr>
              <w:t>5</w:t>
            </w:r>
          </w:p>
        </w:tc>
        <w:tc>
          <w:tcPr>
            <w:tcW w:type="dxa" w:w="2736"/>
          </w:tcPr>
          <w:p>
            <w:r/>
            <w:r>
              <w:rPr>
                <w:sz w:val="16"/>
              </w:rPr>
              <w:t>Dinner, M. Beale and J. Palermo, San Francisco, 5/2</w:t>
            </w:r>
          </w:p>
        </w:tc>
        <w:tc>
          <w:tcPr>
            <w:tcW w:type="dxa" w:w="1080"/>
          </w:tcPr>
          <w:p>
            <w:r/>
            <w:r>
              <w:rPr>
                <w:sz w:val="16"/>
              </w:rPr>
              <w:t>$214.00</w:t>
            </w:r>
          </w:p>
        </w:tc>
        <w:tc>
          <w:tcPr>
            <w:tcW w:type="dxa" w:w="936"/>
            <w:shd w:val="clear" w:color="auto" w:fill="FFE699"/>
          </w:tcPr>
          <w:p>
            <w:r/>
            <w:r>
              <w:rPr>
                <w:sz w:val="16"/>
              </w:rPr>
              <w:t>Reduce</w:t>
            </w:r>
          </w:p>
        </w:tc>
        <w:tc>
          <w:tcPr>
            <w:tcW w:type="dxa" w:w="1080"/>
          </w:tcPr>
          <w:p>
            <w:r/>
            <w:r>
              <w:rPr>
                <w:sz w:val="16"/>
              </w:rPr>
              <w:t>$64.00</w:t>
            </w:r>
          </w:p>
        </w:tc>
        <w:tc>
          <w:tcPr>
            <w:tcW w:type="dxa" w:w="1080"/>
          </w:tcPr>
          <w:p>
            <w:r/>
            <w:r>
              <w:rPr>
                <w:sz w:val="16"/>
              </w:rPr>
              <w:t>$150.00</w:t>
            </w:r>
          </w:p>
        </w:tc>
        <w:tc>
          <w:tcPr>
            <w:tcW w:type="dxa" w:w="5184"/>
          </w:tcPr>
          <w:p>
            <w:r/>
            <w:r>
              <w:rPr>
                <w:sz w:val="16"/>
              </w:rPr>
              <w:t>$107 per person exceeds the $75 per-person, per-day travel meal cap (inclusive of tips). No other meals billed for 5/2, so allowable is $150 (2 x $75). Restaurant not identified; obtain itemized receipt to confirm no alcohol (alcohol never reimbursable; failure to deduct may result in rejection of entire charge).</w:t>
            </w:r>
          </w:p>
        </w:tc>
        <w:tc>
          <w:tcPr>
            <w:tcW w:type="dxa" w:w="1872"/>
          </w:tcPr>
          <w:p>
            <w:r/>
            <w:r>
              <w:rPr>
                <w:sz w:val="16"/>
              </w:rPr>
              <w:t>GL §5.2 (Meals During Travel; Alcohol); §5.1 (Descriptions)</w:t>
            </w:r>
          </w:p>
        </w:tc>
      </w:tr>
      <w:tr>
        <w:tc>
          <w:tcPr>
            <w:tcW w:type="dxa" w:w="576"/>
          </w:tcPr>
          <w:p>
            <w:r/>
            <w:r>
              <w:rPr>
                <w:sz w:val="16"/>
              </w:rPr>
              <w:t>6</w:t>
            </w:r>
          </w:p>
        </w:tc>
        <w:tc>
          <w:tcPr>
            <w:tcW w:type="dxa" w:w="2736"/>
          </w:tcPr>
          <w:p>
            <w:r/>
            <w:r>
              <w:rPr>
                <w:sz w:val="16"/>
              </w:rPr>
              <w:t>Meals, M. Beale, San Francisco, 5/3</w:t>
            </w:r>
          </w:p>
        </w:tc>
        <w:tc>
          <w:tcPr>
            <w:tcW w:type="dxa" w:w="1080"/>
          </w:tcPr>
          <w:p>
            <w:r/>
            <w:r>
              <w:rPr>
                <w:sz w:val="16"/>
              </w:rPr>
              <w:t>$82.00</w:t>
            </w:r>
          </w:p>
        </w:tc>
        <w:tc>
          <w:tcPr>
            <w:tcW w:type="dxa" w:w="936"/>
            <w:shd w:val="clear" w:color="auto" w:fill="FFE699"/>
          </w:tcPr>
          <w:p>
            <w:r/>
            <w:r>
              <w:rPr>
                <w:sz w:val="16"/>
              </w:rPr>
              <w:t>Reduce</w:t>
            </w:r>
          </w:p>
        </w:tc>
        <w:tc>
          <w:tcPr>
            <w:tcW w:type="dxa" w:w="1080"/>
          </w:tcPr>
          <w:p>
            <w:r/>
            <w:r>
              <w:rPr>
                <w:sz w:val="16"/>
              </w:rPr>
              <w:t>$7.00</w:t>
            </w:r>
          </w:p>
        </w:tc>
        <w:tc>
          <w:tcPr>
            <w:tcW w:type="dxa" w:w="1080"/>
          </w:tcPr>
          <w:p>
            <w:r/>
            <w:r>
              <w:rPr>
                <w:sz w:val="16"/>
              </w:rPr>
              <w:t>$75.00</w:t>
            </w:r>
          </w:p>
        </w:tc>
        <w:tc>
          <w:tcPr>
            <w:tcW w:type="dxa" w:w="5184"/>
          </w:tcPr>
          <w:p>
            <w:r/>
            <w:r>
              <w:rPr>
                <w:sz w:val="16"/>
              </w:rPr>
              <w:t>Exceeds $75/day travel meal cap by $7. Description does not identify meals/vendor.</w:t>
            </w:r>
          </w:p>
        </w:tc>
        <w:tc>
          <w:tcPr>
            <w:tcW w:type="dxa" w:w="1872"/>
          </w:tcPr>
          <w:p>
            <w:r/>
            <w:r>
              <w:rPr>
                <w:sz w:val="16"/>
              </w:rPr>
              <w:t>GL §5.2 (Meals During Travel)</w:t>
            </w:r>
          </w:p>
        </w:tc>
      </w:tr>
      <w:tr>
        <w:tc>
          <w:tcPr>
            <w:tcW w:type="dxa" w:w="576"/>
          </w:tcPr>
          <w:p>
            <w:r/>
            <w:r>
              <w:rPr>
                <w:sz w:val="16"/>
              </w:rPr>
              <w:t>7</w:t>
            </w:r>
          </w:p>
        </w:tc>
        <w:tc>
          <w:tcPr>
            <w:tcW w:type="dxa" w:w="2736"/>
          </w:tcPr>
          <w:p>
            <w:r/>
            <w:r>
              <w:rPr>
                <w:sz w:val="16"/>
              </w:rPr>
              <w:t>Meals, J. Palermo, San Francisco, 5/3</w:t>
            </w:r>
          </w:p>
        </w:tc>
        <w:tc>
          <w:tcPr>
            <w:tcW w:type="dxa" w:w="1080"/>
          </w:tcPr>
          <w:p>
            <w:r/>
            <w:r>
              <w:rPr>
                <w:sz w:val="16"/>
              </w:rPr>
              <w:t>$68.00</w:t>
            </w:r>
          </w:p>
        </w:tc>
        <w:tc>
          <w:tcPr>
            <w:tcW w:type="dxa" w:w="936"/>
            <w:shd w:val="clear" w:color="auto" w:fill="E2EFDA"/>
          </w:tcPr>
          <w:p>
            <w:r/>
            <w:r>
              <w:rPr>
                <w:sz w:val="16"/>
              </w:rPr>
              <w:t>Compliant</w:t>
            </w:r>
          </w:p>
        </w:tc>
        <w:tc>
          <w:tcPr>
            <w:tcW w:type="dxa" w:w="1080"/>
          </w:tcPr>
          <w:p>
            <w:r/>
            <w:r>
              <w:rPr>
                <w:sz w:val="16"/>
              </w:rPr>
              <w:t>—</w:t>
            </w:r>
          </w:p>
        </w:tc>
        <w:tc>
          <w:tcPr>
            <w:tcW w:type="dxa" w:w="1080"/>
          </w:tcPr>
          <w:p>
            <w:r/>
            <w:r>
              <w:rPr>
                <w:sz w:val="16"/>
              </w:rPr>
              <w:t>$68.00</w:t>
            </w:r>
          </w:p>
        </w:tc>
        <w:tc>
          <w:tcPr>
            <w:tcW w:type="dxa" w:w="5184"/>
          </w:tcPr>
          <w:p>
            <w:r/>
            <w:r>
              <w:rPr>
                <w:sz w:val="16"/>
              </w:rPr>
              <w:t>Within $75/day cap. Description is thin (“Meals”); request itemized receipt.</w:t>
            </w:r>
          </w:p>
        </w:tc>
        <w:tc>
          <w:tcPr>
            <w:tcW w:type="dxa" w:w="1872"/>
          </w:tcPr>
          <w:p>
            <w:r/>
            <w:r>
              <w:rPr>
                <w:sz w:val="16"/>
              </w:rPr>
              <w:t>GL §5.2; §5.1 (Descriptions)</w:t>
            </w:r>
          </w:p>
        </w:tc>
      </w:tr>
      <w:tr>
        <w:tc>
          <w:tcPr>
            <w:tcW w:type="dxa" w:w="576"/>
          </w:tcPr>
          <w:p>
            <w:r/>
            <w:r>
              <w:rPr>
                <w:sz w:val="16"/>
              </w:rPr>
              <w:t>8</w:t>
            </w:r>
          </w:p>
        </w:tc>
        <w:tc>
          <w:tcPr>
            <w:tcW w:type="dxa" w:w="2736"/>
          </w:tcPr>
          <w:p>
            <w:r/>
            <w:r>
              <w:rPr>
                <w:sz w:val="16"/>
              </w:rPr>
              <w:t>Rideshare, M. Beale, SFO–hotel and return</w:t>
            </w:r>
          </w:p>
        </w:tc>
        <w:tc>
          <w:tcPr>
            <w:tcW w:type="dxa" w:w="1080"/>
          </w:tcPr>
          <w:p>
            <w:r/>
            <w:r>
              <w:rPr>
                <w:sz w:val="16"/>
              </w:rPr>
              <w:t>$94.50</w:t>
            </w:r>
          </w:p>
        </w:tc>
        <w:tc>
          <w:tcPr>
            <w:tcW w:type="dxa" w:w="936"/>
            <w:shd w:val="clear" w:color="auto" w:fill="DDEBF7"/>
          </w:tcPr>
          <w:p>
            <w:r/>
            <w:r>
              <w:rPr>
                <w:sz w:val="16"/>
              </w:rPr>
              <w:t>Hold</w:t>
            </w:r>
          </w:p>
        </w:tc>
        <w:tc>
          <w:tcPr>
            <w:tcW w:type="dxa" w:w="1080"/>
          </w:tcPr>
          <w:p>
            <w:r/>
            <w:r>
              <w:rPr>
                <w:sz w:val="16"/>
              </w:rPr>
              <w:t>—</w:t>
            </w:r>
          </w:p>
        </w:tc>
        <w:tc>
          <w:tcPr>
            <w:tcW w:type="dxa" w:w="1080"/>
          </w:tcPr>
          <w:p>
            <w:r/>
            <w:r>
              <w:rPr>
                <w:sz w:val="16"/>
              </w:rPr>
              <w:t>$94.50</w:t>
            </w:r>
          </w:p>
        </w:tc>
        <w:tc>
          <w:tcPr>
            <w:tcW w:type="dxa" w:w="5184"/>
          </w:tcPr>
          <w:p>
            <w:r/>
            <w:r>
              <w:rPr>
                <w:sz w:val="16"/>
              </w:rPr>
              <w:t>Ground transportation is reimbursable at reasonable actual cost. Both travelers flew the same itinerary and stayed at the same hotel, yet billed separate round-trip rideshares; the single 5/4 date does not match the 5/2 arrival. Request receipts. Allow one shared fare if both rode together.</w:t>
            </w:r>
          </w:p>
        </w:tc>
        <w:tc>
          <w:tcPr>
            <w:tcW w:type="dxa" w:w="1872"/>
          </w:tcPr>
          <w:p>
            <w:r/>
            <w:r>
              <w:rPr>
                <w:sz w:val="16"/>
              </w:rPr>
              <w:t>GL §5.2 (Ground Transportation; General Principle – most cost-effective option); §5.1 (Description: dates)</w:t>
            </w:r>
          </w:p>
        </w:tc>
      </w:tr>
      <w:tr>
        <w:tc>
          <w:tcPr>
            <w:tcW w:type="dxa" w:w="576"/>
          </w:tcPr>
          <w:p>
            <w:r/>
            <w:r>
              <w:rPr>
                <w:sz w:val="16"/>
              </w:rPr>
              <w:t>9</w:t>
            </w:r>
          </w:p>
        </w:tc>
        <w:tc>
          <w:tcPr>
            <w:tcW w:type="dxa" w:w="2736"/>
          </w:tcPr>
          <w:p>
            <w:r/>
            <w:r>
              <w:rPr>
                <w:sz w:val="16"/>
              </w:rPr>
              <w:t>Rideshare, J. Palermo, SFO–hotel and return</w:t>
            </w:r>
          </w:p>
        </w:tc>
        <w:tc>
          <w:tcPr>
            <w:tcW w:type="dxa" w:w="1080"/>
          </w:tcPr>
          <w:p>
            <w:r/>
            <w:r>
              <w:rPr>
                <w:sz w:val="16"/>
              </w:rPr>
              <w:t>$87.00</w:t>
            </w:r>
          </w:p>
        </w:tc>
        <w:tc>
          <w:tcPr>
            <w:tcW w:type="dxa" w:w="936"/>
            <w:shd w:val="clear" w:color="auto" w:fill="DDEBF7"/>
          </w:tcPr>
          <w:p>
            <w:r/>
            <w:r>
              <w:rPr>
                <w:sz w:val="16"/>
              </w:rPr>
              <w:t>Hold</w:t>
            </w:r>
          </w:p>
        </w:tc>
        <w:tc>
          <w:tcPr>
            <w:tcW w:type="dxa" w:w="1080"/>
          </w:tcPr>
          <w:p>
            <w:r/>
            <w:r>
              <w:rPr>
                <w:sz w:val="16"/>
              </w:rPr>
              <w:t>—</w:t>
            </w:r>
          </w:p>
        </w:tc>
        <w:tc>
          <w:tcPr>
            <w:tcW w:type="dxa" w:w="1080"/>
          </w:tcPr>
          <w:p>
            <w:r/>
            <w:r>
              <w:rPr>
                <w:sz w:val="16"/>
              </w:rPr>
              <w:t>$87.00</w:t>
            </w:r>
          </w:p>
        </w:tc>
        <w:tc>
          <w:tcPr>
            <w:tcW w:type="dxa" w:w="5184"/>
          </w:tcPr>
          <w:p>
            <w:r/>
            <w:r>
              <w:rPr>
                <w:sz w:val="16"/>
              </w:rPr>
              <w:t>Duplicate of Line 8 route for co-traveler. Recommend disallowance ($87.00) unless receipts show separate travel was necessary.</w:t>
            </w:r>
          </w:p>
        </w:tc>
        <w:tc>
          <w:tcPr>
            <w:tcW w:type="dxa" w:w="1872"/>
          </w:tcPr>
          <w:p>
            <w:r/>
            <w:r>
              <w:rPr>
                <w:sz w:val="16"/>
              </w:rPr>
              <w:t>GL §5.2; §5.1</w:t>
            </w:r>
          </w:p>
        </w:tc>
      </w:tr>
      <w:tr>
        <w:tc>
          <w:tcPr>
            <w:tcW w:type="dxa" w:w="576"/>
          </w:tcPr>
          <w:p>
            <w:r/>
            <w:r>
              <w:rPr>
                <w:sz w:val="16"/>
              </w:rPr>
              <w:t>10</w:t>
            </w:r>
          </w:p>
        </w:tc>
        <w:tc>
          <w:tcPr>
            <w:tcW w:type="dxa" w:w="2736"/>
          </w:tcPr>
          <w:p>
            <w:r/>
            <w:r>
              <w:rPr>
                <w:sz w:val="16"/>
              </w:rPr>
              <w:t>Mileage, C. Aldridge, Charlotte office to Pinnacle HQ, 14 mi</w:t>
            </w:r>
          </w:p>
        </w:tc>
        <w:tc>
          <w:tcPr>
            <w:tcW w:type="dxa" w:w="1080"/>
          </w:tcPr>
          <w:p>
            <w:r/>
            <w:r>
              <w:rPr>
                <w:sz w:val="16"/>
              </w:rPr>
              <w:t>$9.80</w:t>
            </w:r>
          </w:p>
        </w:tc>
        <w:tc>
          <w:tcPr>
            <w:tcW w:type="dxa" w:w="936"/>
            <w:shd w:val="clear" w:color="auto" w:fill="F8CBAD"/>
          </w:tcPr>
          <w:p>
            <w:r/>
            <w:r>
              <w:rPr>
                <w:sz w:val="16"/>
              </w:rPr>
              <w:t>Reject</w:t>
            </w:r>
          </w:p>
        </w:tc>
        <w:tc>
          <w:tcPr>
            <w:tcW w:type="dxa" w:w="1080"/>
          </w:tcPr>
          <w:p>
            <w:r/>
            <w:r>
              <w:rPr>
                <w:sz w:val="16"/>
              </w:rPr>
              <w:t>$9.80</w:t>
            </w:r>
          </w:p>
        </w:tc>
        <w:tc>
          <w:tcPr>
            <w:tcW w:type="dxa" w:w="1080"/>
          </w:tcPr>
          <w:p>
            <w:r/>
            <w:r>
              <w:rPr>
                <w:sz w:val="16"/>
              </w:rPr>
              <w:t>$0.00</w:t>
            </w:r>
          </w:p>
        </w:tc>
        <w:tc>
          <w:tcPr>
            <w:tcW w:type="dxa" w:w="5184"/>
          </w:tcPr>
          <w:p>
            <w:r/>
            <w:r>
              <w:rPr>
                <w:sz w:val="16"/>
              </w:rPr>
              <w:t>Travel between any HWK Charlotte office and Pinnacle HQ at 400 Tryon Tower is expressly non-reimbursable local travel. Restated in Engagement Letter §6.</w:t>
            </w:r>
          </w:p>
        </w:tc>
        <w:tc>
          <w:tcPr>
            <w:tcW w:type="dxa" w:w="1872"/>
          </w:tcPr>
          <w:p>
            <w:r/>
            <w:r>
              <w:rPr>
                <w:sz w:val="16"/>
              </w:rPr>
              <w:t>GL §5.2 (Local Travel); EL §6</w:t>
            </w:r>
          </w:p>
        </w:tc>
      </w:tr>
      <w:tr>
        <w:tc>
          <w:tcPr>
            <w:tcW w:type="dxa" w:w="576"/>
          </w:tcPr>
          <w:p>
            <w:r/>
            <w:r>
              <w:rPr>
                <w:sz w:val="16"/>
              </w:rPr>
              <w:t>11</w:t>
            </w:r>
          </w:p>
        </w:tc>
        <w:tc>
          <w:tcPr>
            <w:tcW w:type="dxa" w:w="2736"/>
          </w:tcPr>
          <w:p>
            <w:r/>
            <w:r>
              <w:rPr>
                <w:sz w:val="16"/>
              </w:rPr>
              <w:t>Airfare, C. Aldridge, CLT–Washington D.C. (mediator meeting)</w:t>
            </w:r>
          </w:p>
        </w:tc>
        <w:tc>
          <w:tcPr>
            <w:tcW w:type="dxa" w:w="1080"/>
          </w:tcPr>
          <w:p>
            <w:r/>
            <w:r>
              <w:rPr>
                <w:sz w:val="16"/>
              </w:rPr>
              <w:t>$412.00</w:t>
            </w:r>
          </w:p>
        </w:tc>
        <w:tc>
          <w:tcPr>
            <w:tcW w:type="dxa" w:w="936"/>
            <w:shd w:val="clear" w:color="auto" w:fill="E2EFDA"/>
          </w:tcPr>
          <w:p>
            <w:r/>
            <w:r>
              <w:rPr>
                <w:sz w:val="16"/>
              </w:rPr>
              <w:t>Compliant</w:t>
            </w:r>
          </w:p>
        </w:tc>
        <w:tc>
          <w:tcPr>
            <w:tcW w:type="dxa" w:w="1080"/>
          </w:tcPr>
          <w:p>
            <w:r/>
            <w:r>
              <w:rPr>
                <w:sz w:val="16"/>
              </w:rPr>
              <w:t>—</w:t>
            </w:r>
          </w:p>
        </w:tc>
        <w:tc>
          <w:tcPr>
            <w:tcW w:type="dxa" w:w="1080"/>
          </w:tcPr>
          <w:p>
            <w:r/>
            <w:r>
              <w:rPr>
                <w:sz w:val="16"/>
              </w:rPr>
              <w:t>$412.00</w:t>
            </w:r>
          </w:p>
        </w:tc>
        <w:tc>
          <w:tcPr>
            <w:tcW w:type="dxa" w:w="5184"/>
          </w:tcPr>
          <w:p>
            <w:r/>
            <w:r>
              <w:rPr>
                <w:sz w:val="16"/>
              </w:rPr>
              <w:t>Routine travel; below $5,000 notice threshold. Fare class not stated; confirm coach with receipt.</w:t>
            </w:r>
          </w:p>
        </w:tc>
        <w:tc>
          <w:tcPr>
            <w:tcW w:type="dxa" w:w="1872"/>
          </w:tcPr>
          <w:p>
            <w:r/>
            <w:r>
              <w:rPr>
                <w:sz w:val="16"/>
              </w:rPr>
              <w:t>GL §5.2 (Air Travel; Travel Pre-Approval)</w:t>
            </w:r>
          </w:p>
        </w:tc>
      </w:tr>
      <w:tr>
        <w:tc>
          <w:tcPr>
            <w:tcW w:type="dxa" w:w="576"/>
          </w:tcPr>
          <w:p>
            <w:r/>
            <w:r>
              <w:rPr>
                <w:sz w:val="16"/>
              </w:rPr>
              <w:t>12</w:t>
            </w:r>
          </w:p>
        </w:tc>
        <w:tc>
          <w:tcPr>
            <w:tcW w:type="dxa" w:w="2736"/>
          </w:tcPr>
          <w:p>
            <w:r/>
            <w:r>
              <w:rPr>
                <w:sz w:val="16"/>
              </w:rPr>
              <w:t>Hotel, C. Aldridge, The Capital Greystone, Washington D.C., 1 night</w:t>
            </w:r>
          </w:p>
        </w:tc>
        <w:tc>
          <w:tcPr>
            <w:tcW w:type="dxa" w:w="1080"/>
          </w:tcPr>
          <w:p>
            <w:r/>
            <w:r>
              <w:rPr>
                <w:sz w:val="16"/>
              </w:rPr>
              <w:t>$348.00</w:t>
            </w:r>
          </w:p>
        </w:tc>
        <w:tc>
          <w:tcPr>
            <w:tcW w:type="dxa" w:w="936"/>
            <w:shd w:val="clear" w:color="auto" w:fill="FFE699"/>
          </w:tcPr>
          <w:p>
            <w:r/>
            <w:r>
              <w:rPr>
                <w:sz w:val="16"/>
              </w:rPr>
              <w:t>Reduce</w:t>
            </w:r>
          </w:p>
        </w:tc>
        <w:tc>
          <w:tcPr>
            <w:tcW w:type="dxa" w:w="1080"/>
          </w:tcPr>
          <w:p>
            <w:r/>
            <w:r>
              <w:rPr>
                <w:sz w:val="16"/>
              </w:rPr>
              <w:t>$73.00</w:t>
            </w:r>
          </w:p>
        </w:tc>
        <w:tc>
          <w:tcPr>
            <w:tcW w:type="dxa" w:w="1080"/>
          </w:tcPr>
          <w:p>
            <w:r/>
            <w:r>
              <w:rPr>
                <w:sz w:val="16"/>
              </w:rPr>
              <w:t>$275.00</w:t>
            </w:r>
          </w:p>
        </w:tc>
        <w:tc>
          <w:tcPr>
            <w:tcW w:type="dxa" w:w="5184"/>
          </w:tcPr>
          <w:p>
            <w:r/>
            <w:r>
              <w:rPr>
                <w:sz w:val="16"/>
              </w:rPr>
              <w:t>Washington, D.C. is a Tier 1 City ($275/night cap). Excess of $73 not pre-approved.</w:t>
            </w:r>
          </w:p>
        </w:tc>
        <w:tc>
          <w:tcPr>
            <w:tcW w:type="dxa" w:w="1872"/>
          </w:tcPr>
          <w:p>
            <w:r/>
            <w:r>
              <w:rPr>
                <w:sz w:val="16"/>
              </w:rPr>
              <w:t>GL §5.2 (Hotels); App. A</w:t>
            </w:r>
          </w:p>
        </w:tc>
      </w:tr>
      <w:tr>
        <w:tc>
          <w:tcPr>
            <w:tcW w:type="dxa" w:w="576"/>
          </w:tcPr>
          <w:p>
            <w:r/>
            <w:r>
              <w:rPr>
                <w:sz w:val="16"/>
              </w:rPr>
              <w:t>13</w:t>
            </w:r>
          </w:p>
        </w:tc>
        <w:tc>
          <w:tcPr>
            <w:tcW w:type="dxa" w:w="2736"/>
          </w:tcPr>
          <w:p>
            <w:r/>
            <w:r>
              <w:rPr>
                <w:sz w:val="16"/>
              </w:rPr>
              <w:t>Meals, C. Aldridge, Washington D.C., 5/13</w:t>
            </w:r>
          </w:p>
        </w:tc>
        <w:tc>
          <w:tcPr>
            <w:tcW w:type="dxa" w:w="1080"/>
          </w:tcPr>
          <w:p>
            <w:r/>
            <w:r>
              <w:rPr>
                <w:sz w:val="16"/>
              </w:rPr>
              <w:t>$96.00</w:t>
            </w:r>
          </w:p>
        </w:tc>
        <w:tc>
          <w:tcPr>
            <w:tcW w:type="dxa" w:w="936"/>
            <w:shd w:val="clear" w:color="auto" w:fill="FFE699"/>
          </w:tcPr>
          <w:p>
            <w:r/>
            <w:r>
              <w:rPr>
                <w:sz w:val="16"/>
              </w:rPr>
              <w:t>Reduce</w:t>
            </w:r>
          </w:p>
        </w:tc>
        <w:tc>
          <w:tcPr>
            <w:tcW w:type="dxa" w:w="1080"/>
          </w:tcPr>
          <w:p>
            <w:r/>
            <w:r>
              <w:rPr>
                <w:sz w:val="16"/>
              </w:rPr>
              <w:t>$21.00</w:t>
            </w:r>
          </w:p>
        </w:tc>
        <w:tc>
          <w:tcPr>
            <w:tcW w:type="dxa" w:w="1080"/>
          </w:tcPr>
          <w:p>
            <w:r/>
            <w:r>
              <w:rPr>
                <w:sz w:val="16"/>
              </w:rPr>
              <w:t>$75.00</w:t>
            </w:r>
          </w:p>
        </w:tc>
        <w:tc>
          <w:tcPr>
            <w:tcW w:type="dxa" w:w="5184"/>
          </w:tcPr>
          <w:p>
            <w:r/>
            <w:r>
              <w:rPr>
                <w:sz w:val="16"/>
              </w:rPr>
              <w:t>Exceeds $75/day travel meal cap by $21. Description lacks meal/vendor and purpose.</w:t>
            </w:r>
          </w:p>
        </w:tc>
        <w:tc>
          <w:tcPr>
            <w:tcW w:type="dxa" w:w="1872"/>
          </w:tcPr>
          <w:p>
            <w:r/>
            <w:r>
              <w:rPr>
                <w:sz w:val="16"/>
              </w:rPr>
              <w:t>GL §5.2 (Meals During Travel); §5.1</w:t>
            </w:r>
          </w:p>
        </w:tc>
      </w:tr>
      <w:tr>
        <w:tc>
          <w:tcPr>
            <w:tcW w:type="dxa" w:w="576"/>
          </w:tcPr>
          <w:p>
            <w:r/>
            <w:r>
              <w:rPr>
                <w:sz w:val="16"/>
              </w:rPr>
              <w:t>14</w:t>
            </w:r>
          </w:p>
        </w:tc>
        <w:tc>
          <w:tcPr>
            <w:tcW w:type="dxa" w:w="2736"/>
          </w:tcPr>
          <w:p>
            <w:r/>
            <w:r>
              <w:rPr>
                <w:sz w:val="16"/>
              </w:rPr>
              <w:t>Rental car, M. Beale, Greenville SC, full-size sedan, 1 day</w:t>
            </w:r>
          </w:p>
        </w:tc>
        <w:tc>
          <w:tcPr>
            <w:tcW w:type="dxa" w:w="1080"/>
          </w:tcPr>
          <w:p>
            <w:r/>
            <w:r>
              <w:rPr>
                <w:sz w:val="16"/>
              </w:rPr>
              <w:t>$127.00</w:t>
            </w:r>
          </w:p>
        </w:tc>
        <w:tc>
          <w:tcPr>
            <w:tcW w:type="dxa" w:w="936"/>
            <w:shd w:val="clear" w:color="auto" w:fill="F8CBAD"/>
          </w:tcPr>
          <w:p>
            <w:r/>
            <w:r>
              <w:rPr>
                <w:sz w:val="16"/>
              </w:rPr>
              <w:t>Reject</w:t>
            </w:r>
          </w:p>
        </w:tc>
        <w:tc>
          <w:tcPr>
            <w:tcW w:type="dxa" w:w="1080"/>
          </w:tcPr>
          <w:p>
            <w:r/>
            <w:r>
              <w:rPr>
                <w:sz w:val="16"/>
              </w:rPr>
              <w:t>$127.00</w:t>
            </w:r>
          </w:p>
        </w:tc>
        <w:tc>
          <w:tcPr>
            <w:tcW w:type="dxa" w:w="1080"/>
          </w:tcPr>
          <w:p>
            <w:r/>
            <w:r>
              <w:rPr>
                <w:sz w:val="16"/>
              </w:rPr>
              <w:t>$0.00</w:t>
            </w:r>
          </w:p>
        </w:tc>
        <w:tc>
          <w:tcPr>
            <w:tcW w:type="dxa" w:w="5184"/>
          </w:tcPr>
          <w:p>
            <w:r/>
            <w:r>
              <w:rPr>
                <w:sz w:val="16"/>
              </w:rPr>
              <w:t>Full-size sedans are expressly not reimbursable. No documentation that a mid-size vehicle was unavailable. HWK may resubmit at the documented mid-size rate only if it shows unavailability.</w:t>
            </w:r>
          </w:p>
        </w:tc>
        <w:tc>
          <w:tcPr>
            <w:tcW w:type="dxa" w:w="1872"/>
          </w:tcPr>
          <w:p>
            <w:r/>
            <w:r>
              <w:rPr>
                <w:sz w:val="16"/>
              </w:rPr>
              <w:t>GL §5.2 (Rental Cars)</w:t>
            </w:r>
          </w:p>
        </w:tc>
      </w:tr>
      <w:tr>
        <w:tc>
          <w:tcPr>
            <w:tcW w:type="dxa" w:w="576"/>
          </w:tcPr>
          <w:p>
            <w:r/>
            <w:r>
              <w:rPr>
                <w:sz w:val="16"/>
              </w:rPr>
              <w:t>15</w:t>
            </w:r>
          </w:p>
        </w:tc>
        <w:tc>
          <w:tcPr>
            <w:tcW w:type="dxa" w:w="2736"/>
          </w:tcPr>
          <w:p>
            <w:r/>
            <w:r>
              <w:rPr>
                <w:sz w:val="16"/>
              </w:rPr>
              <w:t>Internal photocopies, 12,400 pages @ $0.15</w:t>
            </w:r>
          </w:p>
        </w:tc>
        <w:tc>
          <w:tcPr>
            <w:tcW w:type="dxa" w:w="1080"/>
          </w:tcPr>
          <w:p>
            <w:r/>
            <w:r>
              <w:rPr>
                <w:sz w:val="16"/>
              </w:rPr>
              <w:t>$1,860.00</w:t>
            </w:r>
          </w:p>
        </w:tc>
        <w:tc>
          <w:tcPr>
            <w:tcW w:type="dxa" w:w="936"/>
            <w:shd w:val="clear" w:color="auto" w:fill="FFE699"/>
          </w:tcPr>
          <w:p>
            <w:r/>
            <w:r>
              <w:rPr>
                <w:sz w:val="16"/>
              </w:rPr>
              <w:t>Reduce</w:t>
            </w:r>
          </w:p>
        </w:tc>
        <w:tc>
          <w:tcPr>
            <w:tcW w:type="dxa" w:w="1080"/>
          </w:tcPr>
          <w:p>
            <w:r/>
            <w:r>
              <w:rPr>
                <w:sz w:val="16"/>
              </w:rPr>
              <w:t>$620.00</w:t>
            </w:r>
          </w:p>
        </w:tc>
        <w:tc>
          <w:tcPr>
            <w:tcW w:type="dxa" w:w="1080"/>
          </w:tcPr>
          <w:p>
            <w:r/>
            <w:r>
              <w:rPr>
                <w:sz w:val="16"/>
              </w:rPr>
              <w:t>$1,240.00</w:t>
            </w:r>
          </w:p>
        </w:tc>
        <w:tc>
          <w:tcPr>
            <w:tcW w:type="dxa" w:w="5184"/>
          </w:tcPr>
          <w:p>
            <w:r/>
            <w:r>
              <w:rPr>
                <w:sz w:val="16"/>
              </w:rPr>
              <w:t>B&amp;W internal copying is capped at $0.10/page and “shall not be exceeded.” Overcharge of $0.05 x 12,400 = $620. Allowable $1,240. The $0.05 excess is an impermissible markup over the Guidelines’ actual-cost rate. Description also lacks business purpose.</w:t>
            </w:r>
          </w:p>
        </w:tc>
        <w:tc>
          <w:tcPr>
            <w:tcW w:type="dxa" w:w="1872"/>
          </w:tcPr>
          <w:p>
            <w:r/>
            <w:r>
              <w:rPr>
                <w:sz w:val="16"/>
              </w:rPr>
              <w:t>GL §5.3 (Internal Photocopies); §5.1 (Actual Cost)</w:t>
            </w:r>
          </w:p>
        </w:tc>
      </w:tr>
      <w:tr>
        <w:tc>
          <w:tcPr>
            <w:tcW w:type="dxa" w:w="576"/>
          </w:tcPr>
          <w:p>
            <w:r/>
            <w:r>
              <w:rPr>
                <w:sz w:val="16"/>
              </w:rPr>
              <w:t>16</w:t>
            </w:r>
          </w:p>
        </w:tc>
        <w:tc>
          <w:tcPr>
            <w:tcW w:type="dxa" w:w="2736"/>
          </w:tcPr>
          <w:p>
            <w:r/>
            <w:r>
              <w:rPr>
                <w:sz w:val="16"/>
              </w:rPr>
              <w:t>Color copies, 840 pages @ $0.25</w:t>
            </w:r>
          </w:p>
        </w:tc>
        <w:tc>
          <w:tcPr>
            <w:tcW w:type="dxa" w:w="1080"/>
          </w:tcPr>
          <w:p>
            <w:r/>
            <w:r>
              <w:rPr>
                <w:sz w:val="16"/>
              </w:rPr>
              <w:t>$210.00</w:t>
            </w:r>
          </w:p>
        </w:tc>
        <w:tc>
          <w:tcPr>
            <w:tcW w:type="dxa" w:w="936"/>
            <w:shd w:val="clear" w:color="auto" w:fill="E2EFDA"/>
          </w:tcPr>
          <w:p>
            <w:r/>
            <w:r>
              <w:rPr>
                <w:sz w:val="16"/>
              </w:rPr>
              <w:t>Compliant</w:t>
            </w:r>
          </w:p>
        </w:tc>
        <w:tc>
          <w:tcPr>
            <w:tcW w:type="dxa" w:w="1080"/>
          </w:tcPr>
          <w:p>
            <w:r/>
            <w:r>
              <w:rPr>
                <w:sz w:val="16"/>
              </w:rPr>
              <w:t>—</w:t>
            </w:r>
          </w:p>
        </w:tc>
        <w:tc>
          <w:tcPr>
            <w:tcW w:type="dxa" w:w="1080"/>
          </w:tcPr>
          <w:p>
            <w:r/>
            <w:r>
              <w:rPr>
                <w:sz w:val="16"/>
              </w:rPr>
              <w:t>$210.00</w:t>
            </w:r>
          </w:p>
        </w:tc>
        <w:tc>
          <w:tcPr>
            <w:tcW w:type="dxa" w:w="5184"/>
          </w:tcPr>
          <w:p>
            <w:r/>
            <w:r>
              <w:rPr>
                <w:sz w:val="16"/>
              </w:rPr>
              <w:t>Rate matches $0.25/page cap. Description lacks purpose; request supplementation.</w:t>
            </w:r>
          </w:p>
        </w:tc>
        <w:tc>
          <w:tcPr>
            <w:tcW w:type="dxa" w:w="1872"/>
          </w:tcPr>
          <w:p>
            <w:r/>
            <w:r>
              <w:rPr>
                <w:sz w:val="16"/>
              </w:rPr>
              <w:t>GL §5.3 (Color Copies); §5.1 (Descriptions)</w:t>
            </w:r>
          </w:p>
        </w:tc>
      </w:tr>
      <w:tr>
        <w:tc>
          <w:tcPr>
            <w:tcW w:type="dxa" w:w="576"/>
          </w:tcPr>
          <w:p>
            <w:r/>
            <w:r>
              <w:rPr>
                <w:sz w:val="16"/>
              </w:rPr>
              <w:t>17</w:t>
            </w:r>
          </w:p>
        </w:tc>
        <w:tc>
          <w:tcPr>
            <w:tcW w:type="dxa" w:w="2736"/>
          </w:tcPr>
          <w:p>
            <w:r/>
            <w:r>
              <w:rPr>
                <w:sz w:val="16"/>
              </w:rPr>
              <w:t>Outside printing, trial exhibit binders, Copyland Express</w:t>
            </w:r>
          </w:p>
        </w:tc>
        <w:tc>
          <w:tcPr>
            <w:tcW w:type="dxa" w:w="1080"/>
          </w:tcPr>
          <w:p>
            <w:r/>
            <w:r>
              <w:rPr>
                <w:sz w:val="16"/>
              </w:rPr>
              <w:t>$3,475.00</w:t>
            </w:r>
          </w:p>
        </w:tc>
        <w:tc>
          <w:tcPr>
            <w:tcW w:type="dxa" w:w="936"/>
            <w:shd w:val="clear" w:color="auto" w:fill="DDEBF7"/>
          </w:tcPr>
          <w:p>
            <w:r/>
            <w:r>
              <w:rPr>
                <w:sz w:val="16"/>
              </w:rPr>
              <w:t>Hold</w:t>
            </w:r>
          </w:p>
        </w:tc>
        <w:tc>
          <w:tcPr>
            <w:tcW w:type="dxa" w:w="1080"/>
          </w:tcPr>
          <w:p>
            <w:r/>
            <w:r>
              <w:rPr>
                <w:sz w:val="16"/>
              </w:rPr>
              <w:t>—</w:t>
            </w:r>
          </w:p>
        </w:tc>
        <w:tc>
          <w:tcPr>
            <w:tcW w:type="dxa" w:w="1080"/>
          </w:tcPr>
          <w:p>
            <w:r/>
            <w:r>
              <w:rPr>
                <w:sz w:val="16"/>
              </w:rPr>
              <w:t>$3,475.00</w:t>
            </w:r>
          </w:p>
        </w:tc>
        <w:tc>
          <w:tcPr>
            <w:tcW w:type="dxa" w:w="5184"/>
          </w:tcPr>
          <w:p>
            <w:r/>
            <w:r>
              <w:rPr>
                <w:sz w:val="16"/>
              </w:rPr>
              <w:t>Outside vendor printing is reimbursable at actual cost with vendor invoice. Trial is not set until February 2026 and the case is at class certification/mediation stage; HWK must explain necessity of trial exhibit binders in May 2025 and produce the Copyland invoice. Below $5,000, so no pre-approval required.</w:t>
            </w:r>
          </w:p>
        </w:tc>
        <w:tc>
          <w:tcPr>
            <w:tcW w:type="dxa" w:w="1872"/>
          </w:tcPr>
          <w:p>
            <w:r/>
            <w:r>
              <w:rPr>
                <w:sz w:val="16"/>
              </w:rPr>
              <w:t>GL §5.3 (Outside Printing); §5.1 (Documentation; Descriptions); §6.6</w:t>
            </w:r>
          </w:p>
        </w:tc>
      </w:tr>
      <w:tr>
        <w:tc>
          <w:tcPr>
            <w:tcW w:type="dxa" w:w="576"/>
          </w:tcPr>
          <w:p>
            <w:r/>
            <w:r>
              <w:rPr>
                <w:sz w:val="16"/>
              </w:rPr>
              <w:t>18</w:t>
            </w:r>
          </w:p>
        </w:tc>
        <w:tc>
          <w:tcPr>
            <w:tcW w:type="dxa" w:w="2736"/>
          </w:tcPr>
          <w:p>
            <w:r/>
            <w:r>
              <w:rPr>
                <w:sz w:val="16"/>
              </w:rPr>
              <w:t>Outside printing, class cert brief and appendices, Copyland Express</w:t>
            </w:r>
          </w:p>
        </w:tc>
        <w:tc>
          <w:tcPr>
            <w:tcW w:type="dxa" w:w="1080"/>
          </w:tcPr>
          <w:p>
            <w:r/>
            <w:r>
              <w:rPr>
                <w:sz w:val="16"/>
              </w:rPr>
              <w:t>$2,180.00</w:t>
            </w:r>
          </w:p>
        </w:tc>
        <w:tc>
          <w:tcPr>
            <w:tcW w:type="dxa" w:w="936"/>
            <w:shd w:val="clear" w:color="auto" w:fill="DDEBF7"/>
          </w:tcPr>
          <w:p>
            <w:r/>
            <w:r>
              <w:rPr>
                <w:sz w:val="16"/>
              </w:rPr>
              <w:t>Hold</w:t>
            </w:r>
          </w:p>
        </w:tc>
        <w:tc>
          <w:tcPr>
            <w:tcW w:type="dxa" w:w="1080"/>
          </w:tcPr>
          <w:p>
            <w:r/>
            <w:r>
              <w:rPr>
                <w:sz w:val="16"/>
              </w:rPr>
              <w:t>—</w:t>
            </w:r>
          </w:p>
        </w:tc>
        <w:tc>
          <w:tcPr>
            <w:tcW w:type="dxa" w:w="1080"/>
          </w:tcPr>
          <w:p>
            <w:r/>
            <w:r>
              <w:rPr>
                <w:sz w:val="16"/>
              </w:rPr>
              <w:t>$2,180.00</w:t>
            </w:r>
          </w:p>
        </w:tc>
        <w:tc>
          <w:tcPr>
            <w:tcW w:type="dxa" w:w="5184"/>
          </w:tcPr>
          <w:p>
            <w:r/>
            <w:r>
              <w:rPr>
                <w:sz w:val="16"/>
              </w:rPr>
              <w:t>Brief was filed and served via CM/ECF (Fee Lines 56–57). Request Copyland invoice and explanation (e.g., courtesy copies required by chambers). Combined Copyland charges in May total $5,655.</w:t>
            </w:r>
          </w:p>
        </w:tc>
        <w:tc>
          <w:tcPr>
            <w:tcW w:type="dxa" w:w="1872"/>
          </w:tcPr>
          <w:p>
            <w:r/>
            <w:r>
              <w:rPr>
                <w:sz w:val="16"/>
              </w:rPr>
              <w:t>GL §5.3; §5.1; §6.6</w:t>
            </w:r>
          </w:p>
        </w:tc>
      </w:tr>
      <w:tr>
        <w:tc>
          <w:tcPr>
            <w:tcW w:type="dxa" w:w="576"/>
          </w:tcPr>
          <w:p>
            <w:r/>
            <w:r>
              <w:rPr>
                <w:sz w:val="16"/>
              </w:rPr>
              <w:t>19</w:t>
            </w:r>
          </w:p>
        </w:tc>
        <w:tc>
          <w:tcPr>
            <w:tcW w:type="dxa" w:w="2736"/>
          </w:tcPr>
          <w:p>
            <w:r/>
            <w:r>
              <w:rPr>
                <w:sz w:val="16"/>
              </w:rPr>
              <w:t>Scanning/OCR, legacy personnel files, 34,000 pp, DataScan Solutions</w:t>
            </w:r>
          </w:p>
        </w:tc>
        <w:tc>
          <w:tcPr>
            <w:tcW w:type="dxa" w:w="1080"/>
          </w:tcPr>
          <w:p>
            <w:r/>
            <w:r>
              <w:rPr>
                <w:sz w:val="16"/>
              </w:rPr>
              <w:t>$6,800.00</w:t>
            </w:r>
          </w:p>
        </w:tc>
        <w:tc>
          <w:tcPr>
            <w:tcW w:type="dxa" w:w="936"/>
            <w:shd w:val="clear" w:color="auto" w:fill="F8CBAD"/>
          </w:tcPr>
          <w:p>
            <w:r/>
            <w:r>
              <w:rPr>
                <w:sz w:val="16"/>
              </w:rPr>
              <w:t>Reject</w:t>
            </w:r>
          </w:p>
        </w:tc>
        <w:tc>
          <w:tcPr>
            <w:tcW w:type="dxa" w:w="1080"/>
          </w:tcPr>
          <w:p>
            <w:r/>
            <w:r>
              <w:rPr>
                <w:sz w:val="16"/>
              </w:rPr>
              <w:t>$6,800.00</w:t>
            </w:r>
          </w:p>
        </w:tc>
        <w:tc>
          <w:tcPr>
            <w:tcW w:type="dxa" w:w="1080"/>
          </w:tcPr>
          <w:p>
            <w:r/>
            <w:r>
              <w:rPr>
                <w:sz w:val="16"/>
              </w:rPr>
              <w:t>$0.00</w:t>
            </w:r>
          </w:p>
        </w:tc>
        <w:tc>
          <w:tcPr>
            <w:tcW w:type="dxa" w:w="5184"/>
          </w:tcPr>
          <w:p>
            <w:r/>
            <w:r>
              <w:rPr>
                <w:sz w:val="16"/>
              </w:rPr>
              <w:t>Single line item exceeds $5,000; scanning charges over $5,000 are expressly subject to pre-approval. No pre-approval for DataScan appears in the certified log. Charge may be rejected in full; any retroactive approval is discretionary and the charge is held unpaid pending decision.</w:t>
            </w:r>
          </w:p>
        </w:tc>
        <w:tc>
          <w:tcPr>
            <w:tcW w:type="dxa" w:w="1872"/>
          </w:tcPr>
          <w:p>
            <w:r/>
            <w:r>
              <w:rPr>
                <w:sz w:val="16"/>
              </w:rPr>
              <w:t>GL §5.1 (Pre-Approval for Large Disbursements); §5.3 (Scanning and OCR); §8.6; EL §6</w:t>
            </w:r>
          </w:p>
        </w:tc>
      </w:tr>
      <w:tr>
        <w:tc>
          <w:tcPr>
            <w:tcW w:type="dxa" w:w="576"/>
          </w:tcPr>
          <w:p>
            <w:r/>
            <w:r>
              <w:rPr>
                <w:sz w:val="16"/>
              </w:rPr>
              <w:t>20</w:t>
            </w:r>
          </w:p>
        </w:tc>
        <w:tc>
          <w:tcPr>
            <w:tcW w:type="dxa" w:w="2736"/>
          </w:tcPr>
          <w:p>
            <w:r/>
            <w:r>
              <w:rPr>
                <w:sz w:val="16"/>
              </w:rPr>
              <w:t>Binding and tab sets, mediation binders, 12 sets @ $30</w:t>
            </w:r>
          </w:p>
        </w:tc>
        <w:tc>
          <w:tcPr>
            <w:tcW w:type="dxa" w:w="1080"/>
          </w:tcPr>
          <w:p>
            <w:r/>
            <w:r>
              <w:rPr>
                <w:sz w:val="16"/>
              </w:rPr>
              <w:t>$360.00</w:t>
            </w:r>
          </w:p>
        </w:tc>
        <w:tc>
          <w:tcPr>
            <w:tcW w:type="dxa" w:w="936"/>
            <w:shd w:val="clear" w:color="auto" w:fill="E2EFDA"/>
          </w:tcPr>
          <w:p>
            <w:r/>
            <w:r>
              <w:rPr>
                <w:sz w:val="16"/>
              </w:rPr>
              <w:t>Compliant</w:t>
            </w:r>
          </w:p>
        </w:tc>
        <w:tc>
          <w:tcPr>
            <w:tcW w:type="dxa" w:w="1080"/>
          </w:tcPr>
          <w:p>
            <w:r/>
            <w:r>
              <w:rPr>
                <w:sz w:val="16"/>
              </w:rPr>
              <w:t>—</w:t>
            </w:r>
          </w:p>
        </w:tc>
        <w:tc>
          <w:tcPr>
            <w:tcW w:type="dxa" w:w="1080"/>
          </w:tcPr>
          <w:p>
            <w:r/>
            <w:r>
              <w:rPr>
                <w:sz w:val="16"/>
              </w:rPr>
              <w:t>$360.00</w:t>
            </w:r>
          </w:p>
        </w:tc>
        <w:tc>
          <w:tcPr>
            <w:tcW w:type="dxa" w:w="5184"/>
          </w:tcPr>
          <w:p>
            <w:r/>
            <w:r>
              <w:rPr>
                <w:sz w:val="16"/>
              </w:rPr>
              <w:t>Litigation binding reimbursable at actual cost. Vendor not identified and 12 sets appears generous for a mediation; request backup confirming actual cost (not internal supplies, which are overhead).</w:t>
            </w:r>
          </w:p>
        </w:tc>
        <w:tc>
          <w:tcPr>
            <w:tcW w:type="dxa" w:w="1872"/>
          </w:tcPr>
          <w:p>
            <w:r/>
            <w:r>
              <w:rPr>
                <w:sz w:val="16"/>
              </w:rPr>
              <w:t>GL §5.3 (Binding); §5.1 (Overhead)</w:t>
            </w:r>
          </w:p>
        </w:tc>
      </w:tr>
      <w:tr>
        <w:tc>
          <w:tcPr>
            <w:tcW w:type="dxa" w:w="576"/>
          </w:tcPr>
          <w:p>
            <w:r/>
            <w:r>
              <w:rPr>
                <w:sz w:val="16"/>
              </w:rPr>
              <w:t>21</w:t>
            </w:r>
          </w:p>
        </w:tc>
        <w:tc>
          <w:tcPr>
            <w:tcW w:type="dxa" w:w="2736"/>
          </w:tcPr>
          <w:p>
            <w:r/>
            <w:r>
              <w:rPr>
                <w:sz w:val="16"/>
              </w:rPr>
              <w:t>Color copies, demonstratives, 220 pp @ $0.25</w:t>
            </w:r>
          </w:p>
        </w:tc>
        <w:tc>
          <w:tcPr>
            <w:tcW w:type="dxa" w:w="1080"/>
          </w:tcPr>
          <w:p>
            <w:r/>
            <w:r>
              <w:rPr>
                <w:sz w:val="16"/>
              </w:rPr>
              <w:t>$55.00</w:t>
            </w:r>
          </w:p>
        </w:tc>
        <w:tc>
          <w:tcPr>
            <w:tcW w:type="dxa" w:w="936"/>
            <w:shd w:val="clear" w:color="auto" w:fill="E2EFDA"/>
          </w:tcPr>
          <w:p>
            <w:r/>
            <w:r>
              <w:rPr>
                <w:sz w:val="16"/>
              </w:rPr>
              <w:t>Compliant</w:t>
            </w:r>
          </w:p>
        </w:tc>
        <w:tc>
          <w:tcPr>
            <w:tcW w:type="dxa" w:w="1080"/>
          </w:tcPr>
          <w:p>
            <w:r/>
            <w:r>
              <w:rPr>
                <w:sz w:val="16"/>
              </w:rPr>
              <w:t>—</w:t>
            </w:r>
          </w:p>
        </w:tc>
        <w:tc>
          <w:tcPr>
            <w:tcW w:type="dxa" w:w="1080"/>
          </w:tcPr>
          <w:p>
            <w:r/>
            <w:r>
              <w:rPr>
                <w:sz w:val="16"/>
              </w:rPr>
              <w:t>$55.00</w:t>
            </w:r>
          </w:p>
        </w:tc>
        <w:tc>
          <w:tcPr>
            <w:tcW w:type="dxa" w:w="5184"/>
          </w:tcPr>
          <w:p>
            <w:r/>
            <w:r>
              <w:rPr>
                <w:sz w:val="16"/>
              </w:rPr>
              <w:t>Rate and description compliant.</w:t>
            </w:r>
          </w:p>
        </w:tc>
        <w:tc>
          <w:tcPr>
            <w:tcW w:type="dxa" w:w="1872"/>
          </w:tcPr>
          <w:p>
            <w:r/>
            <w:r>
              <w:rPr>
                <w:sz w:val="16"/>
              </w:rPr>
              <w:t>GL §5.3</w:t>
            </w:r>
          </w:p>
        </w:tc>
      </w:tr>
      <w:tr>
        <w:tc>
          <w:tcPr>
            <w:tcW w:type="dxa" w:w="576"/>
          </w:tcPr>
          <w:p>
            <w:r/>
            <w:r>
              <w:rPr>
                <w:sz w:val="16"/>
              </w:rPr>
              <w:t>22</w:t>
            </w:r>
          </w:p>
        </w:tc>
        <w:tc>
          <w:tcPr>
            <w:tcW w:type="dxa" w:w="2736"/>
          </w:tcPr>
          <w:p>
            <w:r/>
            <w:r>
              <w:rPr>
                <w:sz w:val="16"/>
              </w:rPr>
              <w:t>Dr. Evelyn Hartsfield, May invoice</w:t>
            </w:r>
          </w:p>
        </w:tc>
        <w:tc>
          <w:tcPr>
            <w:tcW w:type="dxa" w:w="1080"/>
          </w:tcPr>
          <w:p>
            <w:r/>
            <w:r>
              <w:rPr>
                <w:sz w:val="16"/>
              </w:rPr>
              <w:t>$32,500.00</w:t>
            </w:r>
          </w:p>
        </w:tc>
        <w:tc>
          <w:tcPr>
            <w:tcW w:type="dxa" w:w="936"/>
            <w:shd w:val="clear" w:color="auto" w:fill="E2EFDA"/>
          </w:tcPr>
          <w:p>
            <w:r/>
            <w:r>
              <w:rPr>
                <w:sz w:val="16"/>
              </w:rPr>
              <w:t>Compliant</w:t>
            </w:r>
          </w:p>
        </w:tc>
        <w:tc>
          <w:tcPr>
            <w:tcW w:type="dxa" w:w="1080"/>
          </w:tcPr>
          <w:p>
            <w:r/>
            <w:r>
              <w:rPr>
                <w:sz w:val="16"/>
              </w:rPr>
              <w:t>—</w:t>
            </w:r>
          </w:p>
        </w:tc>
        <w:tc>
          <w:tcPr>
            <w:tcW w:type="dxa" w:w="1080"/>
          </w:tcPr>
          <w:p>
            <w:r/>
            <w:r>
              <w:rPr>
                <w:sz w:val="16"/>
              </w:rPr>
              <w:t>$32,500.00</w:t>
            </w:r>
          </w:p>
        </w:tc>
        <w:tc>
          <w:tcPr>
            <w:tcW w:type="dxa" w:w="5184"/>
          </w:tcPr>
          <w:p>
            <w:r/>
            <w:r>
              <w:rPr>
                <w:sz w:val="16"/>
              </w:rPr>
              <w:t>Pre-approved expert; GC concurrence obtained for monthly fees up to $35,000 cap. On its own, within cap — but see Line 27. Original expert invoice must be attached.</w:t>
            </w:r>
          </w:p>
        </w:tc>
        <w:tc>
          <w:tcPr>
            <w:tcW w:type="dxa" w:w="1872"/>
          </w:tcPr>
          <w:p>
            <w:r/>
            <w:r>
              <w:rPr>
                <w:sz w:val="16"/>
              </w:rPr>
              <w:t>GL §5.4; Log Entry 2</w:t>
            </w:r>
          </w:p>
        </w:tc>
      </w:tr>
      <w:tr>
        <w:tc>
          <w:tcPr>
            <w:tcW w:type="dxa" w:w="576"/>
          </w:tcPr>
          <w:p>
            <w:r/>
            <w:r>
              <w:rPr>
                <w:sz w:val="16"/>
              </w:rPr>
              <w:t>23</w:t>
            </w:r>
          </w:p>
        </w:tc>
        <w:tc>
          <w:tcPr>
            <w:tcW w:type="dxa" w:w="2736"/>
          </w:tcPr>
          <w:p>
            <w:r/>
            <w:r>
              <w:rPr>
                <w:sz w:val="16"/>
              </w:rPr>
              <w:t>Redmond Consulting Group, May invoice</w:t>
            </w:r>
          </w:p>
        </w:tc>
        <w:tc>
          <w:tcPr>
            <w:tcW w:type="dxa" w:w="1080"/>
          </w:tcPr>
          <w:p>
            <w:r/>
            <w:r>
              <w:rPr>
                <w:sz w:val="16"/>
              </w:rPr>
              <w:t>$18,750.00</w:t>
            </w:r>
          </w:p>
        </w:tc>
        <w:tc>
          <w:tcPr>
            <w:tcW w:type="dxa" w:w="936"/>
            <w:shd w:val="clear" w:color="auto" w:fill="E2EFDA"/>
          </w:tcPr>
          <w:p>
            <w:r/>
            <w:r>
              <w:rPr>
                <w:sz w:val="16"/>
              </w:rPr>
              <w:t>Compliant</w:t>
            </w:r>
          </w:p>
        </w:tc>
        <w:tc>
          <w:tcPr>
            <w:tcW w:type="dxa" w:w="1080"/>
          </w:tcPr>
          <w:p>
            <w:r/>
            <w:r>
              <w:rPr>
                <w:sz w:val="16"/>
              </w:rPr>
              <w:t>—</w:t>
            </w:r>
          </w:p>
        </w:tc>
        <w:tc>
          <w:tcPr>
            <w:tcW w:type="dxa" w:w="1080"/>
          </w:tcPr>
          <w:p>
            <w:r/>
            <w:r>
              <w:rPr>
                <w:sz w:val="16"/>
              </w:rPr>
              <w:t>$18,750.00</w:t>
            </w:r>
          </w:p>
        </w:tc>
        <w:tc>
          <w:tcPr>
            <w:tcW w:type="dxa" w:w="5184"/>
          </w:tcPr>
          <w:p>
            <w:r/>
            <w:r>
              <w:rPr>
                <w:sz w:val="16"/>
              </w:rPr>
              <w:t>Pre-approved consultant; within $20,000 monthly cap and below $25,000 GC threshold. Original invoice must be attached.</w:t>
            </w:r>
          </w:p>
        </w:tc>
        <w:tc>
          <w:tcPr>
            <w:tcW w:type="dxa" w:w="1872"/>
          </w:tcPr>
          <w:p>
            <w:r/>
            <w:r>
              <w:rPr>
                <w:sz w:val="16"/>
              </w:rPr>
              <w:t>GL §5.4; Log Entry 3</w:t>
            </w:r>
          </w:p>
        </w:tc>
      </w:tr>
      <w:tr>
        <w:tc>
          <w:tcPr>
            <w:tcW w:type="dxa" w:w="576"/>
          </w:tcPr>
          <w:p>
            <w:r/>
            <w:r>
              <w:rPr>
                <w:sz w:val="16"/>
              </w:rPr>
              <w:t>24</w:t>
            </w:r>
          </w:p>
        </w:tc>
        <w:tc>
          <w:tcPr>
            <w:tcW w:type="dxa" w:w="2736"/>
          </w:tcPr>
          <w:p>
            <w:r/>
            <w:r>
              <w:rPr>
                <w:sz w:val="16"/>
              </w:rPr>
              <w:t>Dr. Leonard Voss, vocational rehabilitation expert</w:t>
            </w:r>
          </w:p>
        </w:tc>
        <w:tc>
          <w:tcPr>
            <w:tcW w:type="dxa" w:w="1080"/>
          </w:tcPr>
          <w:p>
            <w:r/>
            <w:r>
              <w:rPr>
                <w:sz w:val="16"/>
              </w:rPr>
              <w:t>$4,200.00</w:t>
            </w:r>
          </w:p>
        </w:tc>
        <w:tc>
          <w:tcPr>
            <w:tcW w:type="dxa" w:w="936"/>
            <w:shd w:val="clear" w:color="auto" w:fill="F8CBAD"/>
          </w:tcPr>
          <w:p>
            <w:r/>
            <w:r>
              <w:rPr>
                <w:sz w:val="16"/>
              </w:rPr>
              <w:t>Reject</w:t>
            </w:r>
          </w:p>
        </w:tc>
        <w:tc>
          <w:tcPr>
            <w:tcW w:type="dxa" w:w="1080"/>
          </w:tcPr>
          <w:p>
            <w:r/>
            <w:r>
              <w:rPr>
                <w:sz w:val="16"/>
              </w:rPr>
              <w:t>$4,200.00</w:t>
            </w:r>
          </w:p>
        </w:tc>
        <w:tc>
          <w:tcPr>
            <w:tcW w:type="dxa" w:w="1080"/>
          </w:tcPr>
          <w:p>
            <w:r/>
            <w:r>
              <w:rPr>
                <w:sz w:val="16"/>
              </w:rPr>
              <w:t>$0.00</w:t>
            </w:r>
          </w:p>
        </w:tc>
        <w:tc>
          <w:tcPr>
            <w:tcW w:type="dxa" w:w="5184"/>
          </w:tcPr>
          <w:p>
            <w:r/>
            <w:r>
              <w:rPr>
                <w:sz w:val="16"/>
              </w:rPr>
              <w:t>Every expert/consultant engagement requires written pre-approval BEFORE retention regardless of cost. Dr. Voss does not appear in the certified pre-approval log. Vocational experts are expressly within the scope of §5.4.</w:t>
            </w:r>
          </w:p>
        </w:tc>
        <w:tc>
          <w:tcPr>
            <w:tcW w:type="dxa" w:w="1872"/>
          </w:tcPr>
          <w:p>
            <w:r/>
            <w:r>
              <w:rPr>
                <w:sz w:val="16"/>
              </w:rPr>
              <w:t>GL §5.4 (Pre-Approval Required; Scope); EL §§2, 6(d); Log Certification</w:t>
            </w:r>
          </w:p>
        </w:tc>
      </w:tr>
      <w:tr>
        <w:tc>
          <w:tcPr>
            <w:tcW w:type="dxa" w:w="576"/>
          </w:tcPr>
          <w:p>
            <w:r/>
            <w:r>
              <w:rPr>
                <w:sz w:val="16"/>
              </w:rPr>
              <w:t>25</w:t>
            </w:r>
          </w:p>
        </w:tc>
        <w:tc>
          <w:tcPr>
            <w:tcW w:type="dxa" w:w="2736"/>
          </w:tcPr>
          <w:p>
            <w:r/>
            <w:r>
              <w:rPr>
                <w:sz w:val="16"/>
              </w:rPr>
              <w:t>GraphicWorks LLC, litigation graphics and demonstratives</w:t>
            </w:r>
          </w:p>
        </w:tc>
        <w:tc>
          <w:tcPr>
            <w:tcW w:type="dxa" w:w="1080"/>
          </w:tcPr>
          <w:p>
            <w:r/>
            <w:r>
              <w:rPr>
                <w:sz w:val="16"/>
              </w:rPr>
              <w:t>$7,850.00</w:t>
            </w:r>
          </w:p>
        </w:tc>
        <w:tc>
          <w:tcPr>
            <w:tcW w:type="dxa" w:w="936"/>
            <w:shd w:val="clear" w:color="auto" w:fill="F8CBAD"/>
          </w:tcPr>
          <w:p>
            <w:r/>
            <w:r>
              <w:rPr>
                <w:sz w:val="16"/>
              </w:rPr>
              <w:t>Reject</w:t>
            </w:r>
          </w:p>
        </w:tc>
        <w:tc>
          <w:tcPr>
            <w:tcW w:type="dxa" w:w="1080"/>
          </w:tcPr>
          <w:p>
            <w:r/>
            <w:r>
              <w:rPr>
                <w:sz w:val="16"/>
              </w:rPr>
              <w:t>$7,850.00</w:t>
            </w:r>
          </w:p>
        </w:tc>
        <w:tc>
          <w:tcPr>
            <w:tcW w:type="dxa" w:w="1080"/>
          </w:tcPr>
          <w:p>
            <w:r/>
            <w:r>
              <w:rPr>
                <w:sz w:val="16"/>
              </w:rPr>
              <w:t>$0.00</w:t>
            </w:r>
          </w:p>
        </w:tc>
        <w:tc>
          <w:tcPr>
            <w:tcW w:type="dxa" w:w="5184"/>
          </w:tcPr>
          <w:p>
            <w:r/>
            <w:r>
              <w:rPr>
                <w:sz w:val="16"/>
              </w:rPr>
              <w:t>Graphics/demonstrative vendors providing substantive consulting services are “consultants” requiring pre-approval; the charge also exceeds the $5,000 single-line threshold. No pre-approval in the log under either provision.</w:t>
            </w:r>
          </w:p>
        </w:tc>
        <w:tc>
          <w:tcPr>
            <w:tcW w:type="dxa" w:w="1872"/>
          </w:tcPr>
          <w:p>
            <w:r/>
            <w:r>
              <w:rPr>
                <w:sz w:val="16"/>
              </w:rPr>
              <w:t>GL §5.4 (Scope of Consultants); §5.1 (Pre-Approval &gt; $5,000); Log Certification</w:t>
            </w:r>
          </w:p>
        </w:tc>
      </w:tr>
      <w:tr>
        <w:tc>
          <w:tcPr>
            <w:tcW w:type="dxa" w:w="576"/>
          </w:tcPr>
          <w:p>
            <w:r/>
            <w:r>
              <w:rPr>
                <w:sz w:val="16"/>
              </w:rPr>
              <w:t>26</w:t>
            </w:r>
          </w:p>
        </w:tc>
        <w:tc>
          <w:tcPr>
            <w:tcW w:type="dxa" w:w="2736"/>
          </w:tcPr>
          <w:p>
            <w:r/>
            <w:r>
              <w:rPr>
                <w:sz w:val="16"/>
              </w:rPr>
              <w:t>TechForensic Partners, ESI forensic imaging, 3 devices</w:t>
            </w:r>
          </w:p>
        </w:tc>
        <w:tc>
          <w:tcPr>
            <w:tcW w:type="dxa" w:w="1080"/>
          </w:tcPr>
          <w:p>
            <w:r/>
            <w:r>
              <w:rPr>
                <w:sz w:val="16"/>
              </w:rPr>
              <w:t>$5,100.00</w:t>
            </w:r>
          </w:p>
        </w:tc>
        <w:tc>
          <w:tcPr>
            <w:tcW w:type="dxa" w:w="936"/>
            <w:shd w:val="clear" w:color="auto" w:fill="E2EFDA"/>
          </w:tcPr>
          <w:p>
            <w:r/>
            <w:r>
              <w:rPr>
                <w:sz w:val="16"/>
              </w:rPr>
              <w:t>Compliant</w:t>
            </w:r>
          </w:p>
        </w:tc>
        <w:tc>
          <w:tcPr>
            <w:tcW w:type="dxa" w:w="1080"/>
          </w:tcPr>
          <w:p>
            <w:r/>
            <w:r>
              <w:rPr>
                <w:sz w:val="16"/>
              </w:rPr>
              <w:t>—</w:t>
            </w:r>
          </w:p>
        </w:tc>
        <w:tc>
          <w:tcPr>
            <w:tcW w:type="dxa" w:w="1080"/>
          </w:tcPr>
          <w:p>
            <w:r/>
            <w:r>
              <w:rPr>
                <w:sz w:val="16"/>
              </w:rPr>
              <w:t>$5,100.00</w:t>
            </w:r>
          </w:p>
        </w:tc>
        <w:tc>
          <w:tcPr>
            <w:tcW w:type="dxa" w:w="5184"/>
          </w:tcPr>
          <w:p>
            <w:r/>
            <w:r>
              <w:rPr>
                <w:sz w:val="16"/>
              </w:rPr>
              <w:t>Pre-approved 5/18/25 at approx. $5,100; billed amount matches. Vendor invoice must be attached; chain-of-custody documentation to be maintained.</w:t>
            </w:r>
          </w:p>
        </w:tc>
        <w:tc>
          <w:tcPr>
            <w:tcW w:type="dxa" w:w="1872"/>
          </w:tcPr>
          <w:p>
            <w:r/>
            <w:r>
              <w:rPr>
                <w:sz w:val="16"/>
              </w:rPr>
              <w:t>GL §5.1; Log Entry 6</w:t>
            </w:r>
          </w:p>
        </w:tc>
      </w:tr>
      <w:tr>
        <w:tc>
          <w:tcPr>
            <w:tcW w:type="dxa" w:w="576"/>
          </w:tcPr>
          <w:p>
            <w:r/>
            <w:r>
              <w:rPr>
                <w:sz w:val="16"/>
              </w:rPr>
              <w:t>27</w:t>
            </w:r>
          </w:p>
        </w:tc>
        <w:tc>
          <w:tcPr>
            <w:tcW w:type="dxa" w:w="2736"/>
          </w:tcPr>
          <w:p>
            <w:r/>
            <w:r>
              <w:rPr>
                <w:sz w:val="16"/>
              </w:rPr>
              <w:t>Dr. Evelyn Hartsfield, additional rush analysis</w:t>
            </w:r>
          </w:p>
        </w:tc>
        <w:tc>
          <w:tcPr>
            <w:tcW w:type="dxa" w:w="1080"/>
          </w:tcPr>
          <w:p>
            <w:r/>
            <w:r>
              <w:rPr>
                <w:sz w:val="16"/>
              </w:rPr>
              <w:t>$8,400.00</w:t>
            </w:r>
          </w:p>
        </w:tc>
        <w:tc>
          <w:tcPr>
            <w:tcW w:type="dxa" w:w="936"/>
            <w:shd w:val="clear" w:color="auto" w:fill="FFE699"/>
          </w:tcPr>
          <w:p>
            <w:r/>
            <w:r>
              <w:rPr>
                <w:sz w:val="16"/>
              </w:rPr>
              <w:t>Reduce</w:t>
            </w:r>
          </w:p>
        </w:tc>
        <w:tc>
          <w:tcPr>
            <w:tcW w:type="dxa" w:w="1080"/>
          </w:tcPr>
          <w:p>
            <w:r/>
            <w:r>
              <w:rPr>
                <w:sz w:val="16"/>
              </w:rPr>
              <w:t>$5,900.00</w:t>
            </w:r>
          </w:p>
        </w:tc>
        <w:tc>
          <w:tcPr>
            <w:tcW w:type="dxa" w:w="1080"/>
          </w:tcPr>
          <w:p>
            <w:r/>
            <w:r>
              <w:rPr>
                <w:sz w:val="16"/>
              </w:rPr>
              <w:t>$2,500.00</w:t>
            </w:r>
          </w:p>
        </w:tc>
        <w:tc>
          <w:tcPr>
            <w:tcW w:type="dxa" w:w="5184"/>
          </w:tcPr>
          <w:p>
            <w:r/>
            <w:r>
              <w:rPr>
                <w:sz w:val="16"/>
              </w:rPr>
              <w:t>Combined Hartsfield May charges are $40,900 (Lines 22 + 27), exceeding the $35,000 approved monthly cap by $5,900. Overage required advance GC authorization; none is in the log. The rush work was ordered “per Aldridge request” without notice to the Relationship Attorney. Separately, $8,400 is not a multiple of the approved $650 rate (12.92 hrs), suggesting an unapproved rush premium — obtain original invoice.</w:t>
            </w:r>
          </w:p>
        </w:tc>
        <w:tc>
          <w:tcPr>
            <w:tcW w:type="dxa" w:w="1872"/>
          </w:tcPr>
          <w:p>
            <w:r/>
            <w:r>
              <w:rPr>
                <w:sz w:val="16"/>
              </w:rPr>
              <w:t>GL §5.4 (Budget Caps; Monthly Threshold); Log Entry 2; EL §§6(d), 7</w:t>
            </w:r>
          </w:p>
        </w:tc>
      </w:tr>
      <w:tr>
        <w:tc>
          <w:tcPr>
            <w:tcW w:type="dxa" w:w="576"/>
          </w:tcPr>
          <w:p>
            <w:r/>
            <w:r>
              <w:rPr>
                <w:sz w:val="16"/>
              </w:rPr>
              <w:t>28</w:t>
            </w:r>
          </w:p>
        </w:tc>
        <w:tc>
          <w:tcPr>
            <w:tcW w:type="dxa" w:w="2736"/>
          </w:tcPr>
          <w:p>
            <w:r/>
            <w:r>
              <w:rPr>
                <w:sz w:val="16"/>
              </w:rPr>
              <w:t>Filing fee, motion to compel</w:t>
            </w:r>
          </w:p>
        </w:tc>
        <w:tc>
          <w:tcPr>
            <w:tcW w:type="dxa" w:w="1080"/>
          </w:tcPr>
          <w:p>
            <w:r/>
            <w:r>
              <w:rPr>
                <w:sz w:val="16"/>
              </w:rPr>
              <w:t>$52.00</w:t>
            </w:r>
          </w:p>
        </w:tc>
        <w:tc>
          <w:tcPr>
            <w:tcW w:type="dxa" w:w="936"/>
            <w:shd w:val="clear" w:color="auto" w:fill="DDEBF7"/>
          </w:tcPr>
          <w:p>
            <w:r/>
            <w:r>
              <w:rPr>
                <w:sz w:val="16"/>
              </w:rPr>
              <w:t>Hold</w:t>
            </w:r>
          </w:p>
        </w:tc>
        <w:tc>
          <w:tcPr>
            <w:tcW w:type="dxa" w:w="1080"/>
          </w:tcPr>
          <w:p>
            <w:r/>
            <w:r>
              <w:rPr>
                <w:sz w:val="16"/>
              </w:rPr>
              <w:t>—</w:t>
            </w:r>
          </w:p>
        </w:tc>
        <w:tc>
          <w:tcPr>
            <w:tcW w:type="dxa" w:w="1080"/>
          </w:tcPr>
          <w:p>
            <w:r/>
            <w:r>
              <w:rPr>
                <w:sz w:val="16"/>
              </w:rPr>
              <w:t>$52.00</w:t>
            </w:r>
          </w:p>
        </w:tc>
        <w:tc>
          <w:tcPr>
            <w:tcW w:type="dxa" w:w="5184"/>
          </w:tcPr>
          <w:p>
            <w:r/>
            <w:r>
              <w:rPr>
                <w:sz w:val="16"/>
              </w:rPr>
              <w:t>Federal district courts generally do not charge a fee to file a motion via CM/ECF, and the motion was filed 5/6 (Fee Line 15), not 5/5. Request court receipt before payment.</w:t>
            </w:r>
          </w:p>
        </w:tc>
        <w:tc>
          <w:tcPr>
            <w:tcW w:type="dxa" w:w="1872"/>
          </w:tcPr>
          <w:p>
            <w:r/>
            <w:r>
              <w:rPr>
                <w:sz w:val="16"/>
              </w:rPr>
              <w:t>GL §5.5 (documentation on request); §6.6</w:t>
            </w:r>
          </w:p>
        </w:tc>
      </w:tr>
      <w:tr>
        <w:tc>
          <w:tcPr>
            <w:tcW w:type="dxa" w:w="576"/>
          </w:tcPr>
          <w:p>
            <w:r/>
            <w:r>
              <w:rPr>
                <w:sz w:val="16"/>
              </w:rPr>
              <w:t>29</w:t>
            </w:r>
          </w:p>
        </w:tc>
        <w:tc>
          <w:tcPr>
            <w:tcW w:type="dxa" w:w="2736"/>
          </w:tcPr>
          <w:p>
            <w:r/>
            <w:r>
              <w:rPr>
                <w:sz w:val="16"/>
              </w:rPr>
              <w:t>Certified copy of court order</w:t>
            </w:r>
          </w:p>
        </w:tc>
        <w:tc>
          <w:tcPr>
            <w:tcW w:type="dxa" w:w="1080"/>
          </w:tcPr>
          <w:p>
            <w:r/>
            <w:r>
              <w:rPr>
                <w:sz w:val="16"/>
              </w:rPr>
              <w:t>$24.00</w:t>
            </w:r>
          </w:p>
        </w:tc>
        <w:tc>
          <w:tcPr>
            <w:tcW w:type="dxa" w:w="936"/>
            <w:shd w:val="clear" w:color="auto" w:fill="E2EFDA"/>
          </w:tcPr>
          <w:p>
            <w:r/>
            <w:r>
              <w:rPr>
                <w:sz w:val="16"/>
              </w:rPr>
              <w:t>Compliant</w:t>
            </w:r>
          </w:p>
        </w:tc>
        <w:tc>
          <w:tcPr>
            <w:tcW w:type="dxa" w:w="1080"/>
          </w:tcPr>
          <w:p>
            <w:r/>
            <w:r>
              <w:rPr>
                <w:sz w:val="16"/>
              </w:rPr>
              <w:t>—</w:t>
            </w:r>
          </w:p>
        </w:tc>
        <w:tc>
          <w:tcPr>
            <w:tcW w:type="dxa" w:w="1080"/>
          </w:tcPr>
          <w:p>
            <w:r/>
            <w:r>
              <w:rPr>
                <w:sz w:val="16"/>
              </w:rPr>
              <w:t>$24.00</w:t>
            </w:r>
          </w:p>
        </w:tc>
        <w:tc>
          <w:tcPr>
            <w:tcW w:type="dxa" w:w="5184"/>
          </w:tcPr>
          <w:p>
            <w:r/>
            <w:r>
              <w:rPr>
                <w:sz w:val="16"/>
              </w:rPr>
              <w:t>Routine court cost at actual cost.</w:t>
            </w:r>
          </w:p>
        </w:tc>
        <w:tc>
          <w:tcPr>
            <w:tcW w:type="dxa" w:w="1872"/>
          </w:tcPr>
          <w:p>
            <w:r/>
            <w:r>
              <w:rPr>
                <w:sz w:val="16"/>
              </w:rPr>
              <w:t>GL §5.5</w:t>
            </w:r>
          </w:p>
        </w:tc>
      </w:tr>
      <w:tr>
        <w:tc>
          <w:tcPr>
            <w:tcW w:type="dxa" w:w="576"/>
          </w:tcPr>
          <w:p>
            <w:r/>
            <w:r>
              <w:rPr>
                <w:sz w:val="16"/>
              </w:rPr>
              <w:t>30</w:t>
            </w:r>
          </w:p>
        </w:tc>
        <w:tc>
          <w:tcPr>
            <w:tcW w:type="dxa" w:w="2736"/>
          </w:tcPr>
          <w:p>
            <w:r/>
            <w:r>
              <w:rPr>
                <w:sz w:val="16"/>
              </w:rPr>
              <w:t>Pro hac vice fee, T. Nakamura, WDNC</w:t>
            </w:r>
          </w:p>
        </w:tc>
        <w:tc>
          <w:tcPr>
            <w:tcW w:type="dxa" w:w="1080"/>
          </w:tcPr>
          <w:p>
            <w:r/>
            <w:r>
              <w:rPr>
                <w:sz w:val="16"/>
              </w:rPr>
              <w:t>$250.00</w:t>
            </w:r>
          </w:p>
        </w:tc>
        <w:tc>
          <w:tcPr>
            <w:tcW w:type="dxa" w:w="936"/>
            <w:shd w:val="clear" w:color="auto" w:fill="E2EFDA"/>
          </w:tcPr>
          <w:p>
            <w:r/>
            <w:r>
              <w:rPr>
                <w:sz w:val="16"/>
              </w:rPr>
              <w:t>Compliant</w:t>
            </w:r>
          </w:p>
        </w:tc>
        <w:tc>
          <w:tcPr>
            <w:tcW w:type="dxa" w:w="1080"/>
          </w:tcPr>
          <w:p>
            <w:r/>
            <w:r>
              <w:rPr>
                <w:sz w:val="16"/>
              </w:rPr>
              <w:t>—</w:t>
            </w:r>
          </w:p>
        </w:tc>
        <w:tc>
          <w:tcPr>
            <w:tcW w:type="dxa" w:w="1080"/>
          </w:tcPr>
          <w:p>
            <w:r/>
            <w:r>
              <w:rPr>
                <w:sz w:val="16"/>
              </w:rPr>
              <w:t>$250.00</w:t>
            </w:r>
          </w:p>
        </w:tc>
        <w:tc>
          <w:tcPr>
            <w:tcW w:type="dxa" w:w="5184"/>
          </w:tcPr>
          <w:p>
            <w:r/>
            <w:r>
              <w:rPr>
                <w:sz w:val="16"/>
              </w:rPr>
              <w:t>Pro hac vice admission fees are expressly reimbursable court costs; Nakamura’s possible pro hac vice admission was contemplated in EL §3.</w:t>
            </w:r>
          </w:p>
        </w:tc>
        <w:tc>
          <w:tcPr>
            <w:tcW w:type="dxa" w:w="1872"/>
          </w:tcPr>
          <w:p>
            <w:r/>
            <w:r>
              <w:rPr>
                <w:sz w:val="16"/>
              </w:rPr>
              <w:t>GL §5.5; EL §3</w:t>
            </w:r>
          </w:p>
        </w:tc>
      </w:tr>
      <w:tr>
        <w:tc>
          <w:tcPr>
            <w:tcW w:type="dxa" w:w="576"/>
          </w:tcPr>
          <w:p>
            <w:r/>
            <w:r>
              <w:rPr>
                <w:sz w:val="16"/>
              </w:rPr>
              <w:t>31</w:t>
            </w:r>
          </w:p>
        </w:tc>
        <w:tc>
          <w:tcPr>
            <w:tcW w:type="dxa" w:w="2736"/>
          </w:tcPr>
          <w:p>
            <w:r/>
            <w:r>
              <w:rPr>
                <w:sz w:val="16"/>
              </w:rPr>
              <w:t>Service of subpoena, Dr. Helen Kuroda</w:t>
            </w:r>
          </w:p>
        </w:tc>
        <w:tc>
          <w:tcPr>
            <w:tcW w:type="dxa" w:w="1080"/>
          </w:tcPr>
          <w:p>
            <w:r/>
            <w:r>
              <w:rPr>
                <w:sz w:val="16"/>
              </w:rPr>
              <w:t>$185.00</w:t>
            </w:r>
          </w:p>
        </w:tc>
        <w:tc>
          <w:tcPr>
            <w:tcW w:type="dxa" w:w="936"/>
            <w:shd w:val="clear" w:color="auto" w:fill="E2EFDA"/>
          </w:tcPr>
          <w:p>
            <w:r/>
            <w:r>
              <w:rPr>
                <w:sz w:val="16"/>
              </w:rPr>
              <w:t>Compliant</w:t>
            </w:r>
          </w:p>
        </w:tc>
        <w:tc>
          <w:tcPr>
            <w:tcW w:type="dxa" w:w="1080"/>
          </w:tcPr>
          <w:p>
            <w:r/>
            <w:r>
              <w:rPr>
                <w:sz w:val="16"/>
              </w:rPr>
              <w:t>—</w:t>
            </w:r>
          </w:p>
        </w:tc>
        <w:tc>
          <w:tcPr>
            <w:tcW w:type="dxa" w:w="1080"/>
          </w:tcPr>
          <w:p>
            <w:r/>
            <w:r>
              <w:rPr>
                <w:sz w:val="16"/>
              </w:rPr>
              <w:t>$185.00</w:t>
            </w:r>
          </w:p>
        </w:tc>
        <w:tc>
          <w:tcPr>
            <w:tcW w:type="dxa" w:w="5184"/>
          </w:tcPr>
          <w:p>
            <w:r/>
            <w:r>
              <w:rPr>
                <w:sz w:val="16"/>
              </w:rPr>
              <w:t>Service of process fee reimbursable. Note: Kuroda was already deposed 5/3 and is a class member; Relationship Attorney may wish to confirm purpose.</w:t>
            </w:r>
          </w:p>
        </w:tc>
        <w:tc>
          <w:tcPr>
            <w:tcW w:type="dxa" w:w="1872"/>
          </w:tcPr>
          <w:p>
            <w:r/>
            <w:r>
              <w:rPr>
                <w:sz w:val="16"/>
              </w:rPr>
              <w:t>GL §5.5</w:t>
            </w:r>
          </w:p>
        </w:tc>
      </w:tr>
      <w:tr>
        <w:tc>
          <w:tcPr>
            <w:tcW w:type="dxa" w:w="576"/>
          </w:tcPr>
          <w:p>
            <w:r/>
            <w:r>
              <w:rPr>
                <w:sz w:val="16"/>
              </w:rPr>
              <w:t>32</w:t>
            </w:r>
          </w:p>
        </w:tc>
        <w:tc>
          <w:tcPr>
            <w:tcW w:type="dxa" w:w="2736"/>
          </w:tcPr>
          <w:p>
            <w:r/>
            <w:r>
              <w:rPr>
                <w:sz w:val="16"/>
              </w:rPr>
              <w:t>FedEx overnight, class certification motion to court</w:t>
            </w:r>
          </w:p>
        </w:tc>
        <w:tc>
          <w:tcPr>
            <w:tcW w:type="dxa" w:w="1080"/>
          </w:tcPr>
          <w:p>
            <w:r/>
            <w:r>
              <w:rPr>
                <w:sz w:val="16"/>
              </w:rPr>
              <w:t>$32.50</w:t>
            </w:r>
          </w:p>
        </w:tc>
        <w:tc>
          <w:tcPr>
            <w:tcW w:type="dxa" w:w="936"/>
            <w:shd w:val="clear" w:color="auto" w:fill="DDEBF7"/>
          </w:tcPr>
          <w:p>
            <w:r/>
            <w:r>
              <w:rPr>
                <w:sz w:val="16"/>
              </w:rPr>
              <w:t>Hold</w:t>
            </w:r>
          </w:p>
        </w:tc>
        <w:tc>
          <w:tcPr>
            <w:tcW w:type="dxa" w:w="1080"/>
          </w:tcPr>
          <w:p>
            <w:r/>
            <w:r>
              <w:rPr>
                <w:sz w:val="16"/>
              </w:rPr>
              <w:t>—</w:t>
            </w:r>
          </w:p>
        </w:tc>
        <w:tc>
          <w:tcPr>
            <w:tcW w:type="dxa" w:w="1080"/>
          </w:tcPr>
          <w:p>
            <w:r/>
            <w:r>
              <w:rPr>
                <w:sz w:val="16"/>
              </w:rPr>
              <w:t>$32.50</w:t>
            </w:r>
          </w:p>
        </w:tc>
        <w:tc>
          <w:tcPr>
            <w:tcW w:type="dxa" w:w="5184"/>
          </w:tcPr>
          <w:p>
            <w:r/>
            <w:r>
              <w:rPr>
                <w:sz w:val="16"/>
              </w:rPr>
              <w:t>Description fails to identify origin/destination and the reason overnight delivery was required; filings in this case are made via CM/ECF and the class certification motion is plaintiffs’ (HWK filed its opposition 5/23). Return for revision.</w:t>
            </w:r>
          </w:p>
        </w:tc>
        <w:tc>
          <w:tcPr>
            <w:tcW w:type="dxa" w:w="1872"/>
          </w:tcPr>
          <w:p>
            <w:r/>
            <w:r>
              <w:rPr>
                <w:sz w:val="16"/>
              </w:rPr>
              <w:t>GL §5.6 (Overnight; Descriptions)</w:t>
            </w:r>
          </w:p>
        </w:tc>
      </w:tr>
      <w:tr>
        <w:tc>
          <w:tcPr>
            <w:tcW w:type="dxa" w:w="576"/>
          </w:tcPr>
          <w:p>
            <w:r/>
            <w:r>
              <w:rPr>
                <w:sz w:val="16"/>
              </w:rPr>
              <w:t>33</w:t>
            </w:r>
          </w:p>
        </w:tc>
        <w:tc>
          <w:tcPr>
            <w:tcW w:type="dxa" w:w="2736"/>
          </w:tcPr>
          <w:p>
            <w:r/>
            <w:r>
              <w:rPr>
                <w:sz w:val="16"/>
              </w:rPr>
              <w:t>FedEx overnight, privilege log to opposing counsel</w:t>
            </w:r>
          </w:p>
        </w:tc>
        <w:tc>
          <w:tcPr>
            <w:tcW w:type="dxa" w:w="1080"/>
          </w:tcPr>
          <w:p>
            <w:r/>
            <w:r>
              <w:rPr>
                <w:sz w:val="16"/>
              </w:rPr>
              <w:t>$28.75</w:t>
            </w:r>
          </w:p>
        </w:tc>
        <w:tc>
          <w:tcPr>
            <w:tcW w:type="dxa" w:w="936"/>
            <w:shd w:val="clear" w:color="auto" w:fill="DDEBF7"/>
          </w:tcPr>
          <w:p>
            <w:r/>
            <w:r>
              <w:rPr>
                <w:sz w:val="16"/>
              </w:rPr>
              <w:t>Hold</w:t>
            </w:r>
          </w:p>
        </w:tc>
        <w:tc>
          <w:tcPr>
            <w:tcW w:type="dxa" w:w="1080"/>
          </w:tcPr>
          <w:p>
            <w:r/>
            <w:r>
              <w:rPr>
                <w:sz w:val="16"/>
              </w:rPr>
              <w:t>—</w:t>
            </w:r>
          </w:p>
        </w:tc>
        <w:tc>
          <w:tcPr>
            <w:tcW w:type="dxa" w:w="1080"/>
          </w:tcPr>
          <w:p>
            <w:r/>
            <w:r>
              <w:rPr>
                <w:sz w:val="16"/>
              </w:rPr>
              <w:t>$28.75</w:t>
            </w:r>
          </w:p>
        </w:tc>
        <w:tc>
          <w:tcPr>
            <w:tcW w:type="dxa" w:w="5184"/>
          </w:tcPr>
          <w:p>
            <w:r/>
            <w:r>
              <w:rPr>
                <w:sz w:val="16"/>
              </w:rPr>
              <w:t>No reason given for overnight rather than electronic service; origin/destination not stated. Return for revision.</w:t>
            </w:r>
          </w:p>
        </w:tc>
        <w:tc>
          <w:tcPr>
            <w:tcW w:type="dxa" w:w="1872"/>
          </w:tcPr>
          <w:p>
            <w:r/>
            <w:r>
              <w:rPr>
                <w:sz w:val="16"/>
              </w:rPr>
              <w:t>GL §5.6</w:t>
            </w:r>
          </w:p>
        </w:tc>
      </w:tr>
      <w:tr>
        <w:tc>
          <w:tcPr>
            <w:tcW w:type="dxa" w:w="576"/>
          </w:tcPr>
          <w:p>
            <w:r/>
            <w:r>
              <w:rPr>
                <w:sz w:val="16"/>
              </w:rPr>
              <w:t>34</w:t>
            </w:r>
          </w:p>
        </w:tc>
        <w:tc>
          <w:tcPr>
            <w:tcW w:type="dxa" w:w="2736"/>
          </w:tcPr>
          <w:p>
            <w:r/>
            <w:r>
              <w:rPr>
                <w:sz w:val="16"/>
              </w:rPr>
              <w:t>Courier, Charlotte, mediation materials to Judge Royce’s office</w:t>
            </w:r>
          </w:p>
        </w:tc>
        <w:tc>
          <w:tcPr>
            <w:tcW w:type="dxa" w:w="1080"/>
          </w:tcPr>
          <w:p>
            <w:r/>
            <w:r>
              <w:rPr>
                <w:sz w:val="16"/>
              </w:rPr>
              <w:t>$45.00</w:t>
            </w:r>
          </w:p>
        </w:tc>
        <w:tc>
          <w:tcPr>
            <w:tcW w:type="dxa" w:w="936"/>
            <w:shd w:val="clear" w:color="auto" w:fill="DDEBF7"/>
          </w:tcPr>
          <w:p>
            <w:r/>
            <w:r>
              <w:rPr>
                <w:sz w:val="16"/>
              </w:rPr>
              <w:t>Hold</w:t>
            </w:r>
          </w:p>
        </w:tc>
        <w:tc>
          <w:tcPr>
            <w:tcW w:type="dxa" w:w="1080"/>
          </w:tcPr>
          <w:p>
            <w:r/>
            <w:r>
              <w:rPr>
                <w:sz w:val="16"/>
              </w:rPr>
              <w:t>—</w:t>
            </w:r>
          </w:p>
        </w:tc>
        <w:tc>
          <w:tcPr>
            <w:tcW w:type="dxa" w:w="1080"/>
          </w:tcPr>
          <w:p>
            <w:r/>
            <w:r>
              <w:rPr>
                <w:sz w:val="16"/>
              </w:rPr>
              <w:t>$45.00</w:t>
            </w:r>
          </w:p>
        </w:tc>
        <w:tc>
          <w:tcPr>
            <w:tcW w:type="dxa" w:w="5184"/>
          </w:tcPr>
          <w:p>
            <w:r/>
            <w:r>
              <w:rPr>
                <w:sz w:val="16"/>
              </w:rPr>
              <w:t>Mediator Royce met with C. Aldridge in Washington, D.C. on 5/12 — the same day — yet a local Charlotte courier is billed to her office. Origin, destination and reason not stated. Return for revision.</w:t>
            </w:r>
          </w:p>
        </w:tc>
        <w:tc>
          <w:tcPr>
            <w:tcW w:type="dxa" w:w="1872"/>
          </w:tcPr>
          <w:p>
            <w:r/>
            <w:r>
              <w:rPr>
                <w:sz w:val="16"/>
              </w:rPr>
              <w:t>GL §5.6 (Local Courier; Descriptions)</w:t>
            </w:r>
          </w:p>
        </w:tc>
      </w:tr>
      <w:tr>
        <w:tc>
          <w:tcPr>
            <w:tcW w:type="dxa" w:w="576"/>
          </w:tcPr>
          <w:p>
            <w:r/>
            <w:r>
              <w:rPr>
                <w:sz w:val="16"/>
              </w:rPr>
              <w:t>35</w:t>
            </w:r>
          </w:p>
        </w:tc>
        <w:tc>
          <w:tcPr>
            <w:tcW w:type="dxa" w:w="2736"/>
          </w:tcPr>
          <w:p>
            <w:r/>
            <w:r>
              <w:rPr>
                <w:sz w:val="16"/>
              </w:rPr>
              <w:t>FedEx overnight, expert report to opposing counsel</w:t>
            </w:r>
          </w:p>
        </w:tc>
        <w:tc>
          <w:tcPr>
            <w:tcW w:type="dxa" w:w="1080"/>
          </w:tcPr>
          <w:p>
            <w:r/>
            <w:r>
              <w:rPr>
                <w:sz w:val="16"/>
              </w:rPr>
              <w:t>$34.25</w:t>
            </w:r>
          </w:p>
        </w:tc>
        <w:tc>
          <w:tcPr>
            <w:tcW w:type="dxa" w:w="936"/>
            <w:shd w:val="clear" w:color="auto" w:fill="DDEBF7"/>
          </w:tcPr>
          <w:p>
            <w:r/>
            <w:r>
              <w:rPr>
                <w:sz w:val="16"/>
              </w:rPr>
              <w:t>Hold</w:t>
            </w:r>
          </w:p>
        </w:tc>
        <w:tc>
          <w:tcPr>
            <w:tcW w:type="dxa" w:w="1080"/>
          </w:tcPr>
          <w:p>
            <w:r/>
            <w:r>
              <w:rPr>
                <w:sz w:val="16"/>
              </w:rPr>
              <w:t>—</w:t>
            </w:r>
          </w:p>
        </w:tc>
        <w:tc>
          <w:tcPr>
            <w:tcW w:type="dxa" w:w="1080"/>
          </w:tcPr>
          <w:p>
            <w:r/>
            <w:r>
              <w:rPr>
                <w:sz w:val="16"/>
              </w:rPr>
              <w:t>$34.25</w:t>
            </w:r>
          </w:p>
        </w:tc>
        <w:tc>
          <w:tcPr>
            <w:tcW w:type="dxa" w:w="5184"/>
          </w:tcPr>
          <w:p>
            <w:r/>
            <w:r>
              <w:rPr>
                <w:sz w:val="16"/>
              </w:rPr>
              <w:t>Expert report not identified; no reason for overnight vs. electronic service; addresses not stated. Return for revision.</w:t>
            </w:r>
          </w:p>
        </w:tc>
        <w:tc>
          <w:tcPr>
            <w:tcW w:type="dxa" w:w="1872"/>
          </w:tcPr>
          <w:p>
            <w:r/>
            <w:r>
              <w:rPr>
                <w:sz w:val="16"/>
              </w:rPr>
              <w:t>GL §5.6</w:t>
            </w:r>
          </w:p>
        </w:tc>
      </w:tr>
      <w:tr>
        <w:tc>
          <w:tcPr>
            <w:tcW w:type="dxa" w:w="576"/>
          </w:tcPr>
          <w:p>
            <w:r/>
            <w:r>
              <w:rPr>
                <w:sz w:val="16"/>
              </w:rPr>
              <w:t>36</w:t>
            </w:r>
          </w:p>
        </w:tc>
        <w:tc>
          <w:tcPr>
            <w:tcW w:type="dxa" w:w="2736"/>
          </w:tcPr>
          <w:p>
            <w:r/>
            <w:r>
              <w:rPr>
                <w:sz w:val="16"/>
              </w:rPr>
              <w:t>FedEx overnight, office supplies to HWK Charlotte office</w:t>
            </w:r>
          </w:p>
        </w:tc>
        <w:tc>
          <w:tcPr>
            <w:tcW w:type="dxa" w:w="1080"/>
          </w:tcPr>
          <w:p>
            <w:r/>
            <w:r>
              <w:rPr>
                <w:sz w:val="16"/>
              </w:rPr>
              <w:t>$18.50</w:t>
            </w:r>
          </w:p>
        </w:tc>
        <w:tc>
          <w:tcPr>
            <w:tcW w:type="dxa" w:w="936"/>
            <w:shd w:val="clear" w:color="auto" w:fill="F8CBAD"/>
          </w:tcPr>
          <w:p>
            <w:r/>
            <w:r>
              <w:rPr>
                <w:sz w:val="16"/>
              </w:rPr>
              <w:t>Reject</w:t>
            </w:r>
          </w:p>
        </w:tc>
        <w:tc>
          <w:tcPr>
            <w:tcW w:type="dxa" w:w="1080"/>
          </w:tcPr>
          <w:p>
            <w:r/>
            <w:r>
              <w:rPr>
                <w:sz w:val="16"/>
              </w:rPr>
              <w:t>$18.50</w:t>
            </w:r>
          </w:p>
        </w:tc>
        <w:tc>
          <w:tcPr>
            <w:tcW w:type="dxa" w:w="1080"/>
          </w:tcPr>
          <w:p>
            <w:r/>
            <w:r>
              <w:rPr>
                <w:sz w:val="16"/>
              </w:rPr>
              <w:t>$0.00</w:t>
            </w:r>
          </w:p>
        </w:tc>
        <w:tc>
          <w:tcPr>
            <w:tcW w:type="dxa" w:w="5184"/>
          </w:tcPr>
          <w:p>
            <w:r/>
            <w:r>
              <w:rPr>
                <w:sz w:val="16"/>
              </w:rPr>
              <w:t>Shipping of firm office supplies is overhead and expressly non-reimbursable.</w:t>
            </w:r>
          </w:p>
        </w:tc>
        <w:tc>
          <w:tcPr>
            <w:tcW w:type="dxa" w:w="1872"/>
          </w:tcPr>
          <w:p>
            <w:r/>
            <w:r>
              <w:rPr>
                <w:sz w:val="16"/>
              </w:rPr>
              <w:t>GL §5.6 (Non-Reimbursable Deliveries); §5.1 (Overhead)</w:t>
            </w:r>
          </w:p>
        </w:tc>
      </w:tr>
      <w:tr>
        <w:tc>
          <w:tcPr>
            <w:tcW w:type="dxa" w:w="576"/>
          </w:tcPr>
          <w:p>
            <w:r/>
            <w:r>
              <w:rPr>
                <w:sz w:val="16"/>
              </w:rPr>
              <w:t>37</w:t>
            </w:r>
          </w:p>
        </w:tc>
        <w:tc>
          <w:tcPr>
            <w:tcW w:type="dxa" w:w="2736"/>
          </w:tcPr>
          <w:p>
            <w:r/>
            <w:r>
              <w:rPr>
                <w:sz w:val="16"/>
              </w:rPr>
              <w:t>Working lunch, M. Beale and D. Yamashita, Heirloom Bistro</w:t>
            </w:r>
          </w:p>
        </w:tc>
        <w:tc>
          <w:tcPr>
            <w:tcW w:type="dxa" w:w="1080"/>
          </w:tcPr>
          <w:p>
            <w:r/>
            <w:r>
              <w:rPr>
                <w:sz w:val="16"/>
              </w:rPr>
              <w:t>$118.00</w:t>
            </w:r>
          </w:p>
        </w:tc>
        <w:tc>
          <w:tcPr>
            <w:tcW w:type="dxa" w:w="936"/>
            <w:shd w:val="clear" w:color="auto" w:fill="FFE699"/>
          </w:tcPr>
          <w:p>
            <w:r/>
            <w:r>
              <w:rPr>
                <w:sz w:val="16"/>
              </w:rPr>
              <w:t>Reduce</w:t>
            </w:r>
          </w:p>
        </w:tc>
        <w:tc>
          <w:tcPr>
            <w:tcW w:type="dxa" w:w="1080"/>
          </w:tcPr>
          <w:p>
            <w:r/>
            <w:r>
              <w:rPr>
                <w:sz w:val="16"/>
              </w:rPr>
              <w:t>$18.00</w:t>
            </w:r>
          </w:p>
        </w:tc>
        <w:tc>
          <w:tcPr>
            <w:tcW w:type="dxa" w:w="1080"/>
          </w:tcPr>
          <w:p>
            <w:r/>
            <w:r>
              <w:rPr>
                <w:sz w:val="16"/>
              </w:rPr>
              <w:t>$100.00</w:t>
            </w:r>
          </w:p>
        </w:tc>
        <w:tc>
          <w:tcPr>
            <w:tcW w:type="dxa" w:w="5184"/>
          </w:tcPr>
          <w:p>
            <w:r/>
            <w:r>
              <w:rPr>
                <w:sz w:val="16"/>
              </w:rPr>
              <w:t>Qualifying meal (Pinnacle personnel present) but working-lunch cap is $50/person inclusive of tax and tip; 2 x $50 = $100 allowable. Confirm no alcohol.</w:t>
            </w:r>
          </w:p>
        </w:tc>
        <w:tc>
          <w:tcPr>
            <w:tcW w:type="dxa" w:w="1872"/>
          </w:tcPr>
          <w:p>
            <w:r/>
            <w:r>
              <w:rPr>
                <w:sz w:val="16"/>
              </w:rPr>
              <w:t>GL §5.7 (Per-Person Caps; Alcohol)</w:t>
            </w:r>
          </w:p>
        </w:tc>
      </w:tr>
      <w:tr>
        <w:tc>
          <w:tcPr>
            <w:tcW w:type="dxa" w:w="576"/>
          </w:tcPr>
          <w:p>
            <w:r/>
            <w:r>
              <w:rPr>
                <w:sz w:val="16"/>
              </w:rPr>
              <w:t>38</w:t>
            </w:r>
          </w:p>
        </w:tc>
        <w:tc>
          <w:tcPr>
            <w:tcW w:type="dxa" w:w="2736"/>
          </w:tcPr>
          <w:p>
            <w:r/>
            <w:r>
              <w:rPr>
                <w:sz w:val="16"/>
              </w:rPr>
              <w:t>Working dinner, Aldridge, Beale, Palermo + two summer associates, Carmichael’s Steakhouse</w:t>
            </w:r>
          </w:p>
        </w:tc>
        <w:tc>
          <w:tcPr>
            <w:tcW w:type="dxa" w:w="1080"/>
          </w:tcPr>
          <w:p>
            <w:r/>
            <w:r>
              <w:rPr>
                <w:sz w:val="16"/>
              </w:rPr>
              <w:t>$612.00</w:t>
            </w:r>
          </w:p>
        </w:tc>
        <w:tc>
          <w:tcPr>
            <w:tcW w:type="dxa" w:w="936"/>
            <w:shd w:val="clear" w:color="auto" w:fill="F8CBAD"/>
          </w:tcPr>
          <w:p>
            <w:r/>
            <w:r>
              <w:rPr>
                <w:sz w:val="16"/>
              </w:rPr>
              <w:t>Reject</w:t>
            </w:r>
          </w:p>
        </w:tc>
        <w:tc>
          <w:tcPr>
            <w:tcW w:type="dxa" w:w="1080"/>
          </w:tcPr>
          <w:p>
            <w:r/>
            <w:r>
              <w:rPr>
                <w:sz w:val="16"/>
              </w:rPr>
              <w:t>$612.00</w:t>
            </w:r>
          </w:p>
        </w:tc>
        <w:tc>
          <w:tcPr>
            <w:tcW w:type="dxa" w:w="1080"/>
          </w:tcPr>
          <w:p>
            <w:r/>
            <w:r>
              <w:rPr>
                <w:sz w:val="16"/>
              </w:rPr>
              <w:t>$0.00</w:t>
            </w:r>
          </w:p>
        </w:tc>
        <w:tc>
          <w:tcPr>
            <w:tcW w:type="dxa" w:w="5184"/>
          </w:tcPr>
          <w:p>
            <w:r/>
            <w:r>
              <w:rPr>
                <w:sz w:val="16"/>
              </w:rPr>
              <w:t>Attended solely by Firm personnel — not reimbursable regardless of work discussed. Summer associate involvement is non-billable professional development. Even if it qualified, $122.40/person exceeds the $85 dinner cap.</w:t>
            </w:r>
          </w:p>
        </w:tc>
        <w:tc>
          <w:tcPr>
            <w:tcW w:type="dxa" w:w="1872"/>
          </w:tcPr>
          <w:p>
            <w:r/>
            <w:r>
              <w:rPr>
                <w:sz w:val="16"/>
              </w:rPr>
              <w:t>GL §5.7 (Working Meals); §3.5</w:t>
            </w:r>
          </w:p>
        </w:tc>
      </w:tr>
      <w:tr>
        <w:tc>
          <w:tcPr>
            <w:tcW w:type="dxa" w:w="576"/>
          </w:tcPr>
          <w:p>
            <w:r/>
            <w:r>
              <w:rPr>
                <w:sz w:val="16"/>
              </w:rPr>
              <w:t>39</w:t>
            </w:r>
          </w:p>
        </w:tc>
        <w:tc>
          <w:tcPr>
            <w:tcW w:type="dxa" w:w="2736"/>
          </w:tcPr>
          <w:p>
            <w:r/>
            <w:r>
              <w:rPr>
                <w:sz w:val="16"/>
              </w:rPr>
              <w:t>Working lunch, M. Beale, solo at desk</w:t>
            </w:r>
          </w:p>
        </w:tc>
        <w:tc>
          <w:tcPr>
            <w:tcW w:type="dxa" w:w="1080"/>
          </w:tcPr>
          <w:p>
            <w:r/>
            <w:r>
              <w:rPr>
                <w:sz w:val="16"/>
              </w:rPr>
              <w:t>$24.00</w:t>
            </w:r>
          </w:p>
        </w:tc>
        <w:tc>
          <w:tcPr>
            <w:tcW w:type="dxa" w:w="936"/>
            <w:shd w:val="clear" w:color="auto" w:fill="F8CBAD"/>
          </w:tcPr>
          <w:p>
            <w:r/>
            <w:r>
              <w:rPr>
                <w:sz w:val="16"/>
              </w:rPr>
              <w:t>Reject</w:t>
            </w:r>
          </w:p>
        </w:tc>
        <w:tc>
          <w:tcPr>
            <w:tcW w:type="dxa" w:w="1080"/>
          </w:tcPr>
          <w:p>
            <w:r/>
            <w:r>
              <w:rPr>
                <w:sz w:val="16"/>
              </w:rPr>
              <w:t>$24.00</w:t>
            </w:r>
          </w:p>
        </w:tc>
        <w:tc>
          <w:tcPr>
            <w:tcW w:type="dxa" w:w="1080"/>
          </w:tcPr>
          <w:p>
            <w:r/>
            <w:r>
              <w:rPr>
                <w:sz w:val="16"/>
              </w:rPr>
              <w:t>$0.00</w:t>
            </w:r>
          </w:p>
        </w:tc>
        <w:tc>
          <w:tcPr>
            <w:tcW w:type="dxa" w:w="5184"/>
          </w:tcPr>
          <w:p>
            <w:r/>
            <w:r>
              <w:rPr>
                <w:sz w:val="16"/>
              </w:rPr>
              <w:t>Solo meal by Firm personnel; no Pinnacle personnel or third-party witness present. Overhead.</w:t>
            </w:r>
          </w:p>
        </w:tc>
        <w:tc>
          <w:tcPr>
            <w:tcW w:type="dxa" w:w="1872"/>
          </w:tcPr>
          <w:p>
            <w:r/>
            <w:r>
              <w:rPr>
                <w:sz w:val="16"/>
              </w:rPr>
              <w:t>GL §5.7 (Working Meals)</w:t>
            </w:r>
          </w:p>
        </w:tc>
      </w:tr>
      <w:tr>
        <w:tc>
          <w:tcPr>
            <w:tcW w:type="dxa" w:w="576"/>
          </w:tcPr>
          <w:p>
            <w:r/>
            <w:r>
              <w:rPr>
                <w:sz w:val="16"/>
              </w:rPr>
              <w:t>40</w:t>
            </w:r>
          </w:p>
        </w:tc>
        <w:tc>
          <w:tcPr>
            <w:tcW w:type="dxa" w:w="2736"/>
          </w:tcPr>
          <w:p>
            <w:r/>
            <w:r>
              <w:rPr>
                <w:sz w:val="16"/>
              </w:rPr>
              <w:t>Working dinner, Aldridge and Beale with plaintiff’s counsel, The Piedmont Room</w:t>
            </w:r>
          </w:p>
        </w:tc>
        <w:tc>
          <w:tcPr>
            <w:tcW w:type="dxa" w:w="1080"/>
          </w:tcPr>
          <w:p>
            <w:r/>
            <w:r>
              <w:rPr>
                <w:sz w:val="16"/>
              </w:rPr>
              <w:t>$247.00</w:t>
            </w:r>
          </w:p>
        </w:tc>
        <w:tc>
          <w:tcPr>
            <w:tcW w:type="dxa" w:w="936"/>
            <w:shd w:val="clear" w:color="auto" w:fill="F8CBAD"/>
          </w:tcPr>
          <w:p>
            <w:r/>
            <w:r>
              <w:rPr>
                <w:sz w:val="16"/>
              </w:rPr>
              <w:t>Reject</w:t>
            </w:r>
          </w:p>
        </w:tc>
        <w:tc>
          <w:tcPr>
            <w:tcW w:type="dxa" w:w="1080"/>
          </w:tcPr>
          <w:p>
            <w:r/>
            <w:r>
              <w:rPr>
                <w:sz w:val="16"/>
              </w:rPr>
              <w:t>$247.00</w:t>
            </w:r>
          </w:p>
        </w:tc>
        <w:tc>
          <w:tcPr>
            <w:tcW w:type="dxa" w:w="1080"/>
          </w:tcPr>
          <w:p>
            <w:r/>
            <w:r>
              <w:rPr>
                <w:sz w:val="16"/>
              </w:rPr>
              <w:t>$0.00</w:t>
            </w:r>
          </w:p>
        </w:tc>
        <w:tc>
          <w:tcPr>
            <w:tcW w:type="dxa" w:w="5184"/>
          </w:tcPr>
          <w:p>
            <w:r/>
            <w:r>
              <w:rPr>
                <w:sz w:val="16"/>
              </w:rPr>
              <w:t>Opposing counsel is neither Pinnacle personnel nor a third-party witness or party; meal does not fall within either permitted attendee category. Description also omits names/titles of plaintiff’s counsel attendees and per-person cost; alcohol not addressed. If the Relationship Attorney elects to treat it as a working meal, cap at $85/attendee after alcohol deduction upon a compliant resubmission.</w:t>
            </w:r>
          </w:p>
        </w:tc>
        <w:tc>
          <w:tcPr>
            <w:tcW w:type="dxa" w:w="1872"/>
          </w:tcPr>
          <w:p>
            <w:r/>
            <w:r>
              <w:rPr>
                <w:sz w:val="16"/>
              </w:rPr>
              <w:t>GL §5.7 (Working Meals; Client Entertainment; Descriptions; Alcohol)</w:t>
            </w:r>
          </w:p>
        </w:tc>
      </w:tr>
      <w:tr>
        <w:tc>
          <w:tcPr>
            <w:tcW w:type="dxa" w:w="576"/>
          </w:tcPr>
          <w:p>
            <w:r/>
            <w:r>
              <w:rPr>
                <w:sz w:val="16"/>
              </w:rPr>
              <w:t>41</w:t>
            </w:r>
          </w:p>
        </w:tc>
        <w:tc>
          <w:tcPr>
            <w:tcW w:type="dxa" w:w="2736"/>
          </w:tcPr>
          <w:p>
            <w:r/>
            <w:r>
              <w:rPr>
                <w:sz w:val="16"/>
              </w:rPr>
              <w:t>Relativity hosting, 2.4 TB, May</w:t>
            </w:r>
          </w:p>
        </w:tc>
        <w:tc>
          <w:tcPr>
            <w:tcW w:type="dxa" w:w="1080"/>
          </w:tcPr>
          <w:p>
            <w:r/>
            <w:r>
              <w:rPr>
                <w:sz w:val="16"/>
              </w:rPr>
              <w:t>$14,200.00</w:t>
            </w:r>
          </w:p>
        </w:tc>
        <w:tc>
          <w:tcPr>
            <w:tcW w:type="dxa" w:w="936"/>
            <w:shd w:val="clear" w:color="auto" w:fill="FFE699"/>
          </w:tcPr>
          <w:p>
            <w:r/>
            <w:r>
              <w:rPr>
                <w:sz w:val="16"/>
              </w:rPr>
              <w:t>Reduce</w:t>
            </w:r>
          </w:p>
        </w:tc>
        <w:tc>
          <w:tcPr>
            <w:tcW w:type="dxa" w:w="1080"/>
          </w:tcPr>
          <w:p>
            <w:r/>
            <w:r>
              <w:rPr>
                <w:sz w:val="16"/>
              </w:rPr>
              <w:t>$2,200.00</w:t>
            </w:r>
          </w:p>
        </w:tc>
        <w:tc>
          <w:tcPr>
            <w:tcW w:type="dxa" w:w="1080"/>
          </w:tcPr>
          <w:p>
            <w:r/>
            <w:r>
              <w:rPr>
                <w:sz w:val="16"/>
              </w:rPr>
              <w:t>$12,000.00</w:t>
            </w:r>
          </w:p>
        </w:tc>
        <w:tc>
          <w:tcPr>
            <w:tcW w:type="dxa" w:w="5184"/>
          </w:tcPr>
          <w:p>
            <w:r/>
            <w:r>
              <w:rPr>
                <w:sz w:val="16"/>
              </w:rPr>
              <w:t>Approved monthly budget is “not to exceed $12,000” (11/12/24). No re-authorization was sought although data grew from 1.8 TB to 2.4 TB. Excess of $2,200 rejected per the approval’s own terms.</w:t>
            </w:r>
          </w:p>
        </w:tc>
        <w:tc>
          <w:tcPr>
            <w:tcW w:type="dxa" w:w="1872"/>
          </w:tcPr>
          <w:p>
            <w:r/>
            <w:r>
              <w:rPr>
                <w:sz w:val="16"/>
              </w:rPr>
              <w:t>GL §5.8(a)–(b); Log Entry 1; EL §6(e)</w:t>
            </w:r>
          </w:p>
        </w:tc>
      </w:tr>
      <w:tr>
        <w:tc>
          <w:tcPr>
            <w:tcW w:type="dxa" w:w="576"/>
          </w:tcPr>
          <w:p>
            <w:r/>
            <w:r>
              <w:rPr>
                <w:sz w:val="16"/>
              </w:rPr>
              <w:t>42</w:t>
            </w:r>
          </w:p>
        </w:tc>
        <w:tc>
          <w:tcPr>
            <w:tcW w:type="dxa" w:w="2736"/>
          </w:tcPr>
          <w:p>
            <w:r/>
            <w:r>
              <w:rPr>
                <w:sz w:val="16"/>
              </w:rPr>
              <w:t>Westlaw research charges</w:t>
            </w:r>
          </w:p>
        </w:tc>
        <w:tc>
          <w:tcPr>
            <w:tcW w:type="dxa" w:w="1080"/>
          </w:tcPr>
          <w:p>
            <w:r/>
            <w:r>
              <w:rPr>
                <w:sz w:val="16"/>
              </w:rPr>
              <w:t>$3,870.00</w:t>
            </w:r>
          </w:p>
        </w:tc>
        <w:tc>
          <w:tcPr>
            <w:tcW w:type="dxa" w:w="936"/>
            <w:shd w:val="clear" w:color="auto" w:fill="F8CBAD"/>
          </w:tcPr>
          <w:p>
            <w:r/>
            <w:r>
              <w:rPr>
                <w:sz w:val="16"/>
              </w:rPr>
              <w:t>Reject</w:t>
            </w:r>
          </w:p>
        </w:tc>
        <w:tc>
          <w:tcPr>
            <w:tcW w:type="dxa" w:w="1080"/>
          </w:tcPr>
          <w:p>
            <w:r/>
            <w:r>
              <w:rPr>
                <w:sz w:val="16"/>
              </w:rPr>
              <w:t>$3,870.00</w:t>
            </w:r>
          </w:p>
        </w:tc>
        <w:tc>
          <w:tcPr>
            <w:tcW w:type="dxa" w:w="1080"/>
          </w:tcPr>
          <w:p>
            <w:r/>
            <w:r>
              <w:rPr>
                <w:sz w:val="16"/>
              </w:rPr>
              <w:t>$0.00</w:t>
            </w:r>
          </w:p>
        </w:tc>
        <w:tc>
          <w:tcPr>
            <w:tcW w:type="dxa" w:w="5184"/>
          </w:tcPr>
          <w:p>
            <w:r/>
            <w:r>
              <w:rPr>
                <w:sz w:val="16"/>
              </w:rPr>
              <w:t>Legal research databases are overhead and not separately billable under any allocation method; E106 charges are automatically rejected.</w:t>
            </w:r>
          </w:p>
        </w:tc>
        <w:tc>
          <w:tcPr>
            <w:tcW w:type="dxa" w:w="1872"/>
          </w:tcPr>
          <w:p>
            <w:r/>
            <w:r>
              <w:rPr>
                <w:sz w:val="16"/>
              </w:rPr>
              <w:t>GL §5.1 (Overhead); §5.8 (Legal Research Databases); App. C (E106); EL §6(g)</w:t>
            </w:r>
          </w:p>
        </w:tc>
      </w:tr>
      <w:tr>
        <w:tc>
          <w:tcPr>
            <w:tcW w:type="dxa" w:w="576"/>
          </w:tcPr>
          <w:p>
            <w:r/>
            <w:r>
              <w:rPr>
                <w:sz w:val="16"/>
              </w:rPr>
              <w:t>43</w:t>
            </w:r>
          </w:p>
        </w:tc>
        <w:tc>
          <w:tcPr>
            <w:tcW w:type="dxa" w:w="2736"/>
          </w:tcPr>
          <w:p>
            <w:r/>
            <w:r>
              <w:rPr>
                <w:sz w:val="16"/>
              </w:rPr>
              <w:t>Video conferencing platform license</w:t>
            </w:r>
          </w:p>
        </w:tc>
        <w:tc>
          <w:tcPr>
            <w:tcW w:type="dxa" w:w="1080"/>
          </w:tcPr>
          <w:p>
            <w:r/>
            <w:r>
              <w:rPr>
                <w:sz w:val="16"/>
              </w:rPr>
              <w:t>$125.00</w:t>
            </w:r>
          </w:p>
        </w:tc>
        <w:tc>
          <w:tcPr>
            <w:tcW w:type="dxa" w:w="936"/>
            <w:shd w:val="clear" w:color="auto" w:fill="F8CBAD"/>
          </w:tcPr>
          <w:p>
            <w:r/>
            <w:r>
              <w:rPr>
                <w:sz w:val="16"/>
              </w:rPr>
              <w:t>Reject</w:t>
            </w:r>
          </w:p>
        </w:tc>
        <w:tc>
          <w:tcPr>
            <w:tcW w:type="dxa" w:w="1080"/>
          </w:tcPr>
          <w:p>
            <w:r/>
            <w:r>
              <w:rPr>
                <w:sz w:val="16"/>
              </w:rPr>
              <w:t>$125.00</w:t>
            </w:r>
          </w:p>
        </w:tc>
        <w:tc>
          <w:tcPr>
            <w:tcW w:type="dxa" w:w="1080"/>
          </w:tcPr>
          <w:p>
            <w:r/>
            <w:r>
              <w:rPr>
                <w:sz w:val="16"/>
              </w:rPr>
              <w:t>$0.00</w:t>
            </w:r>
          </w:p>
        </w:tc>
        <w:tc>
          <w:tcPr>
            <w:tcW w:type="dxa" w:w="5184"/>
          </w:tcPr>
          <w:p>
            <w:r/>
            <w:r>
              <w:rPr>
                <w:sz w:val="16"/>
              </w:rPr>
              <w:t>Routine video conferencing platform licenses are overhead; no case-specific service (e.g., remote deposition platform) is identified.</w:t>
            </w:r>
          </w:p>
        </w:tc>
        <w:tc>
          <w:tcPr>
            <w:tcW w:type="dxa" w:w="1872"/>
          </w:tcPr>
          <w:p>
            <w:r/>
            <w:r>
              <w:rPr>
                <w:sz w:val="16"/>
              </w:rPr>
              <w:t>GL §5.8 (Video Conferencing)</w:t>
            </w:r>
          </w:p>
        </w:tc>
      </w:tr>
      <w:tr>
        <w:tc>
          <w:tcPr>
            <w:tcW w:type="dxa" w:w="576"/>
          </w:tcPr>
          <w:p>
            <w:r/>
            <w:r>
              <w:rPr>
                <w:sz w:val="16"/>
              </w:rPr>
              <w:t>44</w:t>
            </w:r>
          </w:p>
        </w:tc>
        <w:tc>
          <w:tcPr>
            <w:tcW w:type="dxa" w:w="2736"/>
          </w:tcPr>
          <w:p>
            <w:r/>
            <w:r>
              <w:rPr>
                <w:sz w:val="16"/>
              </w:rPr>
              <w:t>Data analytics software, predictive coding module, monthly</w:t>
            </w:r>
          </w:p>
        </w:tc>
        <w:tc>
          <w:tcPr>
            <w:tcW w:type="dxa" w:w="1080"/>
          </w:tcPr>
          <w:p>
            <w:r/>
            <w:r>
              <w:rPr>
                <w:sz w:val="16"/>
              </w:rPr>
              <w:t>$2,200.00</w:t>
            </w:r>
          </w:p>
        </w:tc>
        <w:tc>
          <w:tcPr>
            <w:tcW w:type="dxa" w:w="936"/>
            <w:shd w:val="clear" w:color="auto" w:fill="F8CBAD"/>
          </w:tcPr>
          <w:p>
            <w:r/>
            <w:r>
              <w:rPr>
                <w:sz w:val="16"/>
              </w:rPr>
              <w:t>Reject</w:t>
            </w:r>
          </w:p>
        </w:tc>
        <w:tc>
          <w:tcPr>
            <w:tcW w:type="dxa" w:w="1080"/>
          </w:tcPr>
          <w:p>
            <w:r/>
            <w:r>
              <w:rPr>
                <w:sz w:val="16"/>
              </w:rPr>
              <w:t>$2,200.00</w:t>
            </w:r>
          </w:p>
        </w:tc>
        <w:tc>
          <w:tcPr>
            <w:tcW w:type="dxa" w:w="1080"/>
          </w:tcPr>
          <w:p>
            <w:r/>
            <w:r>
              <w:rPr>
                <w:sz w:val="16"/>
              </w:rPr>
              <w:t>$0.00</w:t>
            </w:r>
          </w:p>
        </w:tc>
        <w:tc>
          <w:tcPr>
            <w:tcW w:type="dxa" w:w="5184"/>
          </w:tcPr>
          <w:p>
            <w:r/>
            <w:r>
              <w:rPr>
                <w:sz w:val="16"/>
              </w:rPr>
              <w:t>Predictive coding/TAR is an e-discovery processing cost under §5.8(a), and HWK’s Relativity request itself described predictive coding as within the approved platform scope. May e-discovery spend is $16,400 (Lines 41 + 44) against the $12,000 cap; this line falls entirely above the cap without re-authorization.</w:t>
            </w:r>
          </w:p>
        </w:tc>
        <w:tc>
          <w:tcPr>
            <w:tcW w:type="dxa" w:w="1872"/>
          </w:tcPr>
          <w:p>
            <w:r/>
            <w:r>
              <w:rPr>
                <w:sz w:val="16"/>
              </w:rPr>
              <w:t>GL §5.8(a)–(b); Log Entry 1</w:t>
            </w:r>
          </w:p>
        </w:tc>
      </w:tr>
      <w:tr>
        <w:tc>
          <w:tcPr>
            <w:tcW w:type="dxa" w:w="576"/>
          </w:tcPr>
          <w:p>
            <w:r/>
            <w:r>
              <w:rPr>
                <w:sz w:val="16"/>
              </w:rPr>
              <w:t>45</w:t>
            </w:r>
          </w:p>
        </w:tc>
        <w:tc>
          <w:tcPr>
            <w:tcW w:type="dxa" w:w="2736"/>
          </w:tcPr>
          <w:p>
            <w:r/>
            <w:r>
              <w:rPr>
                <w:sz w:val="16"/>
              </w:rPr>
              <w:t>Contract attorney R. Chen, 142 hrs @ $75</w:t>
            </w:r>
          </w:p>
        </w:tc>
        <w:tc>
          <w:tcPr>
            <w:tcW w:type="dxa" w:w="1080"/>
          </w:tcPr>
          <w:p>
            <w:r/>
            <w:r>
              <w:rPr>
                <w:sz w:val="16"/>
              </w:rPr>
              <w:t>$10,650.00</w:t>
            </w:r>
          </w:p>
        </w:tc>
        <w:tc>
          <w:tcPr>
            <w:tcW w:type="dxa" w:w="936"/>
            <w:shd w:val="clear" w:color="auto" w:fill="FFE699"/>
          </w:tcPr>
          <w:p>
            <w:r/>
            <w:r>
              <w:rPr>
                <w:sz w:val="16"/>
              </w:rPr>
              <w:t>Reduce</w:t>
            </w:r>
          </w:p>
        </w:tc>
        <w:tc>
          <w:tcPr>
            <w:tcW w:type="dxa" w:w="1080"/>
          </w:tcPr>
          <w:p>
            <w:r/>
            <w:r>
              <w:rPr>
                <w:sz w:val="16"/>
              </w:rPr>
              <w:t>$1,420.00</w:t>
            </w:r>
          </w:p>
        </w:tc>
        <w:tc>
          <w:tcPr>
            <w:tcW w:type="dxa" w:w="1080"/>
          </w:tcPr>
          <w:p>
            <w:r/>
            <w:r>
              <w:rPr>
                <w:sz w:val="16"/>
              </w:rPr>
              <w:t>$9,230.00</w:t>
            </w:r>
          </w:p>
        </w:tc>
        <w:tc>
          <w:tcPr>
            <w:tcW w:type="dxa" w:w="5184"/>
          </w:tcPr>
          <w:p>
            <w:r/>
            <w:r>
              <w:rPr>
                <w:sz w:val="16"/>
              </w:rPr>
              <w:t>Chen approved only at $65/hr; the requested $75 exception was expressly denied (4/22/25). $65 cap has no exception absent GC written approval. Excess $10 x 142 hrs = $1,420; allowable $9,230.</w:t>
            </w:r>
          </w:p>
        </w:tc>
        <w:tc>
          <w:tcPr>
            <w:tcW w:type="dxa" w:w="1872"/>
          </w:tcPr>
          <w:p>
            <w:r/>
            <w:r>
              <w:rPr>
                <w:sz w:val="16"/>
              </w:rPr>
              <w:t>GL §5.9 (Rate Cap; No Markup); Log Entry 4; EL §§4, 6(f)</w:t>
            </w:r>
          </w:p>
        </w:tc>
      </w:tr>
      <w:tr>
        <w:tc>
          <w:tcPr>
            <w:tcW w:type="dxa" w:w="576"/>
          </w:tcPr>
          <w:p>
            <w:r/>
            <w:r>
              <w:rPr>
                <w:sz w:val="16"/>
              </w:rPr>
              <w:t>46</w:t>
            </w:r>
          </w:p>
        </w:tc>
        <w:tc>
          <w:tcPr>
            <w:tcW w:type="dxa" w:w="2736"/>
          </w:tcPr>
          <w:p>
            <w:r/>
            <w:r>
              <w:rPr>
                <w:sz w:val="16"/>
              </w:rPr>
              <w:t>Contract attorney S. Mehta, 168 hrs @ $65</w:t>
            </w:r>
          </w:p>
        </w:tc>
        <w:tc>
          <w:tcPr>
            <w:tcW w:type="dxa" w:w="1080"/>
          </w:tcPr>
          <w:p>
            <w:r/>
            <w:r>
              <w:rPr>
                <w:sz w:val="16"/>
              </w:rPr>
              <w:t>$10,920.00</w:t>
            </w:r>
          </w:p>
        </w:tc>
        <w:tc>
          <w:tcPr>
            <w:tcW w:type="dxa" w:w="936"/>
            <w:shd w:val="clear" w:color="auto" w:fill="E2EFDA"/>
          </w:tcPr>
          <w:p>
            <w:r/>
            <w:r>
              <w:rPr>
                <w:sz w:val="16"/>
              </w:rPr>
              <w:t>Compliant</w:t>
            </w:r>
          </w:p>
        </w:tc>
        <w:tc>
          <w:tcPr>
            <w:tcW w:type="dxa" w:w="1080"/>
          </w:tcPr>
          <w:p>
            <w:r/>
            <w:r>
              <w:rPr>
                <w:sz w:val="16"/>
              </w:rPr>
              <w:t>—</w:t>
            </w:r>
          </w:p>
        </w:tc>
        <w:tc>
          <w:tcPr>
            <w:tcW w:type="dxa" w:w="1080"/>
          </w:tcPr>
          <w:p>
            <w:r/>
            <w:r>
              <w:rPr>
                <w:sz w:val="16"/>
              </w:rPr>
              <w:t>$10,920.00</w:t>
            </w:r>
          </w:p>
        </w:tc>
        <w:tc>
          <w:tcPr>
            <w:tcW w:type="dxa" w:w="5184"/>
          </w:tcPr>
          <w:p>
            <w:r/>
            <w:r>
              <w:rPr>
                <w:sz w:val="16"/>
              </w:rPr>
              <w:t>Pre-approved at $65/hr. Confirm rate equals amount actually paid to agency (no markup).</w:t>
            </w:r>
          </w:p>
        </w:tc>
        <w:tc>
          <w:tcPr>
            <w:tcW w:type="dxa" w:w="1872"/>
          </w:tcPr>
          <w:p>
            <w:r/>
            <w:r>
              <w:rPr>
                <w:sz w:val="16"/>
              </w:rPr>
              <w:t>GL §5.9; Log Entry 4</w:t>
            </w:r>
          </w:p>
        </w:tc>
      </w:tr>
      <w:tr>
        <w:tc>
          <w:tcPr>
            <w:tcW w:type="dxa" w:w="576"/>
          </w:tcPr>
          <w:p>
            <w:r/>
            <w:r>
              <w:rPr>
                <w:sz w:val="16"/>
              </w:rPr>
              <w:t>47</w:t>
            </w:r>
          </w:p>
        </w:tc>
        <w:tc>
          <w:tcPr>
            <w:tcW w:type="dxa" w:w="2736"/>
          </w:tcPr>
          <w:p>
            <w:r/>
            <w:r>
              <w:rPr>
                <w:sz w:val="16"/>
              </w:rPr>
              <w:t>Contract attorney A. Brooks, privilege review, 96 hrs @ $65</w:t>
            </w:r>
          </w:p>
        </w:tc>
        <w:tc>
          <w:tcPr>
            <w:tcW w:type="dxa" w:w="1080"/>
          </w:tcPr>
          <w:p>
            <w:r/>
            <w:r>
              <w:rPr>
                <w:sz w:val="16"/>
              </w:rPr>
              <w:t>$6,240.00</w:t>
            </w:r>
          </w:p>
        </w:tc>
        <w:tc>
          <w:tcPr>
            <w:tcW w:type="dxa" w:w="936"/>
            <w:shd w:val="clear" w:color="auto" w:fill="F8CBAD"/>
          </w:tcPr>
          <w:p>
            <w:r/>
            <w:r>
              <w:rPr>
                <w:sz w:val="16"/>
              </w:rPr>
              <w:t>Reject</w:t>
            </w:r>
          </w:p>
        </w:tc>
        <w:tc>
          <w:tcPr>
            <w:tcW w:type="dxa" w:w="1080"/>
          </w:tcPr>
          <w:p>
            <w:r/>
            <w:r>
              <w:rPr>
                <w:sz w:val="16"/>
              </w:rPr>
              <w:t>$6,240.00</w:t>
            </w:r>
          </w:p>
        </w:tc>
        <w:tc>
          <w:tcPr>
            <w:tcW w:type="dxa" w:w="1080"/>
          </w:tcPr>
          <w:p>
            <w:r/>
            <w:r>
              <w:rPr>
                <w:sz w:val="16"/>
              </w:rPr>
              <w:t>$0.00</w:t>
            </w:r>
          </w:p>
        </w:tc>
        <w:tc>
          <w:tcPr>
            <w:tcW w:type="dxa" w:w="5184"/>
          </w:tcPr>
          <w:p>
            <w:r/>
            <w:r>
              <w:rPr>
                <w:sz w:val="16"/>
              </w:rPr>
              <w:t>Each contract attorney must be individually pre-approved; approval of Chen and Mehta does not extend to Brooks. No approval for Brooks in the certified log. Privilege review also approaches substantive work that EL §3 bars delegating to contract attorneys without written consent.</w:t>
            </w:r>
          </w:p>
        </w:tc>
        <w:tc>
          <w:tcPr>
            <w:tcW w:type="dxa" w:w="1872"/>
          </w:tcPr>
          <w:p>
            <w:r/>
            <w:r>
              <w:rPr>
                <w:sz w:val="16"/>
              </w:rPr>
              <w:t>GL §5.9 (Pre-Approval Required); EL §3; Log Certification</w:t>
            </w:r>
          </w:p>
        </w:tc>
      </w:tr>
      <w:tr>
        <w:tc>
          <w:tcPr>
            <w:tcW w:type="dxa" w:w="576"/>
            <w:shd w:val="clear" w:color="auto" w:fill="D9E2F3"/>
          </w:tcPr>
          <w:p>
            <w:r/>
            <w:r>
              <w:rPr>
                <w:b/>
                <w:sz w:val="16"/>
              </w:rPr>
            </w:r>
          </w:p>
        </w:tc>
        <w:tc>
          <w:tcPr>
            <w:tcW w:type="dxa" w:w="2736"/>
            <w:shd w:val="clear" w:color="auto" w:fill="D9E2F3"/>
          </w:tcPr>
          <w:p>
            <w:r/>
            <w:r>
              <w:rPr>
                <w:b/>
                <w:sz w:val="16"/>
              </w:rPr>
              <w:t>TOTAL</w:t>
            </w:r>
          </w:p>
        </w:tc>
        <w:tc>
          <w:tcPr>
            <w:tcW w:type="dxa" w:w="1080"/>
            <w:shd w:val="clear" w:color="auto" w:fill="D9E2F3"/>
          </w:tcPr>
          <w:p>
            <w:r/>
            <w:r>
              <w:rPr>
                <w:b/>
                <w:sz w:val="16"/>
              </w:rPr>
              <w:t>$145,404.30</w:t>
            </w:r>
          </w:p>
        </w:tc>
        <w:tc>
          <w:tcPr>
            <w:tcW w:type="dxa" w:w="936"/>
            <w:shd w:val="clear" w:color="auto" w:fill="D9E2F3"/>
          </w:tcPr>
          <w:p>
            <w:r/>
            <w:r>
              <w:rPr>
                <w:b/>
                <w:sz w:val="16"/>
              </w:rPr>
            </w:r>
          </w:p>
        </w:tc>
        <w:tc>
          <w:tcPr>
            <w:tcW w:type="dxa" w:w="1080"/>
            <w:shd w:val="clear" w:color="auto" w:fill="D9E2F3"/>
          </w:tcPr>
          <w:p>
            <w:r/>
            <w:r>
              <w:rPr>
                <w:b/>
                <w:sz w:val="16"/>
              </w:rPr>
              <w:t>$42,822.30</w:t>
            </w:r>
          </w:p>
        </w:tc>
        <w:tc>
          <w:tcPr>
            <w:tcW w:type="dxa" w:w="1080"/>
            <w:shd w:val="clear" w:color="auto" w:fill="D9E2F3"/>
          </w:tcPr>
          <w:p>
            <w:r/>
            <w:r>
              <w:rPr>
                <w:b/>
                <w:sz w:val="16"/>
              </w:rPr>
              <w:t>$102,582.00</w:t>
            </w:r>
          </w:p>
        </w:tc>
        <w:tc>
          <w:tcPr>
            <w:tcW w:type="dxa" w:w="5184"/>
            <w:shd w:val="clear" w:color="auto" w:fill="D9E2F3"/>
          </w:tcPr>
          <w:p>
            <w:r/>
            <w:r>
              <w:rPr>
                <w:b/>
                <w:sz w:val="16"/>
              </w:rPr>
            </w:r>
          </w:p>
        </w:tc>
        <w:tc>
          <w:tcPr>
            <w:tcW w:type="dxa" w:w="1872"/>
            <w:shd w:val="clear" w:color="auto" w:fill="D9E2F3"/>
          </w:tcPr>
          <w:p>
            <w:r/>
            <w:r>
              <w:rPr>
                <w:b/>
                <w:sz w:val="16"/>
              </w:rPr>
            </w:r>
          </w:p>
        </w:tc>
      </w:tr>
    </w:tbl>
    <w:p>
      <w:pPr>
        <w:spacing w:after="40"/>
      </w:pPr>
    </w:p>
    <w:p>
      <w:pPr>
        <w:sectPr>
          <w:pgSz w:w="15840" w:h="12240" w:orient="landscape"/>
          <w:pgMar w:top="1152" w:right="864" w:bottom="1152" w:left="864" w:header="720" w:footer="720" w:gutter="0"/>
          <w:cols w:space="720"/>
          <w:docGrid w:linePitch="360"/>
        </w:sectPr>
      </w:pPr>
    </w:p>
    <w:p>
      <w:pPr>
        <w:pStyle w:val="Heading1"/>
      </w:pPr>
      <w:r>
        <w:rPr>
          <w:color w:val="1F3864"/>
        </w:rPr>
        <w:t>IV. Discussion of Principal Findings</w:t>
      </w:r>
    </w:p>
    <w:p>
      <w:pPr>
        <w:pStyle w:val="Heading2"/>
      </w:pPr>
      <w:r>
        <w:rPr>
          <w:color w:val="1F3864"/>
        </w:rPr>
        <w:t>A. Unapproved third-party engagements (rejected in full: $25,090.00)</w:t>
      </w:r>
    </w:p>
    <w:p>
      <w:pPr>
        <w:spacing w:after="120"/>
      </w:pPr>
      <w:r>
        <w:rPr>
          <w:b w:val="0"/>
          <w:i w:val="0"/>
        </w:rPr>
        <w:t>The Log is certified as the complete record of written pre-approvals for the Morales matter; absence from the Log means no written pre-approval was located (Log, Introductory Note and Certification). Four charges have no pre-approval:</w:t>
      </w:r>
    </w:p>
    <w:p>
      <w:pPr>
        <w:pStyle w:val="ListBullet"/>
        <w:spacing w:after="60"/>
      </w:pPr>
      <w:r>
        <w:rPr>
          <w:b/>
        </w:rPr>
        <w:t>Dr. Leonard Voss, vocational rehabilitation expert</w:t>
      </w:r>
      <w:r>
        <w:t xml:space="preserve"> (Line 24, $4,200). GL §5.4 requires written pre-approval before any expert or consultant is retained “regardless of the expected cost.” Vocational experts are expressly within scope. EL §§2 and 6(d) repeat the requirement.</w:t>
      </w:r>
    </w:p>
    <w:p>
      <w:pPr>
        <w:pStyle w:val="ListBullet"/>
        <w:spacing w:after="60"/>
      </w:pPr>
      <w:r>
        <w:rPr>
          <w:b/>
        </w:rPr>
        <w:t>GraphicWorks LLC</w:t>
      </w:r>
      <w:r>
        <w:t xml:space="preserve"> (Line 25, $7,850). A graphics and demonstrative vendor providing substantive consulting services is a “consultant” (GL §5.4, Scope). The charge independently exceeds the $5,000 single-line threshold of GL §5.1. HWK partner time reviewing the GraphicWorks work (Fee Line 45) confirms the engagement occurred.</w:t>
      </w:r>
    </w:p>
    <w:p>
      <w:pPr>
        <w:pStyle w:val="ListBullet"/>
        <w:spacing w:after="60"/>
      </w:pPr>
      <w:r>
        <w:rPr>
          <w:b/>
        </w:rPr>
        <w:t>Contract attorney A. Brooks</w:t>
      </w:r>
      <w:r>
        <w:t xml:space="preserve"> (Line 47, $6,240). GL §5.9 requires each contract attorney to be separately approved; approval of R. Chen and S. Mehta “does not constitute approval for any other contract attorney, even if employed by the same staffing agency.” Brooks’ privilege review also edges toward the substantive work EL §3 bars delegating to contract attorneys without written consent.</w:t>
      </w:r>
    </w:p>
    <w:p>
      <w:pPr>
        <w:pStyle w:val="ListBullet"/>
        <w:spacing w:after="60"/>
      </w:pPr>
      <w:r>
        <w:rPr>
          <w:b/>
        </w:rPr>
        <w:t>DataScan Solutions scanning</w:t>
      </w:r>
      <w:r>
        <w:t xml:space="preserve"> (Line 19, $6,800). Scanning and OCR charges over $5,000 per line item require pre-approval (GL §§5.1, 5.3). HWK sought and obtained pre-approval for the $5,100 TechForensic job three days earlier (Log Entry 6), demonstrating its awareness of the threshold.</w:t>
      </w:r>
    </w:p>
    <w:p>
      <w:pPr>
        <w:spacing w:after="120"/>
      </w:pPr>
      <w:r>
        <w:rPr>
          <w:b w:val="0"/>
          <w:i w:val="0"/>
        </w:rPr>
        <w:t>Under GL §8.6, HWK may request retroactive approval; it is discretionary, does not waive the requirement going forward, and the charges remain held and unpaid pending decision. If the Relationship Attorney is inclined to grant retroactive approval for any item (e.g., the DataScan scanning, which appears substantively necessary), we recommend conditioning it on receipt of the vendor invoice and a written explanation of why advance approval was not sought.</w:t>
      </w:r>
    </w:p>
    <w:p>
      <w:pPr>
        <w:pStyle w:val="Heading2"/>
      </w:pPr>
      <w:r>
        <w:rPr>
          <w:color w:val="1F3864"/>
        </w:rPr>
        <w:t>B. Overruns of approved budget caps (reduced: $11,720.00)</w:t>
      </w:r>
    </w:p>
    <w:p>
      <w:pPr>
        <w:pStyle w:val="ListBullet"/>
        <w:spacing w:after="60"/>
      </w:pPr>
      <w:r>
        <w:rPr>
          <w:b/>
        </w:rPr>
        <w:t>Dr. Hartsfield ($5,900).</w:t>
      </w:r>
      <w:r>
        <w:t xml:space="preserve"> Lines 22 and 27 together bill $40,900 for May against a $35,000 monthly cap that was approved with GC concurrence and expressly required “advance notice and Lorraine’s sign-off before the overage is incurred” (Log Entry 2). No such authorization exists. The $5,900 overage is rejected (GL §5.4 Budget Caps). Splitting May’s Hartsfield fees across two lines obscured the breach. Further, $8,400 does not correspond to whole tenths of an hour at the approved $650 rate, suggesting a rush premium not covered by the approval; any premium must be supported by Dr. Hartsfield’s original invoice and, if not approved, removed. Only the General Counsel can grant retroactive approval of this overage (GL §5.4 Monthly Threshold).</w:t>
      </w:r>
    </w:p>
    <w:p>
      <w:pPr>
        <w:pStyle w:val="ListBullet"/>
        <w:spacing w:after="60"/>
      </w:pPr>
      <w:r>
        <w:rPr>
          <w:b/>
        </w:rPr>
        <w:t>E-discovery ($4,400).</w:t>
      </w:r>
      <w:r>
        <w:t xml:space="preserve"> Relativity hosting (Line 41) is billed at $14,200 against an approval “not to exceed $12,000” per month, which warned that charges above $12,000 without re-authorization “will be subject to reduction” (Log Entry 1). Data volume grew from the 1.8 TB estimate to 2.4 TB without notice. The predictive coding module (Line 44, $2,200) is an e-discovery processing cost under GL §5.8(a), and HWK’s own Relativity request described predictive coding as part of the approved workflow; it therefore counts against the same $12,000 cap. Total May e-discovery spend is $16,400; the $4,400 above cap is rejected (GL §5.8(b)).</w:t>
      </w:r>
    </w:p>
    <w:p>
      <w:pPr>
        <w:pStyle w:val="ListBullet"/>
        <w:spacing w:after="60"/>
      </w:pPr>
      <w:r>
        <w:rPr>
          <w:b/>
        </w:rPr>
        <w:t>R. Chen rate ($1,420).</w:t>
      </w:r>
      <w:r>
        <w:t xml:space="preserve"> HWK requested a $75/hour exception for R. Chen; the Relationship Attorney refused in writing on April 22, 2025 and directed that Chen be billed at no more than $65/hour (Log Entry 4). Billing 142 hours at $75 disregards that instruction. The $65 cap has no exception absent the General Counsel’s written approval, and any amount the agency charges above $65 is for HWK’s account (GL §5.9). Reduction: $1,420.</w:t>
      </w:r>
    </w:p>
    <w:p>
      <w:pPr>
        <w:pStyle w:val="Heading2"/>
      </w:pPr>
      <w:r>
        <w:rPr>
          <w:color w:val="1F3864"/>
        </w:rPr>
        <w:t>C. Firm overhead billed as disbursements (reduced/rejected: $4,643.30)</w:t>
      </w:r>
    </w:p>
    <w:p>
      <w:pPr>
        <w:pStyle w:val="ListBullet"/>
        <w:spacing w:after="60"/>
      </w:pPr>
      <w:r>
        <w:t xml:space="preserve"> Westlaw research (Line 42, $3,870) — overhead under GL §§5.1 and 5.8 regardless of per-matter allocation; E106 charges are automatically rejected (App. C); restated in EL §6(g).</w:t>
      </w:r>
    </w:p>
    <w:p>
      <w:pPr>
        <w:pStyle w:val="ListBullet"/>
        <w:spacing w:after="60"/>
      </w:pPr>
      <w:r>
        <w:t xml:space="preserve"> Video conferencing platform license (Line 43, $125) — routine platform licenses are overhead (GL §5.8).</w:t>
      </w:r>
    </w:p>
    <w:p>
      <w:pPr>
        <w:pStyle w:val="ListBullet"/>
        <w:spacing w:after="60"/>
      </w:pPr>
      <w:r>
        <w:t xml:space="preserve"> FedEx of office supplies to HWK’s own office (Line 36, $18.50) — expressly non-reimbursable (GL §5.6).</w:t>
      </w:r>
    </w:p>
    <w:p>
      <w:pPr>
        <w:pStyle w:val="ListBullet"/>
        <w:spacing w:after="60"/>
      </w:pPr>
      <w:r>
        <w:t xml:space="preserve"> Local mileage, HWK Charlotte office to Pinnacle HQ (Line 10, $9.80) — expressly non-reimbursable local travel (GL §5.2; EL §6). Fee Line 16 confirms this was a Charlotte meeting at Pinnacle HQ.</w:t>
      </w:r>
    </w:p>
    <w:p>
      <w:pPr>
        <w:pStyle w:val="ListBullet"/>
        <w:spacing w:after="60"/>
      </w:pPr>
      <w:r>
        <w:t xml:space="preserve"> Internal photocopies (Line 15) — billed at $0.15/page against a $0.10/page ceiling that “shall not be exceeded”; $620 reduction (GL §5.3).</w:t>
      </w:r>
    </w:p>
    <w:p>
      <w:pPr>
        <w:pStyle w:val="Heading2"/>
      </w:pPr>
      <w:r>
        <w:rPr>
          <w:color w:val="1F3864"/>
        </w:rPr>
        <w:t>D. Travel cap exceedances (reduced/rejected: $468.00)</w:t>
      </w:r>
    </w:p>
    <w:p>
      <w:pPr>
        <w:spacing w:after="120"/>
      </w:pPr>
      <w:r>
        <w:rPr>
          <w:b w:val="0"/>
          <w:i w:val="0"/>
        </w:rPr>
        <w:t>The San Francisco trip was pre-approved on the express condition that hotels stay within the $275 Tier 1 cap (Log Entry 5); HWK’s own request represented it would book within the limit. Both rooms were billed at $319/night ($176 total excess). The Washington, D.C. hotel ($348, Tier 1 cap $275) exceeds the cap by $73. Travel meals exceeded the $75 per-person, per-day cap on 5/2 ($64 excess), 5/3 for M. Beale ($7) and 5/13 for C. Aldridge ($21). The Greenville full-size rental car ($127) is a non-reimbursable vehicle class with no documented unavailability of a mid-size car (GL §5.2). No extraordinary-circumstances pre-approval was sought for any hotel overage, so the Firm absorbs the excess.</w:t>
      </w:r>
    </w:p>
    <w:p>
      <w:pPr>
        <w:pStyle w:val="Heading2"/>
      </w:pPr>
      <w:r>
        <w:rPr>
          <w:color w:val="1F3864"/>
        </w:rPr>
        <w:t>E. Non-compliant working meals (rejected/reduced: $901.00)</w:t>
      </w:r>
    </w:p>
    <w:p>
      <w:pPr>
        <w:spacing w:after="120"/>
      </w:pPr>
      <w:r>
        <w:rPr>
          <w:b w:val="0"/>
          <w:i w:val="0"/>
        </w:rPr>
        <w:t>Non-travel meals are reimbursable only when Pinnacle personnel or third-party witnesses/parties attend (GL §5.7). Line 38 ($612 at Carmichael’s Steakhouse) and Line 39 ($24 solo desk lunch) involved Firm personnel only; Line 38 additionally included two summer associates, whose development is the Firm’s own investment (GL §3.5), and at $122.40 per head would exceed the $85 dinner cap in any event. Line 40 ($247, The Piedmont Room) was attended by HWK lawyers and plaintiff’s counsel — opposing counsel is neither Pinnacle personnel nor a witness or party — and the description omits the names and titles of the plaintiff-side attendees; we recommend rejection, while noting that this is the most judgment-dependent item in the report. If the Relationship Attorney prefers to allow it, require a compliant resubmission (attendee names/titles, itemized receipt with alcohol removed) and cap it at $85 per attendee. Line 37 (lunch with D. Yamashita) qualifies but is capped at $50 per person; $18 reduction.</w:t>
      </w:r>
    </w:p>
    <w:p>
      <w:pPr>
        <w:pStyle w:val="Heading1"/>
      </w:pPr>
      <w:r>
        <w:rPr>
          <w:color w:val="1F3864"/>
        </w:rPr>
        <w:t>V. Items Held Pending Documentation or Revised Description</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720"/>
            <w:shd w:val="clear" w:color="auto" w:fill="1F3864"/>
          </w:tcPr>
          <w:p>
            <w:r/>
            <w:r>
              <w:rPr>
                <w:b/>
                <w:color w:val="FFFFFF"/>
                <w:sz w:val="18"/>
              </w:rPr>
              <w:t>Line</w:t>
            </w:r>
          </w:p>
        </w:tc>
        <w:tc>
          <w:tcPr>
            <w:tcW w:type="dxa" w:w="2880"/>
            <w:shd w:val="clear" w:color="auto" w:fill="1F3864"/>
          </w:tcPr>
          <w:p>
            <w:r/>
            <w:r>
              <w:rPr>
                <w:b/>
                <w:color w:val="FFFFFF"/>
                <w:sz w:val="18"/>
              </w:rPr>
              <w:t>Charge</w:t>
            </w:r>
          </w:p>
        </w:tc>
        <w:tc>
          <w:tcPr>
            <w:tcW w:type="dxa" w:w="1296"/>
            <w:shd w:val="clear" w:color="auto" w:fill="1F3864"/>
          </w:tcPr>
          <w:p>
            <w:r/>
            <w:r>
              <w:rPr>
                <w:b/>
                <w:color w:val="FFFFFF"/>
                <w:sz w:val="18"/>
              </w:rPr>
              <w:t>Amount</w:t>
            </w:r>
          </w:p>
        </w:tc>
        <w:tc>
          <w:tcPr>
            <w:tcW w:type="dxa" w:w="4752"/>
            <w:shd w:val="clear" w:color="auto" w:fill="1F3864"/>
          </w:tcPr>
          <w:p>
            <w:r/>
            <w:r>
              <w:rPr>
                <w:b/>
                <w:color w:val="FFFFFF"/>
                <w:sz w:val="18"/>
              </w:rPr>
              <w:t>Information required</w:t>
            </w:r>
          </w:p>
        </w:tc>
      </w:tr>
      <w:tr>
        <w:tc>
          <w:tcPr>
            <w:tcW w:type="dxa" w:w="720"/>
          </w:tcPr>
          <w:p>
            <w:r/>
            <w:r>
              <w:rPr>
                <w:sz w:val="18"/>
              </w:rPr>
              <w:t>8</w:t>
            </w:r>
          </w:p>
        </w:tc>
        <w:tc>
          <w:tcPr>
            <w:tcW w:type="dxa" w:w="2880"/>
          </w:tcPr>
          <w:p>
            <w:r/>
            <w:r>
              <w:rPr>
                <w:sz w:val="18"/>
              </w:rPr>
              <w:t>Rideshare, M. Beale</w:t>
            </w:r>
          </w:p>
        </w:tc>
        <w:tc>
          <w:tcPr>
            <w:tcW w:type="dxa" w:w="1296"/>
          </w:tcPr>
          <w:p>
            <w:r/>
            <w:r>
              <w:rPr>
                <w:sz w:val="18"/>
              </w:rPr>
              <w:t>$94.50</w:t>
            </w:r>
          </w:p>
        </w:tc>
        <w:tc>
          <w:tcPr>
            <w:tcW w:type="dxa" w:w="4752"/>
          </w:tcPr>
          <w:p>
            <w:r/>
            <w:r>
              <w:rPr>
                <w:sz w:val="18"/>
              </w:rPr>
              <w:t>Receipts; dates of each leg (billed 5/4 only, though arrival was 5/2).</w:t>
            </w:r>
          </w:p>
        </w:tc>
      </w:tr>
      <w:tr>
        <w:tc>
          <w:tcPr>
            <w:tcW w:type="dxa" w:w="720"/>
          </w:tcPr>
          <w:p>
            <w:r/>
            <w:r>
              <w:rPr>
                <w:sz w:val="18"/>
              </w:rPr>
              <w:t>9</w:t>
            </w:r>
          </w:p>
        </w:tc>
        <w:tc>
          <w:tcPr>
            <w:tcW w:type="dxa" w:w="2880"/>
          </w:tcPr>
          <w:p>
            <w:r/>
            <w:r>
              <w:rPr>
                <w:sz w:val="18"/>
              </w:rPr>
              <w:t>Rideshare, J. Palermo</w:t>
            </w:r>
          </w:p>
        </w:tc>
        <w:tc>
          <w:tcPr>
            <w:tcW w:type="dxa" w:w="1296"/>
          </w:tcPr>
          <w:p>
            <w:r/>
            <w:r>
              <w:rPr>
                <w:sz w:val="18"/>
              </w:rPr>
              <w:t>$87.00</w:t>
            </w:r>
          </w:p>
        </w:tc>
        <w:tc>
          <w:tcPr>
            <w:tcW w:type="dxa" w:w="4752"/>
          </w:tcPr>
          <w:p>
            <w:r/>
            <w:r>
              <w:rPr>
                <w:sz w:val="18"/>
              </w:rPr>
              <w:t>Receipts and explanation why co-travelers on the same itinerary did not share; recommend disallowance absent justification.</w:t>
            </w:r>
          </w:p>
        </w:tc>
      </w:tr>
      <w:tr>
        <w:tc>
          <w:tcPr>
            <w:tcW w:type="dxa" w:w="720"/>
          </w:tcPr>
          <w:p>
            <w:r/>
            <w:r>
              <w:rPr>
                <w:sz w:val="18"/>
              </w:rPr>
              <w:t>17</w:t>
            </w:r>
          </w:p>
        </w:tc>
        <w:tc>
          <w:tcPr>
            <w:tcW w:type="dxa" w:w="2880"/>
          </w:tcPr>
          <w:p>
            <w:r/>
            <w:r>
              <w:rPr>
                <w:sz w:val="18"/>
              </w:rPr>
              <w:t>Copyland – trial exhibit binders</w:t>
            </w:r>
          </w:p>
        </w:tc>
        <w:tc>
          <w:tcPr>
            <w:tcW w:type="dxa" w:w="1296"/>
          </w:tcPr>
          <w:p>
            <w:r/>
            <w:r>
              <w:rPr>
                <w:sz w:val="18"/>
              </w:rPr>
              <w:t>$3,475.00</w:t>
            </w:r>
          </w:p>
        </w:tc>
        <w:tc>
          <w:tcPr>
            <w:tcW w:type="dxa" w:w="4752"/>
          </w:tcPr>
          <w:p>
            <w:r/>
            <w:r>
              <w:rPr>
                <w:sz w:val="18"/>
              </w:rPr>
              <w:t>Copyland invoice; explanation of need for trial exhibit binders nine months before the February 2026 trial date.</w:t>
            </w:r>
          </w:p>
        </w:tc>
      </w:tr>
      <w:tr>
        <w:tc>
          <w:tcPr>
            <w:tcW w:type="dxa" w:w="720"/>
          </w:tcPr>
          <w:p>
            <w:r/>
            <w:r>
              <w:rPr>
                <w:sz w:val="18"/>
              </w:rPr>
              <w:t>18</w:t>
            </w:r>
          </w:p>
        </w:tc>
        <w:tc>
          <w:tcPr>
            <w:tcW w:type="dxa" w:w="2880"/>
          </w:tcPr>
          <w:p>
            <w:r/>
            <w:r>
              <w:rPr>
                <w:sz w:val="18"/>
              </w:rPr>
              <w:t>Copyland – class cert brief</w:t>
            </w:r>
          </w:p>
        </w:tc>
        <w:tc>
          <w:tcPr>
            <w:tcW w:type="dxa" w:w="1296"/>
          </w:tcPr>
          <w:p>
            <w:r/>
            <w:r>
              <w:rPr>
                <w:sz w:val="18"/>
              </w:rPr>
              <w:t>$2,180.00</w:t>
            </w:r>
          </w:p>
        </w:tc>
        <w:tc>
          <w:tcPr>
            <w:tcW w:type="dxa" w:w="4752"/>
          </w:tcPr>
          <w:p>
            <w:r/>
            <w:r>
              <w:rPr>
                <w:sz w:val="18"/>
              </w:rPr>
              <w:t>Copyland invoice; reason for printing a brief filed via CM/ECF (e.g., chambers courtesy-copy requirement).</w:t>
            </w:r>
          </w:p>
        </w:tc>
      </w:tr>
      <w:tr>
        <w:tc>
          <w:tcPr>
            <w:tcW w:type="dxa" w:w="720"/>
          </w:tcPr>
          <w:p>
            <w:r/>
            <w:r>
              <w:rPr>
                <w:sz w:val="18"/>
              </w:rPr>
              <w:t>28</w:t>
            </w:r>
          </w:p>
        </w:tc>
        <w:tc>
          <w:tcPr>
            <w:tcW w:type="dxa" w:w="2880"/>
          </w:tcPr>
          <w:p>
            <w:r/>
            <w:r>
              <w:rPr>
                <w:sz w:val="18"/>
              </w:rPr>
              <w:t>Filing fee, motion to compel</w:t>
            </w:r>
          </w:p>
        </w:tc>
        <w:tc>
          <w:tcPr>
            <w:tcW w:type="dxa" w:w="1296"/>
          </w:tcPr>
          <w:p>
            <w:r/>
            <w:r>
              <w:rPr>
                <w:sz w:val="18"/>
              </w:rPr>
              <w:t>$52.00</w:t>
            </w:r>
          </w:p>
        </w:tc>
        <w:tc>
          <w:tcPr>
            <w:tcW w:type="dxa" w:w="4752"/>
          </w:tcPr>
          <w:p>
            <w:r/>
            <w:r>
              <w:rPr>
                <w:sz w:val="18"/>
              </w:rPr>
              <w:t>Court receipt (federal courts generally charge no fee to file a motion); reconcile 5/5 date with 5/6 filing.</w:t>
            </w:r>
          </w:p>
        </w:tc>
      </w:tr>
      <w:tr>
        <w:tc>
          <w:tcPr>
            <w:tcW w:type="dxa" w:w="720"/>
          </w:tcPr>
          <w:p>
            <w:r/>
            <w:r>
              <w:rPr>
                <w:sz w:val="18"/>
              </w:rPr>
              <w:t>32</w:t>
            </w:r>
          </w:p>
        </w:tc>
        <w:tc>
          <w:tcPr>
            <w:tcW w:type="dxa" w:w="2880"/>
          </w:tcPr>
          <w:p>
            <w:r/>
            <w:r>
              <w:rPr>
                <w:sz w:val="18"/>
              </w:rPr>
              <w:t>FedEx – “class certification motion to court”</w:t>
            </w:r>
          </w:p>
        </w:tc>
        <w:tc>
          <w:tcPr>
            <w:tcW w:type="dxa" w:w="1296"/>
          </w:tcPr>
          <w:p>
            <w:r/>
            <w:r>
              <w:rPr>
                <w:sz w:val="18"/>
              </w:rPr>
              <w:t>$32.50</w:t>
            </w:r>
          </w:p>
        </w:tc>
        <w:tc>
          <w:tcPr>
            <w:tcW w:type="dxa" w:w="4752"/>
          </w:tcPr>
          <w:p>
            <w:r/>
            <w:r>
              <w:rPr>
                <w:sz w:val="18"/>
              </w:rPr>
              <w:t>Origin/destination, document actually sent, and reason overnight delivery was required.</w:t>
            </w:r>
          </w:p>
        </w:tc>
      </w:tr>
      <w:tr>
        <w:tc>
          <w:tcPr>
            <w:tcW w:type="dxa" w:w="720"/>
          </w:tcPr>
          <w:p>
            <w:r/>
            <w:r>
              <w:rPr>
                <w:sz w:val="18"/>
              </w:rPr>
              <w:t>33</w:t>
            </w:r>
          </w:p>
        </w:tc>
        <w:tc>
          <w:tcPr>
            <w:tcW w:type="dxa" w:w="2880"/>
          </w:tcPr>
          <w:p>
            <w:r/>
            <w:r>
              <w:rPr>
                <w:sz w:val="18"/>
              </w:rPr>
              <w:t>FedEx – privilege log</w:t>
            </w:r>
          </w:p>
        </w:tc>
        <w:tc>
          <w:tcPr>
            <w:tcW w:type="dxa" w:w="1296"/>
          </w:tcPr>
          <w:p>
            <w:r/>
            <w:r>
              <w:rPr>
                <w:sz w:val="18"/>
              </w:rPr>
              <w:t>$28.75</w:t>
            </w:r>
          </w:p>
        </w:tc>
        <w:tc>
          <w:tcPr>
            <w:tcW w:type="dxa" w:w="4752"/>
          </w:tcPr>
          <w:p>
            <w:r/>
            <w:r>
              <w:rPr>
                <w:sz w:val="18"/>
              </w:rPr>
              <w:t>Reason electronic service was not used; addresses.</w:t>
            </w:r>
          </w:p>
        </w:tc>
      </w:tr>
      <w:tr>
        <w:tc>
          <w:tcPr>
            <w:tcW w:type="dxa" w:w="720"/>
          </w:tcPr>
          <w:p>
            <w:r/>
            <w:r>
              <w:rPr>
                <w:sz w:val="18"/>
              </w:rPr>
              <w:t>34</w:t>
            </w:r>
          </w:p>
        </w:tc>
        <w:tc>
          <w:tcPr>
            <w:tcW w:type="dxa" w:w="2880"/>
          </w:tcPr>
          <w:p>
            <w:r/>
            <w:r>
              <w:rPr>
                <w:sz w:val="18"/>
              </w:rPr>
              <w:t>Courier – mediation materials to Judge Royce</w:t>
            </w:r>
          </w:p>
        </w:tc>
        <w:tc>
          <w:tcPr>
            <w:tcW w:type="dxa" w:w="1296"/>
          </w:tcPr>
          <w:p>
            <w:r/>
            <w:r>
              <w:rPr>
                <w:sz w:val="18"/>
              </w:rPr>
              <w:t>$45.00</w:t>
            </w:r>
          </w:p>
        </w:tc>
        <w:tc>
          <w:tcPr>
            <w:tcW w:type="dxa" w:w="4752"/>
          </w:tcPr>
          <w:p>
            <w:r/>
            <w:r>
              <w:rPr>
                <w:sz w:val="18"/>
              </w:rPr>
              <w:t>Destination address (Royce met Aldridge in D.C. the same day), contents and reason for courier.</w:t>
            </w:r>
          </w:p>
        </w:tc>
      </w:tr>
      <w:tr>
        <w:tc>
          <w:tcPr>
            <w:tcW w:type="dxa" w:w="720"/>
          </w:tcPr>
          <w:p>
            <w:r/>
            <w:r>
              <w:rPr>
                <w:sz w:val="18"/>
              </w:rPr>
              <w:t>35</w:t>
            </w:r>
          </w:p>
        </w:tc>
        <w:tc>
          <w:tcPr>
            <w:tcW w:type="dxa" w:w="2880"/>
          </w:tcPr>
          <w:p>
            <w:r/>
            <w:r>
              <w:rPr>
                <w:sz w:val="18"/>
              </w:rPr>
              <w:t>FedEx – expert report</w:t>
            </w:r>
          </w:p>
        </w:tc>
        <w:tc>
          <w:tcPr>
            <w:tcW w:type="dxa" w:w="1296"/>
          </w:tcPr>
          <w:p>
            <w:r/>
            <w:r>
              <w:rPr>
                <w:sz w:val="18"/>
              </w:rPr>
              <w:t>$34.25</w:t>
            </w:r>
          </w:p>
        </w:tc>
        <w:tc>
          <w:tcPr>
            <w:tcW w:type="dxa" w:w="4752"/>
          </w:tcPr>
          <w:p>
            <w:r/>
            <w:r>
              <w:rPr>
                <w:sz w:val="18"/>
              </w:rPr>
              <w:t>Identify report and reason for overnight vs. electronic service; addresses.</w:t>
            </w:r>
          </w:p>
        </w:tc>
      </w:tr>
      <w:tr>
        <w:tc>
          <w:tcPr>
            <w:tcW w:type="dxa" w:w="720"/>
            <w:shd w:val="clear" w:color="auto" w:fill="D9E2F3"/>
          </w:tcPr>
          <w:p>
            <w:r/>
            <w:r>
              <w:rPr>
                <w:b/>
                <w:sz w:val="18"/>
              </w:rPr>
            </w:r>
          </w:p>
        </w:tc>
        <w:tc>
          <w:tcPr>
            <w:tcW w:type="dxa" w:w="2880"/>
            <w:shd w:val="clear" w:color="auto" w:fill="D9E2F3"/>
          </w:tcPr>
          <w:p>
            <w:r/>
            <w:r>
              <w:rPr>
                <w:b/>
                <w:sz w:val="18"/>
              </w:rPr>
              <w:t>TOTAL</w:t>
            </w:r>
          </w:p>
        </w:tc>
        <w:tc>
          <w:tcPr>
            <w:tcW w:type="dxa" w:w="1296"/>
            <w:shd w:val="clear" w:color="auto" w:fill="D9E2F3"/>
          </w:tcPr>
          <w:p>
            <w:r/>
            <w:r>
              <w:rPr>
                <w:b/>
                <w:sz w:val="18"/>
              </w:rPr>
              <w:t>$6,029.00</w:t>
            </w:r>
          </w:p>
        </w:tc>
        <w:tc>
          <w:tcPr>
            <w:tcW w:type="dxa" w:w="4752"/>
            <w:shd w:val="clear" w:color="auto" w:fill="D9E2F3"/>
          </w:tcPr>
          <w:p>
            <w:r/>
            <w:r>
              <w:rPr>
                <w:b/>
                <w:sz w:val="18"/>
              </w:rPr>
            </w:r>
          </w:p>
        </w:tc>
      </w:tr>
    </w:tbl>
    <w:p>
      <w:pPr>
        <w:spacing w:after="40"/>
      </w:pPr>
    </w:p>
    <w:p>
      <w:pPr>
        <w:spacing w:after="120"/>
      </w:pPr>
      <w:r>
        <w:rPr>
          <w:b w:val="0"/>
          <w:i w:val="0"/>
        </w:rPr>
        <w:t>In addition, before releasing payment on the compliant pass-through items, obtain the original invoices for Dr. Hartsfield (Lines 22, 27), Redmond (Line 23), TechForensic (Line 26) and the contract-attorney agency (Lines 45–46), and receipts confirming coach-class airfare (Lines 1, 2, 11) and the absence of alcohol on all meal charges.</w:t>
      </w:r>
    </w:p>
    <w:p>
      <w:pPr>
        <w:pStyle w:val="Heading1"/>
      </w:pPr>
      <w:r>
        <w:rPr>
          <w:color w:val="1F3864"/>
        </w:rPr>
        <w:t>VI. Approval Authority and Process</w:t>
      </w:r>
    </w:p>
    <w:p>
      <w:pPr>
        <w:pStyle w:val="ListBullet"/>
        <w:spacing w:after="60"/>
      </w:pPr>
      <w:r>
        <w:rPr>
          <w:b/>
        </w:rPr>
        <w:t>GC approval.</w:t>
      </w:r>
      <w:r>
        <w:t xml:space="preserve"> Total recommended reductions of $42,822.30 exceed the $25,000 per-invoice limit on the Relationship Attorney’s unilateral reduction authority. The reductions require General Counsel approval (GL §8.2(b); EL §5). The Hartsfield overage independently falls within the General Counsel’s exclusive authority (GL §5.4).</w:t>
      </w:r>
    </w:p>
    <w:p>
      <w:pPr>
        <w:pStyle w:val="ListBullet"/>
        <w:spacing w:after="60"/>
      </w:pPr>
      <w:r>
        <w:rPr>
          <w:b/>
        </w:rPr>
        <w:t>Timing.</w:t>
      </w:r>
      <w:r>
        <w:t xml:space="preserve"> Notify C. Aldridge of the reductions and reasons within 15 business days of invoice receipt (GL §8.3). If the invoice was received on its June 3, 2025 date, the notice deadline is June 24, 2025. HWK then has 15 business days to dispute in writing; the Relationship Attorney decides within 15 business days thereafter, with appeal to the General Counsel (GL §8.4).</w:t>
      </w:r>
    </w:p>
    <w:p>
      <w:pPr>
        <w:pStyle w:val="ListBullet"/>
        <w:spacing w:after="60"/>
      </w:pPr>
      <w:r>
        <w:rPr>
          <w:b/>
        </w:rPr>
        <w:t>Retroactive approval / waiver.</w:t>
      </w:r>
      <w:r>
        <w:t xml:space="preserve"> Retroactive approval requests (GL §8.6) for Lines 19, 24, 25, 27 and 47 are discretionary; pending decision the charges are held and unpaid. Any waiver must be in writing from the General Counsel and does not carry over to other invoices (GL §9.2).</w:t>
      </w:r>
    </w:p>
    <w:p>
      <w:pPr>
        <w:pStyle w:val="ListBullet"/>
        <w:spacing w:after="60"/>
      </w:pPr>
      <w:r>
        <w:rPr>
          <w:b/>
        </w:rPr>
        <w:t>Reservation of rights.</w:t>
      </w:r>
      <w:r>
        <w:t xml:space="preserve"> Pinnacle’s payment of any amount does not waive later challenge; Pinnacle retains audit rights over past invoices (EL §5). Given the pattern here, a look-back at prior HWK Morales invoices for the same issues (copy rate, Westlaw, Relativity overage, contract-attorney rates) is recommended.</w:t>
      </w:r>
    </w:p>
    <w:p>
      <w:pPr>
        <w:pStyle w:val="Heading1"/>
      </w:pPr>
      <w:r>
        <w:rPr>
          <w:color w:val="1F3864"/>
        </w:rPr>
        <w:t>VII. Related Observations on Professional Fees (Outside Disbursement Scope)</w:t>
      </w:r>
    </w:p>
    <w:p>
      <w:pPr>
        <w:spacing w:after="120"/>
      </w:pPr>
      <w:r>
        <w:rPr>
          <w:b w:val="0"/>
          <w:i w:val="0"/>
        </w:rPr>
        <w:t>Although this report addresses disbursements, the following fee issues surfaced during review and should be addressed in the same reduction notice or a separate fee review:</w:t>
      </w:r>
    </w:p>
    <w:p>
      <w:pPr>
        <w:pStyle w:val="ListBullet"/>
        <w:spacing w:after="60"/>
      </w:pPr>
      <w:r>
        <w:rPr>
          <w:b/>
        </w:rPr>
        <w:t>Fee total overstated.</w:t>
      </w:r>
      <w:r>
        <w:t xml:space="preserve"> Fee entries total $161,698.50, but $187,420.00 is billed — an apparent overstatement of $25,721.50 (GL §6.7).</w:t>
      </w:r>
    </w:p>
    <w:p>
      <w:pPr>
        <w:pStyle w:val="ListBullet"/>
        <w:spacing w:after="60"/>
      </w:pPr>
      <w:r>
        <w:rPr>
          <w:b/>
        </w:rPr>
        <w:t>Travel time at full rate.</w:t>
      </w:r>
      <w:r>
        <w:t xml:space="preserve"> Travel time must be billed at 50% and recorded as a separate entry (GL §4.5; EL §4). Fee Line 5 (M. Beale, 3.5 hrs travel to San Francisco, $1,697.50) is billed at the full $485 rate (50% reduction would be $848.75). Lines 6, 9, 26, 29 and 36 combine travel with substantive work in a single entry at full rate, which both violates the separate-entry rule and constitutes block billing (GL §4.4).</w:t>
      </w:r>
    </w:p>
    <w:p>
      <w:pPr>
        <w:pStyle w:val="ListBullet"/>
        <w:spacing w:after="60"/>
      </w:pPr>
      <w:r>
        <w:rPr>
          <w:b/>
        </w:rPr>
        <w:t>Administrative time.</w:t>
      </w:r>
      <w:r>
        <w:t xml:space="preserve"> Fee Line 73 (conference with billing department re May invoice) and Fee Line 75 (compile billing entries) are non-billable administrative time (GL §4.6); Fee Line 3 includes travel-logistics coordination.</w:t>
      </w:r>
    </w:p>
    <w:p>
      <w:pPr>
        <w:pStyle w:val="ListBullet"/>
        <w:spacing w:after="60"/>
      </w:pPr>
      <w:r>
        <w:rPr>
          <w:b/>
        </w:rPr>
        <w:t>Related time entries.</w:t>
      </w:r>
      <w:r>
        <w:t xml:space="preserve"> Fee Line 32 (C. Aldridge) bundles the firm-only “working dinner” with summer associates into a block entry, and Fee Line 62 bundles the dinner with plaintiff’s counsel with oral-argument time; meal time should not be billed and the entries should be broken out (GL §§3.5, 4.4).</w:t>
      </w:r>
    </w:p>
    <w:p>
      <w:pPr>
        <w:pStyle w:val="ListBullet"/>
        <w:spacing w:after="60"/>
      </w:pPr>
      <w:r>
        <w:rPr>
          <w:b/>
        </w:rPr>
        <w:t>Rate discrepancy (favorable).</w:t>
      </w:r>
      <w:r>
        <w:t xml:space="preserve"> Taro Nakamura is billed at $575/hour, below his $625 Exhibit A rate. This does not prejudice Pinnacle but should be confirmed as an intentional courtesy so that it is not later “corrected” upward.</w:t>
      </w:r>
    </w:p>
    <w:p>
      <w:pPr>
        <w:pStyle w:val="Heading1"/>
      </w:pPr>
      <w:r>
        <w:rPr>
          <w:color w:val="1F3864"/>
        </w:rPr>
        <w:t>VIII. Recommended Next Steps</w:t>
      </w:r>
    </w:p>
    <w:p>
      <w:pPr>
        <w:pStyle w:val="ListNumber"/>
        <w:spacing w:after="60"/>
      </w:pPr>
      <w:r>
        <w:t>Return Invoice HWK-2025-05-4781 to HWK for correction of the footing errors, addition of UTBMS expense codes, Pinnacle’s matter number, cumulative totals and correct payment terms (GL §§6.3, 6.4, 6.7, 7.4).</w:t>
      </w:r>
    </w:p>
    <w:p>
      <w:pPr>
        <w:pStyle w:val="ListNumber"/>
        <w:spacing w:after="60"/>
      </w:pPr>
      <w:r>
        <w:t>Obtain General Counsel approval of the $42,822.30 in reductions identified in Part III (GL §8.2(b)).</w:t>
      </w:r>
    </w:p>
    <w:p>
      <w:pPr>
        <w:pStyle w:val="ListNumber"/>
        <w:spacing w:after="60"/>
      </w:pPr>
      <w:r>
        <w:t>Issue written notice of reductions to Constance Aldridge by the GL §8.3 deadline, citing the line-specific grounds in Part III.</w:t>
      </w:r>
    </w:p>
    <w:p>
      <w:pPr>
        <w:pStyle w:val="ListNumber"/>
        <w:spacing w:after="60"/>
      </w:pPr>
      <w:r>
        <w:t>Request the documentation listed in Part V and all original vendor/expert invoices, due within five business days (GL §§5.1, 6.6); hold the $6,029.00 in affected lines until received.</w:t>
      </w:r>
    </w:p>
    <w:p>
      <w:pPr>
        <w:pStyle w:val="ListNumber"/>
        <w:spacing w:after="60"/>
      </w:pPr>
      <w:r>
        <w:t>Remind HWK in writing that (i) every expert, consultant and contract attorney requires prior written approval, (ii) approved monthly caps for Dr. Hartsfield ($35,000), Relativity/e-discovery ($12,000) and Redmond ($20,000) may not be exceeded without advance re-authorization, and (iii) R. Chen may be billed at no more than $65/hour.</w:t>
      </w:r>
    </w:p>
    <w:p>
      <w:pPr>
        <w:pStyle w:val="ListNumber"/>
        <w:spacing w:after="60"/>
      </w:pPr>
      <w:r>
        <w:t>Consider a look-back audit of prior Morales invoices under EL §5 for recurrence of the same issues.</w:t>
      </w:r>
    </w:p>
    <w:p>
      <w:pPr>
        <w:pStyle w:val="Heading2"/>
      </w:pPr>
      <w:r>
        <w:rPr>
          <w:color w:val="1F3864"/>
        </w:rPr>
        <w:t>Appendix — Proposed Reduction Notice Text</w:t>
      </w:r>
    </w:p>
    <w:p>
      <w:pPr>
        <w:spacing w:after="120"/>
      </w:pPr>
      <w:r>
        <w:rPr>
          <w:b w:val="0"/>
          <w:i/>
        </w:rPr>
        <w:t>“Pursuant to Sections 8.1–8.3 of Pinnacle’s Outside Counsel Billing Guidelines (v3.1) and Sections 5–6 of HWK’s October 1, 2024 engagement letter, Pinnacle has reviewed Invoice No. HWK-2025-05-4781. The invoice’s stated totals do not reconcile to its line items (Guidelines §6.7) and the invoice omits required UTBMS expense codes (§7.2); please reissue a corrected invoice. Pinnacle is reducing or rejecting disbursements totaling $42,822.30 as itemized in the attached schedule, principally for engagements lacking required pre-approval (Dr. L. Voss, GraphicWorks LLC, A. Brooks, DataScan Solutions), charges in excess of approved caps (Dr. Hartsfield, Relativity/e-discovery, R. Chen’s rate), firm overhead (Westlaw, video conferencing, office-supply shipping, local mileage, copy-rate excess), travel cap exceedances, and non-qualifying meals. An additional $6,029.00 is held pending the documentation identified in the schedule. HWK may submit a written response within fifteen business days under Section 8.4.”</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