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18"/>
        </w:rPr>
        <w:t>PRIVILEGED &amp; CONFIDENTIAL — ATTORNEY-CLIENT COMMUNICATION / ATTORNEY WORK PRODUCT</w:t>
      </w:r>
    </w:p>
    <w:p>
      <w:pPr>
        <w:spacing w:after="0"/>
        <w:jc w:val="center"/>
      </w:pPr>
      <w:r>
        <w:rPr>
          <w:b/>
          <w:i w:val="0"/>
          <w:sz w:val="24"/>
        </w:rPr>
        <w:t>HARGRAVE, MITCHELL &amp; STONE LLP</w:t>
      </w:r>
    </w:p>
    <w:p>
      <w:pPr>
        <w:spacing w:after="0"/>
        <w:jc w:val="center"/>
      </w:pPr>
      <w:r>
        <w:rPr>
          <w:b/>
          <w:i w:val="0"/>
          <w:sz w:val="30"/>
        </w:rPr>
        <w:t>PURCHASE AND SALE AGREEMENT — TERM SHEET AND ISSUES LIST</w:t>
      </w:r>
    </w:p>
    <w:p>
      <w:pPr>
        <w:spacing w:after="160"/>
        <w:jc w:val="center"/>
      </w:pPr>
      <w:r>
        <w:rPr>
          <w:b w:val="0"/>
          <w:i w:val="0"/>
          <w:sz w:val="21"/>
        </w:rPr>
        <w:t>Meridian Corporate Center | 11600, 11620 and 11640 Corporate Park Drive, Reston, Fairfax County, Virginia 20191</w:t>
      </w:r>
    </w:p>
    <w:tbl>
      <w:tblPr>
        <w:tblStyle w:val="TableGrid"/>
        <w:tblW w:type="dxa" w:w="9360"/>
        <w:jc w:val="center"/>
        <w:tblLayout w:type="fixed"/>
        <w:tblLook w:firstColumn="1" w:firstRow="1" w:lastColumn="0" w:lastRow="0" w:noHBand="0" w:noVBand="1" w:val="04A0"/>
        <w:tblLayout w:type="fixed"/>
      </w:tblPr>
      <w:tblGrid>
        <w:gridCol w:w="2160"/>
        <w:gridCol w:w="7200"/>
      </w:tblGrid>
      <w:tr>
        <w:trPr>
          <w:tblHeader w:val="true"/>
        </w:trPr>
        <w:tc>
          <w:tcPr>
            <w:tcW w:type="dxa" w:w="2160"/>
            <w:shd w:val="clear" w:color="auto" w:fill="1F3864"/>
          </w:tcPr>
          <w:p>
            <w:r/>
            <w:r>
              <w:rPr>
                <w:b/>
                <w:color w:val="FFFFFF"/>
                <w:sz w:val="18"/>
              </w:rPr>
              <w:t>Item</w:t>
            </w:r>
          </w:p>
        </w:tc>
        <w:tc>
          <w:tcPr>
            <w:tcW w:type="dxa" w:w="7200"/>
            <w:shd w:val="clear" w:color="auto" w:fill="1F3864"/>
          </w:tcPr>
          <w:p>
            <w:r/>
            <w:r>
              <w:rPr>
                <w:b/>
                <w:color w:val="FFFFFF"/>
                <w:sz w:val="18"/>
              </w:rPr>
              <w:t>Detail</w:t>
            </w:r>
          </w:p>
        </w:tc>
      </w:tr>
      <w:tr>
        <w:tc>
          <w:tcPr>
            <w:tcW w:type="dxa" w:w="2160"/>
          </w:tcPr>
          <w:p>
            <w:pPr>
              <w:spacing w:after="20"/>
            </w:pPr>
            <w:r/>
            <w:r>
              <w:rPr>
                <w:b/>
                <w:i w:val="0"/>
                <w:sz w:val="18"/>
              </w:rPr>
              <w:t>To</w:t>
            </w:r>
          </w:p>
        </w:tc>
        <w:tc>
          <w:tcPr>
            <w:tcW w:type="dxa" w:w="7200"/>
          </w:tcPr>
          <w:p>
            <w:pPr>
              <w:spacing w:after="20"/>
            </w:pPr>
            <w:r/>
            <w:r>
              <w:rPr>
                <w:b w:val="0"/>
                <w:i w:val="0"/>
                <w:sz w:val="18"/>
              </w:rPr>
              <w:t>Rebecca Thornton, General Counsel, Calverley Capital Partners LLC</w:t>
            </w:r>
          </w:p>
          <w:p>
            <w:pPr>
              <w:spacing w:after="20"/>
            </w:pPr>
            <w:r>
              <w:rPr>
                <w:b w:val="0"/>
                <w:i w:val="0"/>
                <w:sz w:val="18"/>
              </w:rPr>
              <w:t>cc: David Kowalski; Priya Venkataraman</w:t>
            </w:r>
          </w:p>
        </w:tc>
      </w:tr>
      <w:tr>
        <w:tc>
          <w:tcPr>
            <w:tcW w:type="dxa" w:w="2160"/>
          </w:tcPr>
          <w:p>
            <w:pPr>
              <w:spacing w:after="20"/>
            </w:pPr>
            <w:r/>
            <w:r>
              <w:rPr>
                <w:b/>
                <w:i w:val="0"/>
                <w:sz w:val="18"/>
              </w:rPr>
              <w:t>From</w:t>
            </w:r>
          </w:p>
        </w:tc>
        <w:tc>
          <w:tcPr>
            <w:tcW w:type="dxa" w:w="7200"/>
          </w:tcPr>
          <w:p>
            <w:pPr>
              <w:spacing w:after="20"/>
            </w:pPr>
            <w:r/>
            <w:r>
              <w:rPr>
                <w:b w:val="0"/>
                <w:i w:val="0"/>
                <w:sz w:val="18"/>
              </w:rPr>
              <w:t>Hargrave, Mitchell &amp; Stone LLP (Jonathan Hargrave / Leah Chen)</w:t>
            </w:r>
          </w:p>
        </w:tc>
      </w:tr>
      <w:tr>
        <w:tc>
          <w:tcPr>
            <w:tcW w:type="dxa" w:w="2160"/>
          </w:tcPr>
          <w:p>
            <w:pPr>
              <w:spacing w:after="20"/>
            </w:pPr>
            <w:r/>
            <w:r>
              <w:rPr>
                <w:b/>
                <w:i w:val="0"/>
                <w:sz w:val="18"/>
              </w:rPr>
              <w:t>Date</w:t>
            </w:r>
          </w:p>
        </w:tc>
        <w:tc>
          <w:tcPr>
            <w:tcW w:type="dxa" w:w="7200"/>
          </w:tcPr>
          <w:p>
            <w:pPr>
              <w:spacing w:after="20"/>
            </w:pPr>
            <w:r/>
            <w:r>
              <w:rPr>
                <w:b w:val="0"/>
                <w:i w:val="0"/>
                <w:sz w:val="18"/>
              </w:rPr>
              <w:t>October 14, 2024</w:t>
            </w:r>
          </w:p>
        </w:tc>
      </w:tr>
      <w:tr>
        <w:tc>
          <w:tcPr>
            <w:tcW w:type="dxa" w:w="2160"/>
          </w:tcPr>
          <w:p>
            <w:pPr>
              <w:spacing w:after="20"/>
            </w:pPr>
            <w:r/>
            <w:r>
              <w:rPr>
                <w:b/>
                <w:i w:val="0"/>
                <w:sz w:val="18"/>
              </w:rPr>
              <w:t>Documents reviewed</w:t>
            </w:r>
          </w:p>
        </w:tc>
        <w:tc>
          <w:tcPr>
            <w:tcW w:type="dxa" w:w="7200"/>
          </w:tcPr>
          <w:p>
            <w:pPr>
              <w:spacing w:after="20"/>
            </w:pPr>
            <w:r/>
            <w:r>
              <w:rPr>
                <w:b w:val="0"/>
                <w:i w:val="0"/>
                <w:sz w:val="18"/>
              </w:rPr>
              <w:t>(1) Purchase and Sale Agreement dated as of October 7, 2024 between Meridian Office Holdings LP (Seller) and Bridgewater Capital Partners LLC (Buyer), including Schedule 7.1(e) and Exhibits A–H (the “PSA”); (2) Executive Summary of Phase I Environmental Site Assessment, Clearfield Environmental Consulting LLC, Report No. CEC-2024-0812-MCC, dated August 15, 2024 (the “Phase I”); (3) R. Thornton instruction email of October 9, 2024.</w:t>
            </w:r>
          </w:p>
        </w:tc>
      </w:tr>
      <w:tr>
        <w:tc>
          <w:tcPr>
            <w:tcW w:type="dxa" w:w="2160"/>
          </w:tcPr>
          <w:p>
            <w:pPr>
              <w:spacing w:after="20"/>
            </w:pPr>
            <w:r/>
            <w:r>
              <w:rPr>
                <w:b/>
                <w:i w:val="0"/>
                <w:sz w:val="18"/>
              </w:rPr>
              <w:t>Purpose / audiences</w:t>
            </w:r>
          </w:p>
        </w:tc>
        <w:tc>
          <w:tcPr>
            <w:tcW w:type="dxa" w:w="7200"/>
          </w:tcPr>
          <w:p>
            <w:pPr>
              <w:spacing w:after="20"/>
            </w:pPr>
            <w:r/>
            <w:r>
              <w:rPr>
                <w:b w:val="0"/>
                <w:i w:val="0"/>
                <w:sz w:val="18"/>
              </w:rPr>
              <w:t>Investment Committee meeting (Wednesday, October 16, 2024) and Pinnacle National Bank loan underwriting. See distribution note below.</w:t>
            </w:r>
          </w:p>
        </w:tc>
      </w:tr>
    </w:tbl>
    <w:p>
      <w:pPr>
        <w:spacing w:after="40"/>
      </w:pPr>
    </w:p>
    <w:p>
      <w:pPr>
        <w:spacing w:after="80"/>
      </w:pPr>
      <w:r>
        <w:rPr>
          <w:b/>
          <w:i w:val="0"/>
          <w:sz w:val="19"/>
        </w:rPr>
        <w:t>Distribution note.</w:t>
      </w:r>
      <w:r>
        <w:rPr>
          <w:b w:val="0"/>
          <w:i w:val="0"/>
          <w:sz w:val="19"/>
        </w:rPr>
        <w:t xml:space="preserve"> Parts 2–6 (dates, economics, term extraction, rent roll and service contract summaries) are factual and suitable for Pinnacle National Bank. Parts 1 and 7–12 (executive summary, environmental assessment, responses to specific concerns, Flags and Open Issues, roadmap and amendment requests) contain counsel’s legal analysis and negotiating strategy; we recommend they be limited to the Investment Committee and removed from the lender version to avoid waiver of privilege and disclosure of negotiating positions. Disclosure of PSA terms to Pinnacle is permitted under PSA §15.8(a) (lenders, on a need-to-know basis, subject to appropriate confidentiality obligations); please confirm Pinnacle is bound by a confidentiality undertaking before sending.</w:t>
      </w:r>
    </w:p>
    <w:p>
      <w:pPr>
        <w:spacing w:after="80"/>
      </w:pPr>
      <w:r>
        <w:rPr>
          <w:b/>
          <w:i w:val="0"/>
          <w:sz w:val="19"/>
        </w:rPr>
        <w:t>Conventions.</w:t>
      </w:r>
      <w:r>
        <w:rPr>
          <w:b w:val="0"/>
          <w:i w:val="0"/>
          <w:sz w:val="19"/>
        </w:rPr>
        <w:t xml:space="preserve"> “§” references are to the PSA unless noted. Day counts were verified against the calendar; “BD” means business day (the PSA does not define the term — see Flag 24). Dollar figures are as stated in the PSA unless labelled “computed” or “estimate.”</w:t>
      </w:r>
    </w:p>
    <w:p>
      <w:pPr>
        <w:pStyle w:val="Heading1"/>
      </w:pPr>
      <w:r>
        <w:t>Part 1 — Executive Summary</w:t>
      </w:r>
    </w:p>
    <w:p>
      <w:pPr>
        <w:spacing w:after="80"/>
      </w:pPr>
      <w:r>
        <w:rPr>
          <w:b w:val="0"/>
          <w:i w:val="0"/>
          <w:sz w:val="21"/>
        </w:rPr>
        <w:t xml:space="preserve">The PSA is a generally conventional, moderately Buyer-favorable office acquisition agreement (45-day free-look, title termination with full refund, Seller specific-performance exposure, liquidated damages cap on Buyer default). However, our review identified several material issues that should be resolved by PSA amendment before the Due Diligence Period expires at </w:t>
      </w:r>
      <w:r>
        <w:rPr>
          <w:b/>
          <w:i w:val="0"/>
          <w:sz w:val="21"/>
        </w:rPr>
        <w:t>5:00 p.m. ET on Thursday, November 21, 2024</w:t>
      </w:r>
      <w:r>
        <w:rPr>
          <w:b w:val="0"/>
          <w:i w:val="0"/>
          <w:sz w:val="21"/>
        </w:rPr>
        <w:t>. The most significant:</w:t>
      </w:r>
    </w:p>
    <w:p>
      <w:pPr>
        <w:pStyle w:val="ListNumber"/>
        <w:spacing w:after="60"/>
      </w:pPr>
      <w:r>
        <w:rPr>
          <w:b/>
          <w:i w:val="0"/>
          <w:sz w:val="21"/>
        </w:rPr>
        <w:t>Buyer entity mismatch.</w:t>
      </w:r>
      <w:r>
        <w:rPr>
          <w:b w:val="0"/>
          <w:i w:val="0"/>
          <w:sz w:val="21"/>
        </w:rPr>
        <w:t xml:space="preserve"> The PSA Buyer is </w:t>
      </w:r>
      <w:r>
        <w:rPr>
          <w:b/>
          <w:i w:val="0"/>
          <w:sz w:val="21"/>
        </w:rPr>
        <w:t>Bridgewater Capital Partners LLC</w:t>
      </w:r>
      <w:r>
        <w:rPr>
          <w:b w:val="0"/>
          <w:i w:val="0"/>
          <w:sz w:val="21"/>
        </w:rPr>
        <w:t xml:space="preserve"> (Delaware), but the Phase I client, the estoppel form (Exhibit E), the Buyer notice address (§15.2) and your instructions all refer to </w:t>
      </w:r>
      <w:r>
        <w:rPr>
          <w:b/>
          <w:i w:val="0"/>
          <w:sz w:val="21"/>
        </w:rPr>
        <w:t>Calverley Capital Partners LLC</w:t>
      </w:r>
      <w:r>
        <w:rPr>
          <w:b w:val="0"/>
          <w:i w:val="0"/>
          <w:sz w:val="21"/>
        </w:rPr>
        <w:t>. This must be reconciled immediately; it affects environmental reliance/CERCLA defenses, estoppel addressees, the affiliate-assignment test and lender documentation (Flag 1).</w:t>
      </w:r>
    </w:p>
    <w:p>
      <w:pPr>
        <w:pStyle w:val="ListNumber"/>
        <w:spacing w:after="60"/>
      </w:pPr>
      <w:r>
        <w:rPr>
          <w:b/>
          <w:i w:val="0"/>
          <w:sz w:val="21"/>
        </w:rPr>
        <w:t>Deposits are NOT fully protected if financing fails.</w:t>
      </w:r>
      <w:r>
        <w:rPr>
          <w:b w:val="0"/>
          <w:i w:val="0"/>
          <w:sz w:val="21"/>
        </w:rPr>
        <w:t xml:space="preserve"> The $1,500,000 Additional Deposit is due </w:t>
      </w:r>
      <w:r>
        <w:rPr>
          <w:b/>
          <w:i w:val="0"/>
          <w:sz w:val="21"/>
        </w:rPr>
        <w:t>November 29, 2024</w:t>
      </w:r>
      <w:r>
        <w:rPr>
          <w:b w:val="0"/>
          <w:i w:val="0"/>
          <w:sz w:val="21"/>
        </w:rPr>
        <w:t xml:space="preserve">, one week before the </w:t>
      </w:r>
      <w:r>
        <w:rPr>
          <w:b/>
          <w:i w:val="0"/>
          <w:sz w:val="21"/>
        </w:rPr>
        <w:t>December 6, 2024</w:t>
      </w:r>
      <w:r>
        <w:rPr>
          <w:b w:val="0"/>
          <w:i w:val="0"/>
          <w:sz w:val="21"/>
        </w:rPr>
        <w:t xml:space="preserve"> Financing Contingency Deadline, but a financing termination under §10.2(b) returns only the </w:t>
      </w:r>
      <w:r>
        <w:rPr>
          <w:b/>
          <w:i w:val="0"/>
          <w:sz w:val="21"/>
        </w:rPr>
        <w:t>Initial Deposit</w:t>
      </w:r>
      <w:r>
        <w:rPr>
          <w:b w:val="0"/>
          <w:i w:val="0"/>
          <w:sz w:val="21"/>
        </w:rPr>
        <w:t xml:space="preserve"> ($2,000,000). Every other Buyer termination right returns the full Deposit. As drafted, $1.5M (plus interest) is at risk on a financing failure (Flag 2).</w:t>
      </w:r>
    </w:p>
    <w:p>
      <w:pPr>
        <w:pStyle w:val="ListNumber"/>
        <w:spacing w:after="60"/>
      </w:pPr>
      <w:r>
        <w:rPr>
          <w:b/>
          <w:i w:val="0"/>
          <w:sz w:val="21"/>
        </w:rPr>
        <w:t>Environmental indemnity is inadequate for REC-1.</w:t>
      </w:r>
      <w:r>
        <w:rPr>
          <w:b w:val="0"/>
          <w:i w:val="0"/>
          <w:sz w:val="21"/>
        </w:rPr>
        <w:t xml:space="preserve"> The Phase I identifies a REC (PCE groundwater migration from the former Reston Village Cleaners parcel toward Building C) with a remediation range of several hundred thousand dollars to over $5,000,000, and over $10,000,000 where vapor intrusion mitigation is needed. Seller’s indemnity (§8.4) is capped at </w:t>
      </w:r>
      <w:r>
        <w:rPr>
          <w:b/>
          <w:i w:val="0"/>
          <w:sz w:val="21"/>
        </w:rPr>
        <w:t>$3,000,000</w:t>
      </w:r>
      <w:r>
        <w:rPr>
          <w:b w:val="0"/>
          <w:i w:val="0"/>
          <w:sz w:val="21"/>
        </w:rPr>
        <w:t xml:space="preserve"> (3.4% of price) and survives only </w:t>
      </w:r>
      <w:r>
        <w:rPr>
          <w:b/>
          <w:i w:val="0"/>
          <w:sz w:val="21"/>
        </w:rPr>
        <w:t>36 months</w:t>
      </w:r>
      <w:r>
        <w:rPr>
          <w:b w:val="0"/>
          <w:i w:val="0"/>
          <w:sz w:val="21"/>
        </w:rPr>
        <w:t xml:space="preserve"> (to January 15, 2028), with no escrow or creditworthy backstop from a single-asset Seller. The environmental representation (§7.1(k)) carves out everything disclosed in the Phase I, and the §8.3 release waives all other environmental claims (Flag 3).</w:t>
      </w:r>
    </w:p>
    <w:p>
      <w:pPr>
        <w:pStyle w:val="ListNumber"/>
        <w:spacing w:after="60"/>
      </w:pPr>
      <w:r>
        <w:rPr>
          <w:b/>
          <w:i w:val="0"/>
          <w:sz w:val="21"/>
        </w:rPr>
        <w:t>The Phase II cannot be completed within the Due Diligence Period.</w:t>
      </w:r>
      <w:r>
        <w:rPr>
          <w:b w:val="0"/>
          <w:i w:val="0"/>
          <w:sz w:val="21"/>
        </w:rPr>
        <w:t xml:space="preserve"> Clearfield needs 10–14 BD to mobilize plus 4–6 weeks after fieldwork for results — realistically early-to-mid December 2024 even if authorized now, i.e., after DD expiry and after the Additional Deposit goes hard. An extension or a stand-alone environmental contingency is needed (Flag 4). Separately, the Phase I’s July 15, 2024 database search ages out of the 180-day AAI window on </w:t>
      </w:r>
      <w:r>
        <w:rPr>
          <w:b/>
          <w:i w:val="0"/>
          <w:sz w:val="21"/>
        </w:rPr>
        <w:t>January 11, 2025</w:t>
      </w:r>
      <w:r>
        <w:rPr>
          <w:b w:val="0"/>
          <w:i w:val="0"/>
          <w:sz w:val="21"/>
        </w:rPr>
        <w:t>, before the January 15 Closing; an update is needed to preserve CERCLA landowner defenses (Flag 5).</w:t>
      </w:r>
    </w:p>
    <w:p>
      <w:pPr>
        <w:pStyle w:val="ListNumber"/>
        <w:spacing w:after="60"/>
      </w:pPr>
      <w:r>
        <w:rPr>
          <w:b/>
          <w:i w:val="0"/>
          <w:sz w:val="21"/>
        </w:rPr>
        <w:t>Estoppel/SNDA conditions are misaligned with the lender.</w:t>
      </w:r>
      <w:r>
        <w:rPr>
          <w:b w:val="0"/>
          <w:i w:val="0"/>
          <w:sz w:val="21"/>
        </w:rPr>
        <w:t xml:space="preserve"> Estoppels are required from tenants holding 80% of leased SF (206,512 of 258,140 SF), which makes </w:t>
      </w:r>
      <w:r>
        <w:rPr>
          <w:b/>
          <w:i w:val="0"/>
          <w:sz w:val="21"/>
        </w:rPr>
        <w:t>Valerian Defense Systems’ estoppel effectively mandatory</w:t>
      </w:r>
      <w:r>
        <w:rPr>
          <w:b w:val="0"/>
          <w:i w:val="0"/>
          <w:sz w:val="21"/>
        </w:rPr>
        <w:t xml:space="preserve"> (the other 13 tenants total only 75.8%). SNDAs are expressly </w:t>
      </w:r>
      <w:r>
        <w:rPr>
          <w:b/>
          <w:i w:val="0"/>
          <w:sz w:val="21"/>
        </w:rPr>
        <w:t>not</w:t>
      </w:r>
      <w:r>
        <w:rPr>
          <w:b w:val="0"/>
          <w:i w:val="0"/>
          <w:sz w:val="21"/>
        </w:rPr>
        <w:t xml:space="preserve"> a closing condition, although Pinnacle will likely require them from the five tenants over 15,000 RSF (70.3% of leased SF) — after the financing contingency has expired (Flags 6–7).</w:t>
      </w:r>
    </w:p>
    <w:p>
      <w:pPr>
        <w:pStyle w:val="ListNumber"/>
        <w:spacing w:after="60"/>
      </w:pPr>
      <w:r>
        <w:rPr>
          <w:b/>
          <w:i w:val="0"/>
          <w:sz w:val="21"/>
        </w:rPr>
        <w:t>SPE assignment works but needs clean-up.</w:t>
      </w:r>
      <w:r>
        <w:rPr>
          <w:b w:val="0"/>
          <w:i w:val="0"/>
          <w:sz w:val="21"/>
        </w:rPr>
        <w:t xml:space="preserve"> §14.3 permits assignment to an “affiliate or designee” without consent on 10 BD’ notice (by </w:t>
      </w:r>
      <w:r>
        <w:rPr>
          <w:b/>
          <w:i w:val="0"/>
          <w:sz w:val="21"/>
        </w:rPr>
        <w:t>December 31, 2024</w:t>
      </w:r>
      <w:r>
        <w:rPr>
          <w:b w:val="0"/>
          <w:i w:val="0"/>
          <w:sz w:val="21"/>
        </w:rPr>
        <w:t xml:space="preserve"> for a January 15 Closing), but the affiliate test is measured against Bridgewater, “designee” is undefined, and the original Buyer remains jointly and severally liable after Closing for all obligations (Flag 9).</w:t>
      </w:r>
    </w:p>
    <w:p>
      <w:pPr>
        <w:pStyle w:val="ListNumber"/>
        <w:spacing w:after="60"/>
      </w:pPr>
      <w:r>
        <w:rPr>
          <w:b/>
          <w:i w:val="0"/>
          <w:sz w:val="21"/>
        </w:rPr>
        <w:t>Other key gaps:</w:t>
      </w:r>
      <w:r>
        <w:rPr>
          <w:b w:val="0"/>
          <w:i w:val="0"/>
          <w:sz w:val="21"/>
        </w:rPr>
        <w:t xml:space="preserve"> no interim operating covenants (leasing, contracts, encumbrances) (Flag 8); mandatory mediation can consume the 60-day specific-performance filing window (Flag 10); unilateral closing extensions by either party, with the final extension landing on Saturday, March 1, 2025 (Flag 11); the Exhibit A legal description does not mathematically close on our check (Flag 13); and three non-terminable service contracts totaling $409,200/year will bind Buyer (Flag 18).</w:t>
      </w:r>
    </w:p>
    <w:p>
      <w:pPr>
        <w:spacing w:after="80"/>
      </w:pPr>
      <w:r>
        <w:rPr>
          <w:b/>
          <w:i w:val="0"/>
          <w:sz w:val="21"/>
        </w:rPr>
        <w:t>Bottom line for the IC:</w:t>
      </w:r>
      <w:r>
        <w:rPr>
          <w:b w:val="0"/>
          <w:i w:val="0"/>
          <w:sz w:val="21"/>
        </w:rPr>
        <w:t xml:space="preserve"> the economic terms are as presented (price $87,750,000; $3,500,000 total deposit; $1,722,320 of fixed Buyer credits; up to $57,037,500 of Pinnacle debt at 65% LTV). We recommend the IC approval be conditioned on (i) resolution of the Buyer entity issue, (ii) a PSA amendment making the full Deposit refundable on financing failure (or deferring the Additional Deposit), and (iii) either an extension of the DD Period/environmental contingency to accommodate the Phase II or materially enhanced environmental protections (higher cap, longer survival, escrow/holdback and/or PLL insurance).</w:t>
      </w:r>
    </w:p>
    <w:p>
      <w:pPr>
        <w:pStyle w:val="Heading1"/>
      </w:pPr>
      <w:r>
        <w:t>Part 2 — Critical Dates and Deadlines</w:t>
      </w:r>
    </w:p>
    <w:p>
      <w:pPr>
        <w:spacing w:after="80"/>
      </w:pPr>
      <w:r>
        <w:rPr>
          <w:b w:val="0"/>
          <w:i w:val="0"/>
          <w:sz w:val="19"/>
        </w:rPr>
        <w:t>All day counts below were independently recomputed from the October 7, 2024 Effective Date (a Monday). Items marked † are computed by HMS; the PSA states no express date.</w:t>
      </w:r>
    </w:p>
    <w:tbl>
      <w:tblPr>
        <w:tblStyle w:val="TableGrid"/>
        <w:tblW w:type="dxa" w:w="9648"/>
        <w:jc w:val="center"/>
        <w:tblLayout w:type="fixed"/>
        <w:tblLook w:firstColumn="1" w:firstRow="1" w:lastColumn="0" w:lastRow="0" w:noHBand="0" w:noVBand="1" w:val="04A0"/>
        <w:tblLayout w:type="fixed"/>
      </w:tblPr>
      <w:tblGrid>
        <w:gridCol w:w="1800"/>
        <w:gridCol w:w="2520"/>
        <w:gridCol w:w="1368"/>
        <w:gridCol w:w="3960"/>
      </w:tblGrid>
      <w:tr>
        <w:trPr>
          <w:tblHeader w:val="true"/>
        </w:trPr>
        <w:tc>
          <w:tcPr>
            <w:tcW w:type="dxa" w:w="1800"/>
            <w:shd w:val="clear" w:color="auto" w:fill="1F3864"/>
          </w:tcPr>
          <w:p>
            <w:r/>
            <w:r>
              <w:rPr>
                <w:b/>
                <w:color w:val="FFFFFF"/>
                <w:sz w:val="17"/>
              </w:rPr>
              <w:t>Date</w:t>
            </w:r>
          </w:p>
        </w:tc>
        <w:tc>
          <w:tcPr>
            <w:tcW w:type="dxa" w:w="2520"/>
            <w:shd w:val="clear" w:color="auto" w:fill="1F3864"/>
          </w:tcPr>
          <w:p>
            <w:r/>
            <w:r>
              <w:rPr>
                <w:b/>
                <w:color w:val="FFFFFF"/>
                <w:sz w:val="17"/>
              </w:rPr>
              <w:t>Event</w:t>
            </w:r>
          </w:p>
        </w:tc>
        <w:tc>
          <w:tcPr>
            <w:tcW w:type="dxa" w:w="1368"/>
            <w:shd w:val="clear" w:color="auto" w:fill="1F3864"/>
          </w:tcPr>
          <w:p>
            <w:r/>
            <w:r>
              <w:rPr>
                <w:b/>
                <w:color w:val="FFFFFF"/>
                <w:sz w:val="17"/>
              </w:rPr>
              <w:t>PSA §</w:t>
            </w:r>
          </w:p>
        </w:tc>
        <w:tc>
          <w:tcPr>
            <w:tcW w:type="dxa" w:w="3960"/>
            <w:shd w:val="clear" w:color="auto" w:fill="1F3864"/>
          </w:tcPr>
          <w:p>
            <w:r/>
            <w:r>
              <w:rPr>
                <w:b/>
                <w:color w:val="FFFFFF"/>
                <w:sz w:val="17"/>
              </w:rPr>
              <w:t>Notes</w:t>
            </w:r>
          </w:p>
        </w:tc>
      </w:tr>
      <w:tr>
        <w:tc>
          <w:tcPr>
            <w:tcW w:type="dxa" w:w="1800"/>
          </w:tcPr>
          <w:p>
            <w:pPr>
              <w:spacing w:after="20"/>
            </w:pPr>
            <w:r/>
            <w:r>
              <w:rPr>
                <w:b w:val="0"/>
                <w:i w:val="0"/>
                <w:sz w:val="17"/>
              </w:rPr>
              <w:t>Oct 7, 2024 (Mon)</w:t>
            </w:r>
          </w:p>
        </w:tc>
        <w:tc>
          <w:tcPr>
            <w:tcW w:type="dxa" w:w="2520"/>
          </w:tcPr>
          <w:p>
            <w:pPr>
              <w:spacing w:after="20"/>
            </w:pPr>
            <w:r/>
            <w:r>
              <w:rPr>
                <w:b w:val="0"/>
                <w:i w:val="0"/>
                <w:sz w:val="17"/>
              </w:rPr>
              <w:t>Effective Date</w:t>
            </w:r>
          </w:p>
        </w:tc>
        <w:tc>
          <w:tcPr>
            <w:tcW w:type="dxa" w:w="1368"/>
          </w:tcPr>
          <w:p>
            <w:pPr>
              <w:spacing w:after="20"/>
            </w:pPr>
            <w:r/>
            <w:r>
              <w:rPr>
                <w:b w:val="0"/>
                <w:i w:val="0"/>
                <w:sz w:val="17"/>
              </w:rPr>
              <w:t>§1.1</w:t>
            </w:r>
          </w:p>
        </w:tc>
        <w:tc>
          <w:tcPr>
            <w:tcW w:type="dxa" w:w="3960"/>
          </w:tcPr>
          <w:p>
            <w:pPr>
              <w:spacing w:after="20"/>
            </w:pPr>
            <w:r/>
            <w:r>
              <w:rPr>
                <w:b w:val="0"/>
                <w:i w:val="0"/>
                <w:sz w:val="17"/>
              </w:rPr>
              <w:t>PSA fully executed (signature blocks in our copy are blank — obtain fully executed signature pages; Flag 29).</w:t>
            </w:r>
          </w:p>
        </w:tc>
      </w:tr>
      <w:tr>
        <w:tc>
          <w:tcPr>
            <w:tcW w:type="dxa" w:w="1800"/>
            <w:shd w:val="clear" w:color="auto" w:fill="EEF2F8"/>
          </w:tcPr>
          <w:p>
            <w:pPr>
              <w:spacing w:after="20"/>
            </w:pPr>
            <w:r/>
            <w:r>
              <w:rPr>
                <w:b w:val="0"/>
                <w:i w:val="0"/>
                <w:sz w:val="17"/>
              </w:rPr>
              <w:t>Oct 10, 2024 (Thu)</w:t>
            </w:r>
          </w:p>
        </w:tc>
        <w:tc>
          <w:tcPr>
            <w:tcW w:type="dxa" w:w="2520"/>
            <w:shd w:val="clear" w:color="auto" w:fill="EEF2F8"/>
          </w:tcPr>
          <w:p>
            <w:pPr>
              <w:spacing w:after="20"/>
            </w:pPr>
            <w:r/>
            <w:r>
              <w:rPr>
                <w:b w:val="0"/>
                <w:i w:val="0"/>
                <w:sz w:val="17"/>
              </w:rPr>
              <w:t>Initial Deposit — $2,000,000</w:t>
            </w:r>
          </w:p>
        </w:tc>
        <w:tc>
          <w:tcPr>
            <w:tcW w:type="dxa" w:w="1368"/>
            <w:shd w:val="clear" w:color="auto" w:fill="EEF2F8"/>
          </w:tcPr>
          <w:p>
            <w:pPr>
              <w:spacing w:after="20"/>
            </w:pPr>
            <w:r/>
            <w:r>
              <w:rPr>
                <w:b w:val="0"/>
                <w:i w:val="0"/>
                <w:sz w:val="17"/>
              </w:rPr>
              <w:t>§§1.1, 3.2</w:t>
            </w:r>
          </w:p>
        </w:tc>
        <w:tc>
          <w:tcPr>
            <w:tcW w:type="dxa" w:w="3960"/>
            <w:shd w:val="clear" w:color="auto" w:fill="EEF2F8"/>
          </w:tcPr>
          <w:p>
            <w:pPr>
              <w:spacing w:after="20"/>
            </w:pPr>
            <w:r/>
            <w:r>
              <w:rPr>
                <w:b w:val="0"/>
                <w:i w:val="0"/>
                <w:sz w:val="17"/>
              </w:rPr>
              <w:t>3 BD after Effective Date; wire to Commonwealth Title &amp; Escrow LLC (Jennifer Walsh). Verbally confirm wire instructions.</w:t>
            </w:r>
          </w:p>
        </w:tc>
      </w:tr>
      <w:tr>
        <w:tc>
          <w:tcPr>
            <w:tcW w:type="dxa" w:w="1800"/>
          </w:tcPr>
          <w:p>
            <w:pPr>
              <w:spacing w:after="20"/>
            </w:pPr>
            <w:r/>
            <w:r>
              <w:rPr>
                <w:b w:val="0"/>
                <w:i w:val="0"/>
                <w:sz w:val="17"/>
              </w:rPr>
              <w:t>Oct 14/15, 2024†</w:t>
            </w:r>
          </w:p>
        </w:tc>
        <w:tc>
          <w:tcPr>
            <w:tcW w:type="dxa" w:w="2520"/>
          </w:tcPr>
          <w:p>
            <w:pPr>
              <w:spacing w:after="20"/>
            </w:pPr>
            <w:r/>
            <w:r>
              <w:rPr>
                <w:b w:val="0"/>
                <w:i w:val="0"/>
                <w:sz w:val="17"/>
              </w:rPr>
              <w:t>Seller document deliveries</w:t>
            </w:r>
          </w:p>
        </w:tc>
        <w:tc>
          <w:tcPr>
            <w:tcW w:type="dxa" w:w="1368"/>
          </w:tcPr>
          <w:p>
            <w:pPr>
              <w:spacing w:after="20"/>
            </w:pPr>
            <w:r/>
            <w:r>
              <w:rPr>
                <w:b w:val="0"/>
                <w:i w:val="0"/>
                <w:sz w:val="17"/>
              </w:rPr>
              <w:t>§4.2</w:t>
            </w:r>
          </w:p>
        </w:tc>
        <w:tc>
          <w:tcPr>
            <w:tcW w:type="dxa" w:w="3960"/>
          </w:tcPr>
          <w:p>
            <w:pPr>
              <w:spacing w:after="20"/>
            </w:pPr>
            <w:r/>
            <w:r>
              <w:rPr>
                <w:b w:val="0"/>
                <w:i w:val="0"/>
                <w:sz w:val="17"/>
              </w:rPr>
              <w:t>5 BD after Effective Date (Oct 14 if Columbus Day counts as a BD; Oct 15 if not). Confirm data room complete.</w:t>
            </w:r>
          </w:p>
        </w:tc>
      </w:tr>
      <w:tr>
        <w:tc>
          <w:tcPr>
            <w:tcW w:type="dxa" w:w="1800"/>
            <w:shd w:val="clear" w:color="auto" w:fill="EEF2F8"/>
          </w:tcPr>
          <w:p>
            <w:pPr>
              <w:spacing w:after="20"/>
            </w:pPr>
            <w:r/>
            <w:r>
              <w:rPr>
                <w:b w:val="0"/>
                <w:i w:val="0"/>
                <w:sz w:val="17"/>
              </w:rPr>
              <w:t>Nov 14, 2024 (Thu)</w:t>
            </w:r>
          </w:p>
        </w:tc>
        <w:tc>
          <w:tcPr>
            <w:tcW w:type="dxa" w:w="2520"/>
            <w:shd w:val="clear" w:color="auto" w:fill="EEF2F8"/>
          </w:tcPr>
          <w:p>
            <w:pPr>
              <w:spacing w:after="20"/>
            </w:pPr>
            <w:r/>
            <w:r>
              <w:rPr>
                <w:b w:val="0"/>
                <w:i w:val="0"/>
                <w:sz w:val="17"/>
              </w:rPr>
              <w:t>Title Objection Deadline</w:t>
            </w:r>
          </w:p>
        </w:tc>
        <w:tc>
          <w:tcPr>
            <w:tcW w:type="dxa" w:w="1368"/>
            <w:shd w:val="clear" w:color="auto" w:fill="EEF2F8"/>
          </w:tcPr>
          <w:p>
            <w:pPr>
              <w:spacing w:after="20"/>
            </w:pPr>
            <w:r/>
            <w:r>
              <w:rPr>
                <w:b w:val="0"/>
                <w:i w:val="0"/>
                <w:sz w:val="17"/>
              </w:rPr>
              <w:t>§§1.1, 5.2</w:t>
            </w:r>
          </w:p>
        </w:tc>
        <w:tc>
          <w:tcPr>
            <w:tcW w:type="dxa" w:w="3960"/>
            <w:shd w:val="clear" w:color="auto" w:fill="EEF2F8"/>
          </w:tcPr>
          <w:p>
            <w:pPr>
              <w:spacing w:after="20"/>
            </w:pPr>
            <w:r/>
            <w:r>
              <w:rPr>
                <w:b w:val="0"/>
                <w:i w:val="0"/>
                <w:sz w:val="17"/>
              </w:rPr>
              <w:t>38 days after Effective Date. Unobjected matters become Permitted Exceptions.</w:t>
            </w:r>
          </w:p>
        </w:tc>
      </w:tr>
      <w:tr>
        <w:tc>
          <w:tcPr>
            <w:tcW w:type="dxa" w:w="1800"/>
          </w:tcPr>
          <w:p>
            <w:pPr>
              <w:spacing w:after="20"/>
            </w:pPr>
            <w:r/>
            <w:r>
              <w:rPr>
                <w:b w:val="0"/>
                <w:i w:val="0"/>
                <w:sz w:val="17"/>
              </w:rPr>
              <w:t>Nov 21, 2024 (Thu) 5:00 p.m. ET</w:t>
            </w:r>
          </w:p>
        </w:tc>
        <w:tc>
          <w:tcPr>
            <w:tcW w:type="dxa" w:w="2520"/>
          </w:tcPr>
          <w:p>
            <w:pPr>
              <w:spacing w:after="20"/>
            </w:pPr>
            <w:r/>
            <w:r>
              <w:rPr>
                <w:b w:val="0"/>
                <w:i w:val="0"/>
                <w:sz w:val="17"/>
              </w:rPr>
              <w:t>Due Diligence Period expires</w:t>
            </w:r>
          </w:p>
        </w:tc>
        <w:tc>
          <w:tcPr>
            <w:tcW w:type="dxa" w:w="1368"/>
          </w:tcPr>
          <w:p>
            <w:pPr>
              <w:spacing w:after="20"/>
            </w:pPr>
            <w:r/>
            <w:r>
              <w:rPr>
                <w:b w:val="0"/>
                <w:i w:val="0"/>
                <w:sz w:val="17"/>
              </w:rPr>
              <w:t>§§1.1, 4.1, 4.4, 10.1</w:t>
            </w:r>
          </w:p>
        </w:tc>
        <w:tc>
          <w:tcPr>
            <w:tcW w:type="dxa" w:w="3960"/>
          </w:tcPr>
          <w:p>
            <w:pPr>
              <w:spacing w:after="20"/>
            </w:pPr>
            <w:r/>
            <w:r>
              <w:rPr>
                <w:b w:val="0"/>
                <w:i w:val="0"/>
                <w:sz w:val="17"/>
              </w:rPr>
              <w:t>45 days after Effective Date. Last moment to terminate for any reason with return of Initial Deposit.</w:t>
            </w:r>
          </w:p>
        </w:tc>
      </w:tr>
      <w:tr>
        <w:tc>
          <w:tcPr>
            <w:tcW w:type="dxa" w:w="1800"/>
            <w:shd w:val="clear" w:color="auto" w:fill="EEF2F8"/>
          </w:tcPr>
          <w:p>
            <w:pPr>
              <w:spacing w:after="20"/>
            </w:pPr>
            <w:r/>
            <w:r>
              <w:rPr>
                <w:b w:val="0"/>
                <w:i w:val="0"/>
                <w:sz w:val="17"/>
              </w:rPr>
              <w:t>Nov 29, 2024 (Fri)</w:t>
            </w:r>
          </w:p>
        </w:tc>
        <w:tc>
          <w:tcPr>
            <w:tcW w:type="dxa" w:w="2520"/>
            <w:shd w:val="clear" w:color="auto" w:fill="EEF2F8"/>
          </w:tcPr>
          <w:p>
            <w:pPr>
              <w:spacing w:after="20"/>
            </w:pPr>
            <w:r/>
            <w:r>
              <w:rPr>
                <w:b w:val="0"/>
                <w:i w:val="0"/>
                <w:sz w:val="17"/>
              </w:rPr>
              <w:t>Additional Deposit — $1,500,000</w:t>
            </w:r>
          </w:p>
        </w:tc>
        <w:tc>
          <w:tcPr>
            <w:tcW w:type="dxa" w:w="1368"/>
            <w:shd w:val="clear" w:color="auto" w:fill="EEF2F8"/>
          </w:tcPr>
          <w:p>
            <w:pPr>
              <w:spacing w:after="20"/>
            </w:pPr>
            <w:r/>
            <w:r>
              <w:rPr>
                <w:b w:val="0"/>
                <w:i w:val="0"/>
                <w:sz w:val="17"/>
              </w:rPr>
              <w:t>§§1.1, 3.3</w:t>
            </w:r>
          </w:p>
        </w:tc>
        <w:tc>
          <w:tcPr>
            <w:tcW w:type="dxa" w:w="3960"/>
            <w:shd w:val="clear" w:color="auto" w:fill="EEF2F8"/>
          </w:tcPr>
          <w:p>
            <w:pPr>
              <w:spacing w:after="20"/>
            </w:pPr>
            <w:r/>
            <w:r>
              <w:rPr>
                <w:b w:val="0"/>
                <w:i w:val="0"/>
                <w:sz w:val="17"/>
              </w:rPr>
              <w:t>5 BD after DD expiry (Thanksgiving Nov 28 excluded). Total Deposit becomes $3,500,000.</w:t>
            </w:r>
          </w:p>
        </w:tc>
      </w:tr>
      <w:tr>
        <w:tc>
          <w:tcPr>
            <w:tcW w:type="dxa" w:w="1800"/>
          </w:tcPr>
          <w:p>
            <w:pPr>
              <w:spacing w:after="20"/>
            </w:pPr>
            <w:r/>
            <w:r>
              <w:rPr>
                <w:b w:val="0"/>
                <w:i w:val="0"/>
                <w:sz w:val="17"/>
              </w:rPr>
              <w:t>~Dec 6, 2024†</w:t>
            </w:r>
          </w:p>
        </w:tc>
        <w:tc>
          <w:tcPr>
            <w:tcW w:type="dxa" w:w="2520"/>
          </w:tcPr>
          <w:p>
            <w:pPr>
              <w:spacing w:after="20"/>
            </w:pPr>
            <w:r/>
            <w:r>
              <w:rPr>
                <w:b w:val="0"/>
                <w:i w:val="0"/>
                <w:sz w:val="17"/>
              </w:rPr>
              <w:t>Seller title cure response</w:t>
            </w:r>
          </w:p>
        </w:tc>
        <w:tc>
          <w:tcPr>
            <w:tcW w:type="dxa" w:w="1368"/>
          </w:tcPr>
          <w:p>
            <w:pPr>
              <w:spacing w:after="20"/>
            </w:pPr>
            <w:r/>
            <w:r>
              <w:rPr>
                <w:b w:val="0"/>
                <w:i w:val="0"/>
                <w:sz w:val="17"/>
              </w:rPr>
              <w:t>§5.3</w:t>
            </w:r>
          </w:p>
        </w:tc>
        <w:tc>
          <w:tcPr>
            <w:tcW w:type="dxa" w:w="3960"/>
          </w:tcPr>
          <w:p>
            <w:pPr>
              <w:spacing w:after="20"/>
            </w:pPr>
            <w:r/>
            <w:r>
              <w:rPr>
                <w:b w:val="0"/>
                <w:i w:val="0"/>
                <w:sz w:val="17"/>
              </w:rPr>
              <w:t>15 BD after Seller’s receipt of objections (if delivered Nov 14). No deemed election if Seller is silent (Flag 12).</w:t>
            </w:r>
          </w:p>
        </w:tc>
      </w:tr>
      <w:tr>
        <w:tc>
          <w:tcPr>
            <w:tcW w:type="dxa" w:w="1800"/>
            <w:shd w:val="clear" w:color="auto" w:fill="EEF2F8"/>
          </w:tcPr>
          <w:p>
            <w:pPr>
              <w:spacing w:after="20"/>
            </w:pPr>
            <w:r/>
            <w:r>
              <w:rPr>
                <w:b w:val="0"/>
                <w:i w:val="0"/>
                <w:sz w:val="17"/>
              </w:rPr>
              <w:t>Dec 6, 2024 (Fri) 5:00 p.m. ET</w:t>
            </w:r>
          </w:p>
        </w:tc>
        <w:tc>
          <w:tcPr>
            <w:tcW w:type="dxa" w:w="2520"/>
            <w:shd w:val="clear" w:color="auto" w:fill="EEF2F8"/>
          </w:tcPr>
          <w:p>
            <w:pPr>
              <w:spacing w:after="20"/>
            </w:pPr>
            <w:r/>
            <w:r>
              <w:rPr>
                <w:b w:val="0"/>
                <w:i w:val="0"/>
                <w:sz w:val="17"/>
              </w:rPr>
              <w:t>Financing Contingency Deadline</w:t>
            </w:r>
          </w:p>
        </w:tc>
        <w:tc>
          <w:tcPr>
            <w:tcW w:type="dxa" w:w="1368"/>
            <w:shd w:val="clear" w:color="auto" w:fill="EEF2F8"/>
          </w:tcPr>
          <w:p>
            <w:pPr>
              <w:spacing w:after="20"/>
            </w:pPr>
            <w:r/>
            <w:r>
              <w:rPr>
                <w:b w:val="0"/>
                <w:i w:val="0"/>
                <w:sz w:val="17"/>
              </w:rPr>
              <w:t>§§1.1, 10.2</w:t>
            </w:r>
          </w:p>
        </w:tc>
        <w:tc>
          <w:tcPr>
            <w:tcW w:type="dxa" w:w="3960"/>
            <w:shd w:val="clear" w:color="auto" w:fill="EEF2F8"/>
          </w:tcPr>
          <w:p>
            <w:pPr>
              <w:spacing w:after="20"/>
            </w:pPr>
            <w:r/>
            <w:r>
              <w:rPr>
                <w:b w:val="0"/>
                <w:i w:val="0"/>
                <w:sz w:val="17"/>
              </w:rPr>
              <w:t>60 days after Effective Date. Failure to give notice = irrevocable waiver of financing contingency.</w:t>
            </w:r>
          </w:p>
        </w:tc>
      </w:tr>
      <w:tr>
        <w:tc>
          <w:tcPr>
            <w:tcW w:type="dxa" w:w="1800"/>
          </w:tcPr>
          <w:p>
            <w:pPr>
              <w:spacing w:after="20"/>
            </w:pPr>
            <w:r/>
            <w:r>
              <w:rPr>
                <w:b w:val="0"/>
                <w:i w:val="0"/>
                <w:sz w:val="17"/>
              </w:rPr>
              <w:t>~Dec 20, 2024†</w:t>
            </w:r>
          </w:p>
        </w:tc>
        <w:tc>
          <w:tcPr>
            <w:tcW w:type="dxa" w:w="2520"/>
          </w:tcPr>
          <w:p>
            <w:pPr>
              <w:spacing w:after="20"/>
            </w:pPr>
            <w:r/>
            <w:r>
              <w:rPr>
                <w:b w:val="0"/>
                <w:i w:val="0"/>
                <w:sz w:val="17"/>
              </w:rPr>
              <w:t>Buyer title election (waive or terminate)</w:t>
            </w:r>
          </w:p>
        </w:tc>
        <w:tc>
          <w:tcPr>
            <w:tcW w:type="dxa" w:w="1368"/>
          </w:tcPr>
          <w:p>
            <w:pPr>
              <w:spacing w:after="20"/>
            </w:pPr>
            <w:r/>
            <w:r>
              <w:rPr>
                <w:b w:val="0"/>
                <w:i w:val="0"/>
                <w:sz w:val="17"/>
              </w:rPr>
              <w:t>§5.3</w:t>
            </w:r>
          </w:p>
        </w:tc>
        <w:tc>
          <w:tcPr>
            <w:tcW w:type="dxa" w:w="3960"/>
          </w:tcPr>
          <w:p>
            <w:pPr>
              <w:spacing w:after="20"/>
            </w:pPr>
            <w:r/>
            <w:r>
              <w:rPr>
                <w:b w:val="0"/>
                <w:i w:val="0"/>
                <w:sz w:val="17"/>
              </w:rPr>
              <w:t>10 BD after receipt of Seller’s cure notice (if received Dec 6).</w:t>
            </w:r>
          </w:p>
        </w:tc>
      </w:tr>
      <w:tr>
        <w:tc>
          <w:tcPr>
            <w:tcW w:type="dxa" w:w="1800"/>
            <w:shd w:val="clear" w:color="auto" w:fill="EEF2F8"/>
          </w:tcPr>
          <w:p>
            <w:pPr>
              <w:spacing w:after="20"/>
            </w:pPr>
            <w:r/>
            <w:r>
              <w:rPr>
                <w:b w:val="0"/>
                <w:i w:val="0"/>
                <w:sz w:val="17"/>
              </w:rPr>
              <w:t>Dec 31, 2024†</w:t>
            </w:r>
          </w:p>
        </w:tc>
        <w:tc>
          <w:tcPr>
            <w:tcW w:type="dxa" w:w="2520"/>
            <w:shd w:val="clear" w:color="auto" w:fill="EEF2F8"/>
          </w:tcPr>
          <w:p>
            <w:pPr>
              <w:spacing w:after="20"/>
            </w:pPr>
            <w:r/>
            <w:r>
              <w:rPr>
                <w:b w:val="0"/>
                <w:i w:val="0"/>
                <w:sz w:val="17"/>
              </w:rPr>
              <w:t>Estoppel delivery deadline; SPE assignment notice deadline</w:t>
            </w:r>
          </w:p>
        </w:tc>
        <w:tc>
          <w:tcPr>
            <w:tcW w:type="dxa" w:w="1368"/>
            <w:shd w:val="clear" w:color="auto" w:fill="EEF2F8"/>
          </w:tcPr>
          <w:p>
            <w:pPr>
              <w:spacing w:after="20"/>
            </w:pPr>
            <w:r/>
            <w:r>
              <w:rPr>
                <w:b w:val="0"/>
                <w:i w:val="0"/>
                <w:sz w:val="17"/>
              </w:rPr>
              <w:t>§§9.3, 14.3(a)</w:t>
            </w:r>
          </w:p>
        </w:tc>
        <w:tc>
          <w:tcPr>
            <w:tcW w:type="dxa" w:w="3960"/>
            <w:shd w:val="clear" w:color="auto" w:fill="EEF2F8"/>
          </w:tcPr>
          <w:p>
            <w:pPr>
              <w:spacing w:after="20"/>
            </w:pPr>
            <w:r/>
            <w:r>
              <w:rPr>
                <w:b w:val="0"/>
                <w:i w:val="0"/>
                <w:sz w:val="17"/>
              </w:rPr>
              <w:t>10 BD before Jan 15, 2025 Closing (excluding Dec 25 and Jan 1). Both move if Closing Date moves.</w:t>
            </w:r>
          </w:p>
        </w:tc>
      </w:tr>
      <w:tr>
        <w:tc>
          <w:tcPr>
            <w:tcW w:type="dxa" w:w="1800"/>
          </w:tcPr>
          <w:p>
            <w:pPr>
              <w:spacing w:after="20"/>
            </w:pPr>
            <w:r/>
            <w:r>
              <w:rPr>
                <w:b w:val="0"/>
                <w:i w:val="0"/>
                <w:sz w:val="17"/>
              </w:rPr>
              <w:t>Jan 11, 2025†</w:t>
            </w:r>
          </w:p>
        </w:tc>
        <w:tc>
          <w:tcPr>
            <w:tcW w:type="dxa" w:w="2520"/>
          </w:tcPr>
          <w:p>
            <w:pPr>
              <w:spacing w:after="20"/>
            </w:pPr>
            <w:r/>
            <w:r>
              <w:rPr>
                <w:b w:val="0"/>
                <w:i w:val="0"/>
                <w:sz w:val="17"/>
              </w:rPr>
              <w:t>Phase I database component exceeds 180 days</w:t>
            </w:r>
          </w:p>
        </w:tc>
        <w:tc>
          <w:tcPr>
            <w:tcW w:type="dxa" w:w="1368"/>
          </w:tcPr>
          <w:p>
            <w:pPr>
              <w:spacing w:after="20"/>
            </w:pPr>
            <w:r/>
            <w:r>
              <w:rPr>
                <w:b w:val="0"/>
                <w:i w:val="0"/>
                <w:sz w:val="17"/>
              </w:rPr>
              <w:t>40 C.F.R. Part 312</w:t>
            </w:r>
          </w:p>
        </w:tc>
        <w:tc>
          <w:tcPr>
            <w:tcW w:type="dxa" w:w="3960"/>
          </w:tcPr>
          <w:p>
            <w:pPr>
              <w:spacing w:after="20"/>
            </w:pPr>
            <w:r/>
            <w:r>
              <w:rPr>
                <w:b w:val="0"/>
                <w:i w:val="0"/>
                <w:sz w:val="17"/>
              </w:rPr>
              <w:t>July 15, 2024 database search + 180 days; site visit (July 29–30) lapses Jan 25, 2025. Update required before Closing (Flag 5).</w:t>
            </w:r>
          </w:p>
        </w:tc>
      </w:tr>
      <w:tr>
        <w:tc>
          <w:tcPr>
            <w:tcW w:type="dxa" w:w="1800"/>
            <w:shd w:val="clear" w:color="auto" w:fill="EEF2F8"/>
          </w:tcPr>
          <w:p>
            <w:pPr>
              <w:spacing w:after="20"/>
            </w:pPr>
            <w:r/>
            <w:r>
              <w:rPr>
                <w:b w:val="0"/>
                <w:i w:val="0"/>
                <w:sz w:val="17"/>
              </w:rPr>
              <w:t>Jan 15, 2025 (Wed)</w:t>
            </w:r>
          </w:p>
        </w:tc>
        <w:tc>
          <w:tcPr>
            <w:tcW w:type="dxa" w:w="2520"/>
            <w:shd w:val="clear" w:color="auto" w:fill="EEF2F8"/>
          </w:tcPr>
          <w:p>
            <w:pPr>
              <w:spacing w:after="20"/>
            </w:pPr>
            <w:r/>
            <w:r>
              <w:rPr>
                <w:b w:val="0"/>
                <w:i w:val="0"/>
                <w:sz w:val="17"/>
              </w:rPr>
              <w:t>Scheduled Closing Date</w:t>
            </w:r>
          </w:p>
        </w:tc>
        <w:tc>
          <w:tcPr>
            <w:tcW w:type="dxa" w:w="1368"/>
            <w:shd w:val="clear" w:color="auto" w:fill="EEF2F8"/>
          </w:tcPr>
          <w:p>
            <w:pPr>
              <w:spacing w:after="20"/>
            </w:pPr>
            <w:r/>
            <w:r>
              <w:rPr>
                <w:b w:val="0"/>
                <w:i w:val="0"/>
                <w:sz w:val="17"/>
              </w:rPr>
              <w:t>§§1.1, 13.1</w:t>
            </w:r>
          </w:p>
        </w:tc>
        <w:tc>
          <w:tcPr>
            <w:tcW w:type="dxa" w:w="3960"/>
            <w:shd w:val="clear" w:color="auto" w:fill="EEF2F8"/>
          </w:tcPr>
          <w:p>
            <w:pPr>
              <w:spacing w:after="20"/>
            </w:pPr>
            <w:r/>
            <w:r>
              <w:rPr>
                <w:b w:val="0"/>
                <w:i w:val="0"/>
                <w:sz w:val="17"/>
              </w:rPr>
              <w:t>100 days after Effective Date; time is of the essence.</w:t>
            </w:r>
          </w:p>
        </w:tc>
      </w:tr>
      <w:tr>
        <w:tc>
          <w:tcPr>
            <w:tcW w:type="dxa" w:w="1800"/>
          </w:tcPr>
          <w:p>
            <w:pPr>
              <w:spacing w:after="20"/>
            </w:pPr>
            <w:r/>
            <w:r>
              <w:rPr>
                <w:b w:val="0"/>
                <w:i w:val="0"/>
                <w:sz w:val="17"/>
              </w:rPr>
              <w:t>Feb 14, 2025 (Fri)</w:t>
            </w:r>
          </w:p>
        </w:tc>
        <w:tc>
          <w:tcPr>
            <w:tcW w:type="dxa" w:w="2520"/>
          </w:tcPr>
          <w:p>
            <w:pPr>
              <w:spacing w:after="20"/>
            </w:pPr>
            <w:r/>
            <w:r>
              <w:rPr>
                <w:b w:val="0"/>
                <w:i w:val="0"/>
                <w:sz w:val="17"/>
              </w:rPr>
              <w:t>Outside Closing Date</w:t>
            </w:r>
          </w:p>
        </w:tc>
        <w:tc>
          <w:tcPr>
            <w:tcW w:type="dxa" w:w="1368"/>
          </w:tcPr>
          <w:p>
            <w:pPr>
              <w:spacing w:after="20"/>
            </w:pPr>
            <w:r/>
            <w:r>
              <w:rPr>
                <w:b w:val="0"/>
                <w:i w:val="0"/>
                <w:sz w:val="17"/>
              </w:rPr>
              <w:t>§§1.1, 13.5</w:t>
            </w:r>
          </w:p>
        </w:tc>
        <w:tc>
          <w:tcPr>
            <w:tcW w:type="dxa" w:w="3960"/>
          </w:tcPr>
          <w:p>
            <w:pPr>
              <w:spacing w:after="20"/>
            </w:pPr>
            <w:r/>
            <w:r>
              <w:rPr>
                <w:b w:val="0"/>
                <w:i w:val="0"/>
                <w:sz w:val="17"/>
              </w:rPr>
              <w:t>130 days after Effective Date; either party may extend Closing to this date by written notice.</w:t>
            </w:r>
          </w:p>
        </w:tc>
      </w:tr>
      <w:tr>
        <w:tc>
          <w:tcPr>
            <w:tcW w:type="dxa" w:w="1800"/>
            <w:shd w:val="clear" w:color="auto" w:fill="EEF2F8"/>
          </w:tcPr>
          <w:p>
            <w:pPr>
              <w:spacing w:after="20"/>
            </w:pPr>
            <w:r/>
            <w:r>
              <w:rPr>
                <w:b w:val="0"/>
                <w:i w:val="0"/>
                <w:sz w:val="17"/>
              </w:rPr>
              <w:t>Feb 7, 2025†</w:t>
            </w:r>
          </w:p>
        </w:tc>
        <w:tc>
          <w:tcPr>
            <w:tcW w:type="dxa" w:w="2520"/>
            <w:shd w:val="clear" w:color="auto" w:fill="EEF2F8"/>
          </w:tcPr>
          <w:p>
            <w:pPr>
              <w:spacing w:after="20"/>
            </w:pPr>
            <w:r/>
            <w:r>
              <w:rPr>
                <w:b w:val="0"/>
                <w:i w:val="0"/>
                <w:sz w:val="17"/>
              </w:rPr>
              <w:t>Notice deadline for second extension</w:t>
            </w:r>
          </w:p>
        </w:tc>
        <w:tc>
          <w:tcPr>
            <w:tcW w:type="dxa" w:w="1368"/>
            <w:shd w:val="clear" w:color="auto" w:fill="EEF2F8"/>
          </w:tcPr>
          <w:p>
            <w:pPr>
              <w:spacing w:after="20"/>
            </w:pPr>
            <w:r/>
            <w:r>
              <w:rPr>
                <w:b w:val="0"/>
                <w:i w:val="0"/>
                <w:sz w:val="17"/>
              </w:rPr>
              <w:t>§13.5</w:t>
            </w:r>
          </w:p>
        </w:tc>
        <w:tc>
          <w:tcPr>
            <w:tcW w:type="dxa" w:w="3960"/>
            <w:shd w:val="clear" w:color="auto" w:fill="EEF2F8"/>
          </w:tcPr>
          <w:p>
            <w:pPr>
              <w:spacing w:after="20"/>
            </w:pPr>
            <w:r/>
            <w:r>
              <w:rPr>
                <w:b w:val="0"/>
                <w:i w:val="0"/>
                <w:sz w:val="17"/>
              </w:rPr>
              <w:t>5 BD before Feb 14, 2025.</w:t>
            </w:r>
          </w:p>
        </w:tc>
      </w:tr>
      <w:tr>
        <w:tc>
          <w:tcPr>
            <w:tcW w:type="dxa" w:w="1800"/>
          </w:tcPr>
          <w:p>
            <w:pPr>
              <w:spacing w:after="20"/>
            </w:pPr>
            <w:r/>
            <w:r>
              <w:rPr>
                <w:b w:val="0"/>
                <w:i w:val="0"/>
                <w:sz w:val="17"/>
              </w:rPr>
              <w:t>Mar 1, 2025 (Sat)</w:t>
            </w:r>
          </w:p>
        </w:tc>
        <w:tc>
          <w:tcPr>
            <w:tcW w:type="dxa" w:w="2520"/>
          </w:tcPr>
          <w:p>
            <w:pPr>
              <w:spacing w:after="20"/>
            </w:pPr>
            <w:r/>
            <w:r>
              <w:rPr>
                <w:b w:val="0"/>
                <w:i w:val="0"/>
                <w:sz w:val="17"/>
              </w:rPr>
              <w:t>Absolute latest Closing (one 15-day extension)</w:t>
            </w:r>
          </w:p>
        </w:tc>
        <w:tc>
          <w:tcPr>
            <w:tcW w:type="dxa" w:w="1368"/>
          </w:tcPr>
          <w:p>
            <w:pPr>
              <w:spacing w:after="20"/>
            </w:pPr>
            <w:r/>
            <w:r>
              <w:rPr>
                <w:b w:val="0"/>
                <w:i w:val="0"/>
                <w:sz w:val="17"/>
              </w:rPr>
              <w:t>§§1.1, 13.5</w:t>
            </w:r>
          </w:p>
        </w:tc>
        <w:tc>
          <w:tcPr>
            <w:tcW w:type="dxa" w:w="3960"/>
          </w:tcPr>
          <w:p>
            <w:pPr>
              <w:spacing w:after="20"/>
            </w:pPr>
            <w:r/>
            <w:r>
              <w:rPr>
                <w:b w:val="0"/>
                <w:i w:val="0"/>
                <w:sz w:val="17"/>
              </w:rPr>
              <w:t>Falls on a Saturday — clarify (Flag 11).</w:t>
            </w:r>
          </w:p>
        </w:tc>
      </w:tr>
      <w:tr>
        <w:tc>
          <w:tcPr>
            <w:tcW w:type="dxa" w:w="1800"/>
            <w:shd w:val="clear" w:color="auto" w:fill="EEF2F8"/>
          </w:tcPr>
          <w:p>
            <w:pPr>
              <w:spacing w:after="20"/>
            </w:pPr>
            <w:r/>
            <w:r>
              <w:rPr>
                <w:b w:val="0"/>
                <w:i w:val="0"/>
                <w:sz w:val="17"/>
              </w:rPr>
              <w:t>Apr 15, 2025</w:t>
            </w:r>
          </w:p>
        </w:tc>
        <w:tc>
          <w:tcPr>
            <w:tcW w:type="dxa" w:w="2520"/>
            <w:shd w:val="clear" w:color="auto" w:fill="EEF2F8"/>
          </w:tcPr>
          <w:p>
            <w:pPr>
              <w:spacing w:after="20"/>
            </w:pPr>
            <w:r/>
            <w:r>
              <w:rPr>
                <w:b w:val="0"/>
                <w:i w:val="0"/>
                <w:sz w:val="17"/>
              </w:rPr>
              <w:t>Post-closing reconciliation and Seller cooperation end</w:t>
            </w:r>
          </w:p>
        </w:tc>
        <w:tc>
          <w:tcPr>
            <w:tcW w:type="dxa" w:w="1368"/>
            <w:shd w:val="clear" w:color="auto" w:fill="EEF2F8"/>
          </w:tcPr>
          <w:p>
            <w:pPr>
              <w:spacing w:after="20"/>
            </w:pPr>
            <w:r/>
            <w:r>
              <w:rPr>
                <w:b w:val="0"/>
                <w:i w:val="0"/>
                <w:sz w:val="17"/>
              </w:rPr>
              <w:t>§§6.4, 15.12</w:t>
            </w:r>
          </w:p>
        </w:tc>
        <w:tc>
          <w:tcPr>
            <w:tcW w:type="dxa" w:w="3960"/>
            <w:shd w:val="clear" w:color="auto" w:fill="EEF2F8"/>
          </w:tcPr>
          <w:p>
            <w:pPr>
              <w:spacing w:after="20"/>
            </w:pPr>
            <w:r/>
            <w:r>
              <w:rPr>
                <w:b w:val="0"/>
                <w:i w:val="0"/>
                <w:sz w:val="17"/>
              </w:rPr>
              <w:t>90 days after Closing.</w:t>
            </w:r>
          </w:p>
        </w:tc>
      </w:tr>
      <w:tr>
        <w:tc>
          <w:tcPr>
            <w:tcW w:type="dxa" w:w="1800"/>
          </w:tcPr>
          <w:p>
            <w:pPr>
              <w:spacing w:after="20"/>
            </w:pPr>
            <w:r/>
            <w:r>
              <w:rPr>
                <w:b w:val="0"/>
                <w:i w:val="0"/>
                <w:sz w:val="17"/>
              </w:rPr>
              <w:t>Jan 15, 2026†</w:t>
            </w:r>
          </w:p>
        </w:tc>
        <w:tc>
          <w:tcPr>
            <w:tcW w:type="dxa" w:w="2520"/>
          </w:tcPr>
          <w:p>
            <w:pPr>
              <w:spacing w:after="20"/>
            </w:pPr>
            <w:r/>
            <w:r>
              <w:rPr>
                <w:b w:val="0"/>
                <w:i w:val="0"/>
                <w:sz w:val="17"/>
              </w:rPr>
              <w:t>Seller rep &amp; warranty survival expires</w:t>
            </w:r>
          </w:p>
        </w:tc>
        <w:tc>
          <w:tcPr>
            <w:tcW w:type="dxa" w:w="1368"/>
          </w:tcPr>
          <w:p>
            <w:pPr>
              <w:spacing w:after="20"/>
            </w:pPr>
            <w:r/>
            <w:r>
              <w:rPr>
                <w:b w:val="0"/>
                <w:i w:val="0"/>
                <w:sz w:val="17"/>
              </w:rPr>
              <w:t>§7.3</w:t>
            </w:r>
          </w:p>
        </w:tc>
        <w:tc>
          <w:tcPr>
            <w:tcW w:type="dxa" w:w="3960"/>
          </w:tcPr>
          <w:p>
            <w:pPr>
              <w:spacing w:after="20"/>
            </w:pPr>
            <w:r/>
            <w:r>
              <w:rPr>
                <w:b w:val="0"/>
                <w:i w:val="0"/>
                <w:sz w:val="17"/>
              </w:rPr>
              <w:t>12 months after Closing; written claim notice required by this date.</w:t>
            </w:r>
          </w:p>
        </w:tc>
      </w:tr>
      <w:tr>
        <w:tc>
          <w:tcPr>
            <w:tcW w:type="dxa" w:w="1800"/>
            <w:shd w:val="clear" w:color="auto" w:fill="EEF2F8"/>
          </w:tcPr>
          <w:p>
            <w:pPr>
              <w:spacing w:after="20"/>
            </w:pPr>
            <w:r/>
            <w:r>
              <w:rPr>
                <w:b w:val="0"/>
                <w:i w:val="0"/>
                <w:sz w:val="17"/>
              </w:rPr>
              <w:t>Jan 15, 2027†</w:t>
            </w:r>
          </w:p>
        </w:tc>
        <w:tc>
          <w:tcPr>
            <w:tcW w:type="dxa" w:w="2520"/>
            <w:shd w:val="clear" w:color="auto" w:fill="EEF2F8"/>
          </w:tcPr>
          <w:p>
            <w:pPr>
              <w:spacing w:after="20"/>
            </w:pPr>
            <w:r/>
            <w:r>
              <w:rPr>
                <w:b w:val="0"/>
                <w:i w:val="0"/>
                <w:sz w:val="17"/>
              </w:rPr>
              <w:t>Confidentiality obligation expires</w:t>
            </w:r>
          </w:p>
        </w:tc>
        <w:tc>
          <w:tcPr>
            <w:tcW w:type="dxa" w:w="1368"/>
            <w:shd w:val="clear" w:color="auto" w:fill="EEF2F8"/>
          </w:tcPr>
          <w:p>
            <w:pPr>
              <w:spacing w:after="20"/>
            </w:pPr>
            <w:r/>
            <w:r>
              <w:rPr>
                <w:b w:val="0"/>
                <w:i w:val="0"/>
                <w:sz w:val="17"/>
              </w:rPr>
              <w:t>§15.8</w:t>
            </w:r>
          </w:p>
        </w:tc>
        <w:tc>
          <w:tcPr>
            <w:tcW w:type="dxa" w:w="3960"/>
            <w:shd w:val="clear" w:color="auto" w:fill="EEF2F8"/>
          </w:tcPr>
          <w:p>
            <w:pPr>
              <w:spacing w:after="20"/>
            </w:pPr>
            <w:r/>
            <w:r>
              <w:rPr>
                <w:b w:val="0"/>
                <w:i w:val="0"/>
                <w:sz w:val="17"/>
              </w:rPr>
              <w:t>2 years after Closing (or termination).</w:t>
            </w:r>
          </w:p>
        </w:tc>
      </w:tr>
      <w:tr>
        <w:tc>
          <w:tcPr>
            <w:tcW w:type="dxa" w:w="1800"/>
          </w:tcPr>
          <w:p>
            <w:pPr>
              <w:spacing w:after="20"/>
            </w:pPr>
            <w:r/>
            <w:r>
              <w:rPr>
                <w:b w:val="0"/>
                <w:i w:val="0"/>
                <w:sz w:val="17"/>
              </w:rPr>
              <w:t>Jan 15, 2028</w:t>
            </w:r>
          </w:p>
        </w:tc>
        <w:tc>
          <w:tcPr>
            <w:tcW w:type="dxa" w:w="2520"/>
          </w:tcPr>
          <w:p>
            <w:pPr>
              <w:spacing w:after="20"/>
            </w:pPr>
            <w:r/>
            <w:r>
              <w:rPr>
                <w:b w:val="0"/>
                <w:i w:val="0"/>
                <w:sz w:val="17"/>
              </w:rPr>
              <w:t>Environmental indemnity survival expires</w:t>
            </w:r>
          </w:p>
        </w:tc>
        <w:tc>
          <w:tcPr>
            <w:tcW w:type="dxa" w:w="1368"/>
          </w:tcPr>
          <w:p>
            <w:pPr>
              <w:spacing w:after="20"/>
            </w:pPr>
            <w:r/>
            <w:r>
              <w:rPr>
                <w:b w:val="0"/>
                <w:i w:val="0"/>
                <w:sz w:val="17"/>
              </w:rPr>
              <w:t>§8.4(b)–(c)</w:t>
            </w:r>
          </w:p>
        </w:tc>
        <w:tc>
          <w:tcPr>
            <w:tcW w:type="dxa" w:w="3960"/>
          </w:tcPr>
          <w:p>
            <w:pPr>
              <w:spacing w:after="20"/>
            </w:pPr>
            <w:r/>
            <w:r>
              <w:rPr>
                <w:b w:val="0"/>
                <w:i w:val="0"/>
                <w:sz w:val="17"/>
              </w:rPr>
              <w:t>36 months after Closing; claim notice must state nature and estimated cost.</w:t>
            </w:r>
          </w:p>
        </w:tc>
      </w:tr>
    </w:tbl>
    <w:p>
      <w:pPr>
        <w:spacing w:after="40"/>
      </w:pPr>
    </w:p>
    <w:p>
      <w:pPr>
        <w:pStyle w:val="Heading1"/>
      </w:pPr>
      <w:r>
        <w:t>Part 3 — Economic Summary</w:t>
      </w:r>
    </w:p>
    <w:tbl>
      <w:tblPr>
        <w:tblStyle w:val="TableGrid"/>
        <w:tblW w:type="dxa" w:w="9648"/>
        <w:jc w:val="center"/>
        <w:tblLayout w:type="fixed"/>
        <w:tblLook w:firstColumn="1" w:firstRow="1" w:lastColumn="0" w:lastRow="0" w:noHBand="0" w:noVBand="1" w:val="04A0"/>
        <w:tblLayout w:type="fixed"/>
      </w:tblPr>
      <w:tblGrid>
        <w:gridCol w:w="2304"/>
        <w:gridCol w:w="2520"/>
        <w:gridCol w:w="1152"/>
        <w:gridCol w:w="3672"/>
      </w:tblGrid>
      <w:tr>
        <w:trPr>
          <w:tblHeader w:val="true"/>
        </w:trPr>
        <w:tc>
          <w:tcPr>
            <w:tcW w:type="dxa" w:w="2304"/>
            <w:shd w:val="clear" w:color="auto" w:fill="1F3864"/>
          </w:tcPr>
          <w:p>
            <w:r/>
            <w:r>
              <w:rPr>
                <w:b/>
                <w:color w:val="FFFFFF"/>
                <w:sz w:val="17"/>
              </w:rPr>
              <w:t>Item</w:t>
            </w:r>
          </w:p>
        </w:tc>
        <w:tc>
          <w:tcPr>
            <w:tcW w:type="dxa" w:w="2520"/>
            <w:shd w:val="clear" w:color="auto" w:fill="1F3864"/>
          </w:tcPr>
          <w:p>
            <w:r/>
            <w:r>
              <w:rPr>
                <w:b/>
                <w:color w:val="FFFFFF"/>
                <w:sz w:val="17"/>
              </w:rPr>
              <w:t>Amount</w:t>
            </w:r>
          </w:p>
        </w:tc>
        <w:tc>
          <w:tcPr>
            <w:tcW w:type="dxa" w:w="1152"/>
            <w:shd w:val="clear" w:color="auto" w:fill="1F3864"/>
          </w:tcPr>
          <w:p>
            <w:r/>
            <w:r>
              <w:rPr>
                <w:b/>
                <w:color w:val="FFFFFF"/>
                <w:sz w:val="17"/>
              </w:rPr>
              <w:t>PSA §</w:t>
            </w:r>
          </w:p>
        </w:tc>
        <w:tc>
          <w:tcPr>
            <w:tcW w:type="dxa" w:w="3672"/>
            <w:shd w:val="clear" w:color="auto" w:fill="1F3864"/>
          </w:tcPr>
          <w:p>
            <w:r/>
            <w:r>
              <w:rPr>
                <w:b/>
                <w:color w:val="FFFFFF"/>
                <w:sz w:val="17"/>
              </w:rPr>
              <w:t>Notes</w:t>
            </w:r>
          </w:p>
        </w:tc>
      </w:tr>
      <w:tr>
        <w:tc>
          <w:tcPr>
            <w:tcW w:type="dxa" w:w="2304"/>
          </w:tcPr>
          <w:p>
            <w:pPr>
              <w:spacing w:after="20"/>
            </w:pPr>
            <w:r/>
            <w:r>
              <w:rPr>
                <w:b w:val="0"/>
                <w:i w:val="0"/>
                <w:sz w:val="17"/>
              </w:rPr>
              <w:t>Purchase Price</w:t>
            </w:r>
          </w:p>
        </w:tc>
        <w:tc>
          <w:tcPr>
            <w:tcW w:type="dxa" w:w="2520"/>
          </w:tcPr>
          <w:p>
            <w:pPr>
              <w:spacing w:after="20"/>
            </w:pPr>
            <w:r/>
            <w:r>
              <w:rPr>
                <w:b w:val="0"/>
                <w:i w:val="0"/>
                <w:sz w:val="17"/>
              </w:rPr>
              <w:t>$87,750,000.00</w:t>
            </w:r>
          </w:p>
        </w:tc>
        <w:tc>
          <w:tcPr>
            <w:tcW w:type="dxa" w:w="1152"/>
          </w:tcPr>
          <w:p>
            <w:pPr>
              <w:spacing w:after="20"/>
            </w:pPr>
            <w:r/>
            <w:r>
              <w:rPr>
                <w:b w:val="0"/>
                <w:i w:val="0"/>
                <w:sz w:val="17"/>
              </w:rPr>
              <w:t>§§1.1, 3.1</w:t>
            </w:r>
          </w:p>
        </w:tc>
        <w:tc>
          <w:tcPr>
            <w:tcW w:type="dxa" w:w="3672"/>
          </w:tcPr>
          <w:p>
            <w:pPr>
              <w:spacing w:after="20"/>
            </w:pPr>
            <w:r/>
            <w:r>
              <w:rPr>
                <w:b w:val="0"/>
                <w:i w:val="0"/>
                <w:sz w:val="17"/>
              </w:rPr>
              <w:t>≈ $281.25 per RSF (computed) on 312,000 RSF; ≈ 82.7% leased (258,140 SF) per Exhibit F.</w:t>
            </w:r>
          </w:p>
        </w:tc>
      </w:tr>
      <w:tr>
        <w:tc>
          <w:tcPr>
            <w:tcW w:type="dxa" w:w="2304"/>
            <w:shd w:val="clear" w:color="auto" w:fill="EEF2F8"/>
          </w:tcPr>
          <w:p>
            <w:pPr>
              <w:spacing w:after="20"/>
            </w:pPr>
            <w:r/>
            <w:r>
              <w:rPr>
                <w:b w:val="0"/>
                <w:i w:val="0"/>
                <w:sz w:val="17"/>
              </w:rPr>
              <w:t>Initial Deposit</w:t>
            </w:r>
          </w:p>
        </w:tc>
        <w:tc>
          <w:tcPr>
            <w:tcW w:type="dxa" w:w="2520"/>
            <w:shd w:val="clear" w:color="auto" w:fill="EEF2F8"/>
          </w:tcPr>
          <w:p>
            <w:pPr>
              <w:spacing w:after="20"/>
            </w:pPr>
            <w:r/>
            <w:r>
              <w:rPr>
                <w:b w:val="0"/>
                <w:i w:val="0"/>
                <w:sz w:val="17"/>
              </w:rPr>
              <w:t>$2,000,000.00</w:t>
            </w:r>
          </w:p>
        </w:tc>
        <w:tc>
          <w:tcPr>
            <w:tcW w:type="dxa" w:w="1152"/>
            <w:shd w:val="clear" w:color="auto" w:fill="EEF2F8"/>
          </w:tcPr>
          <w:p>
            <w:pPr>
              <w:spacing w:after="20"/>
            </w:pPr>
            <w:r/>
            <w:r>
              <w:rPr>
                <w:b w:val="0"/>
                <w:i w:val="0"/>
                <w:sz w:val="17"/>
              </w:rPr>
              <w:t>§3.2</w:t>
            </w:r>
          </w:p>
        </w:tc>
        <w:tc>
          <w:tcPr>
            <w:tcW w:type="dxa" w:w="3672"/>
            <w:shd w:val="clear" w:color="auto" w:fill="EEF2F8"/>
          </w:tcPr>
          <w:p>
            <w:pPr>
              <w:spacing w:after="20"/>
            </w:pPr>
            <w:r/>
            <w:r>
              <w:rPr>
                <w:b w:val="0"/>
                <w:i w:val="0"/>
                <w:sz w:val="17"/>
              </w:rPr>
              <w:t>Due Oct 10, 2024; interest-bearing; Buyer’s TIN.</w:t>
            </w:r>
          </w:p>
        </w:tc>
      </w:tr>
      <w:tr>
        <w:tc>
          <w:tcPr>
            <w:tcW w:type="dxa" w:w="2304"/>
          </w:tcPr>
          <w:p>
            <w:pPr>
              <w:spacing w:after="20"/>
            </w:pPr>
            <w:r/>
            <w:r>
              <w:rPr>
                <w:b w:val="0"/>
                <w:i w:val="0"/>
                <w:sz w:val="17"/>
              </w:rPr>
              <w:t>Additional Deposit</w:t>
            </w:r>
          </w:p>
        </w:tc>
        <w:tc>
          <w:tcPr>
            <w:tcW w:type="dxa" w:w="2520"/>
          </w:tcPr>
          <w:p>
            <w:pPr>
              <w:spacing w:after="20"/>
            </w:pPr>
            <w:r/>
            <w:r>
              <w:rPr>
                <w:b w:val="0"/>
                <w:i w:val="0"/>
                <w:sz w:val="17"/>
              </w:rPr>
              <w:t>$1,500,000.00</w:t>
            </w:r>
          </w:p>
        </w:tc>
        <w:tc>
          <w:tcPr>
            <w:tcW w:type="dxa" w:w="1152"/>
          </w:tcPr>
          <w:p>
            <w:pPr>
              <w:spacing w:after="20"/>
            </w:pPr>
            <w:r/>
            <w:r>
              <w:rPr>
                <w:b w:val="0"/>
                <w:i w:val="0"/>
                <w:sz w:val="17"/>
              </w:rPr>
              <w:t>§3.3</w:t>
            </w:r>
          </w:p>
        </w:tc>
        <w:tc>
          <w:tcPr>
            <w:tcW w:type="dxa" w:w="3672"/>
          </w:tcPr>
          <w:p>
            <w:pPr>
              <w:spacing w:after="20"/>
            </w:pPr>
            <w:r/>
            <w:r>
              <w:rPr>
                <w:b w:val="0"/>
                <w:i w:val="0"/>
                <w:sz w:val="17"/>
              </w:rPr>
              <w:t>Due Nov 29, 2024.</w:t>
            </w:r>
          </w:p>
        </w:tc>
      </w:tr>
      <w:tr>
        <w:tc>
          <w:tcPr>
            <w:tcW w:type="dxa" w:w="2304"/>
            <w:shd w:val="clear" w:color="auto" w:fill="EEF2F8"/>
          </w:tcPr>
          <w:p>
            <w:pPr>
              <w:spacing w:after="20"/>
            </w:pPr>
            <w:r/>
            <w:r>
              <w:rPr>
                <w:b w:val="0"/>
                <w:i w:val="0"/>
                <w:sz w:val="17"/>
              </w:rPr>
              <w:t>Total Deposit</w:t>
            </w:r>
          </w:p>
        </w:tc>
        <w:tc>
          <w:tcPr>
            <w:tcW w:type="dxa" w:w="2520"/>
            <w:shd w:val="clear" w:color="auto" w:fill="EEF2F8"/>
          </w:tcPr>
          <w:p>
            <w:pPr>
              <w:spacing w:after="20"/>
            </w:pPr>
            <w:r/>
            <w:r>
              <w:rPr>
                <w:b w:val="0"/>
                <w:i w:val="0"/>
                <w:sz w:val="17"/>
              </w:rPr>
              <w:t>$3,500,000.00</w:t>
            </w:r>
          </w:p>
        </w:tc>
        <w:tc>
          <w:tcPr>
            <w:tcW w:type="dxa" w:w="1152"/>
            <w:shd w:val="clear" w:color="auto" w:fill="EEF2F8"/>
          </w:tcPr>
          <w:p>
            <w:pPr>
              <w:spacing w:after="20"/>
            </w:pPr>
            <w:r/>
            <w:r>
              <w:rPr>
                <w:b w:val="0"/>
                <w:i w:val="0"/>
                <w:sz w:val="17"/>
              </w:rPr>
              <w:t>§§1.1, 3.3</w:t>
            </w:r>
          </w:p>
        </w:tc>
        <w:tc>
          <w:tcPr>
            <w:tcW w:type="dxa" w:w="3672"/>
            <w:shd w:val="clear" w:color="auto" w:fill="EEF2F8"/>
          </w:tcPr>
          <w:p>
            <w:pPr>
              <w:spacing w:after="20"/>
            </w:pPr>
            <w:r/>
            <w:r>
              <w:rPr>
                <w:b w:val="0"/>
                <w:i w:val="0"/>
                <w:sz w:val="17"/>
              </w:rPr>
              <w:t>3.99% of price (computed); credited at Closing (§3.4).</w:t>
            </w:r>
          </w:p>
        </w:tc>
      </w:tr>
      <w:tr>
        <w:tc>
          <w:tcPr>
            <w:tcW w:type="dxa" w:w="2304"/>
          </w:tcPr>
          <w:p>
            <w:pPr>
              <w:spacing w:after="20"/>
            </w:pPr>
            <w:r/>
            <w:r>
              <w:rPr>
                <w:b w:val="0"/>
                <w:i w:val="0"/>
                <w:sz w:val="17"/>
              </w:rPr>
              <w:t>Security deposit credit</w:t>
            </w:r>
          </w:p>
        </w:tc>
        <w:tc>
          <w:tcPr>
            <w:tcW w:type="dxa" w:w="2520"/>
          </w:tcPr>
          <w:p>
            <w:pPr>
              <w:spacing w:after="20"/>
            </w:pPr>
            <w:r/>
            <w:r>
              <w:rPr>
                <w:b w:val="0"/>
                <w:i w:val="0"/>
                <w:sz w:val="17"/>
              </w:rPr>
              <w:t>$487,320.00</w:t>
            </w:r>
          </w:p>
        </w:tc>
        <w:tc>
          <w:tcPr>
            <w:tcW w:type="dxa" w:w="1152"/>
          </w:tcPr>
          <w:p>
            <w:pPr>
              <w:spacing w:after="20"/>
            </w:pPr>
            <w:r/>
            <w:r>
              <w:rPr>
                <w:b w:val="0"/>
                <w:i w:val="0"/>
                <w:sz w:val="17"/>
              </w:rPr>
              <w:t>§§3.5, 6.2</w:t>
            </w:r>
          </w:p>
        </w:tc>
        <w:tc>
          <w:tcPr>
            <w:tcW w:type="dxa" w:w="3672"/>
          </w:tcPr>
          <w:p>
            <w:pPr>
              <w:spacing w:after="20"/>
            </w:pPr>
            <w:r/>
            <w:r>
              <w:rPr>
                <w:b w:val="0"/>
                <w:i w:val="0"/>
                <w:sz w:val="17"/>
              </w:rPr>
              <w:t>As of Effective Date per Exhibit F (HMS re-added: ties).</w:t>
            </w:r>
          </w:p>
        </w:tc>
      </w:tr>
      <w:tr>
        <w:tc>
          <w:tcPr>
            <w:tcW w:type="dxa" w:w="2304"/>
            <w:shd w:val="clear" w:color="auto" w:fill="EEF2F8"/>
          </w:tcPr>
          <w:p>
            <w:pPr>
              <w:spacing w:after="20"/>
            </w:pPr>
            <w:r/>
            <w:r>
              <w:rPr>
                <w:b w:val="0"/>
                <w:i w:val="0"/>
                <w:sz w:val="17"/>
              </w:rPr>
              <w:t>TI/LC credit</w:t>
            </w:r>
          </w:p>
        </w:tc>
        <w:tc>
          <w:tcPr>
            <w:tcW w:type="dxa" w:w="2520"/>
            <w:shd w:val="clear" w:color="auto" w:fill="EEF2F8"/>
          </w:tcPr>
          <w:p>
            <w:pPr>
              <w:spacing w:after="20"/>
            </w:pPr>
            <w:r/>
            <w:r>
              <w:rPr>
                <w:b w:val="0"/>
                <w:i w:val="0"/>
                <w:sz w:val="17"/>
              </w:rPr>
              <w:t>$1,235,000.00 (“approximately”)</w:t>
            </w:r>
          </w:p>
        </w:tc>
        <w:tc>
          <w:tcPr>
            <w:tcW w:type="dxa" w:w="1152"/>
            <w:shd w:val="clear" w:color="auto" w:fill="EEF2F8"/>
          </w:tcPr>
          <w:p>
            <w:pPr>
              <w:spacing w:after="20"/>
            </w:pPr>
            <w:r/>
            <w:r>
              <w:rPr>
                <w:b w:val="0"/>
                <w:i w:val="0"/>
                <w:sz w:val="17"/>
              </w:rPr>
              <w:t>§§3.5, 6.3</w:t>
            </w:r>
          </w:p>
        </w:tc>
        <w:tc>
          <w:tcPr>
            <w:tcW w:type="dxa" w:w="3672"/>
            <w:shd w:val="clear" w:color="auto" w:fill="EEF2F8"/>
          </w:tcPr>
          <w:p>
            <w:pPr>
              <w:spacing w:after="20"/>
            </w:pPr>
            <w:r/>
            <w:r>
              <w:rPr>
                <w:b w:val="0"/>
                <w:i w:val="0"/>
                <w:sz w:val="17"/>
              </w:rPr>
              <w:t>CrestLine $485,000; Clearview $396,000; Garrison &amp; Holt $354,000 (ties).</w:t>
            </w:r>
          </w:p>
        </w:tc>
      </w:tr>
      <w:tr>
        <w:tc>
          <w:tcPr>
            <w:tcW w:type="dxa" w:w="2304"/>
          </w:tcPr>
          <w:p>
            <w:pPr>
              <w:spacing w:after="20"/>
            </w:pPr>
            <w:r/>
            <w:r>
              <w:rPr>
                <w:b w:val="0"/>
                <w:i w:val="0"/>
                <w:sz w:val="17"/>
              </w:rPr>
              <w:t>Total fixed Buyer credits</w:t>
            </w:r>
          </w:p>
        </w:tc>
        <w:tc>
          <w:tcPr>
            <w:tcW w:type="dxa" w:w="2520"/>
          </w:tcPr>
          <w:p>
            <w:pPr>
              <w:spacing w:after="20"/>
            </w:pPr>
            <w:r/>
            <w:r>
              <w:rPr>
                <w:b w:val="0"/>
                <w:i w:val="0"/>
                <w:sz w:val="17"/>
              </w:rPr>
              <w:t>$1,722,320.00</w:t>
            </w:r>
          </w:p>
        </w:tc>
        <w:tc>
          <w:tcPr>
            <w:tcW w:type="dxa" w:w="1152"/>
          </w:tcPr>
          <w:p>
            <w:pPr>
              <w:spacing w:after="20"/>
            </w:pPr>
            <w:r/>
            <w:r>
              <w:rPr>
                <w:b w:val="0"/>
                <w:i w:val="0"/>
                <w:sz w:val="17"/>
              </w:rPr>
              <w:t>§§3.5, 6.4</w:t>
            </w:r>
          </w:p>
        </w:tc>
        <w:tc>
          <w:tcPr>
            <w:tcW w:type="dxa" w:w="3672"/>
          </w:tcPr>
          <w:p>
            <w:pPr>
              <w:spacing w:after="20"/>
            </w:pPr>
            <w:r/>
            <w:r>
              <w:rPr>
                <w:b w:val="0"/>
                <w:i w:val="0"/>
                <w:sz w:val="17"/>
              </w:rPr>
              <w:t>Exclusive of prorations (ties).</w:t>
            </w:r>
          </w:p>
        </w:tc>
      </w:tr>
      <w:tr>
        <w:tc>
          <w:tcPr>
            <w:tcW w:type="dxa" w:w="2304"/>
            <w:shd w:val="clear" w:color="auto" w:fill="EEF2F8"/>
          </w:tcPr>
          <w:p>
            <w:pPr>
              <w:spacing w:after="20"/>
            </w:pPr>
            <w:r/>
            <w:r>
              <w:rPr>
                <w:b w:val="0"/>
                <w:i w:val="0"/>
                <w:sz w:val="17"/>
              </w:rPr>
              <w:t>Acquisition loan (contemplated)</w:t>
            </w:r>
          </w:p>
        </w:tc>
        <w:tc>
          <w:tcPr>
            <w:tcW w:type="dxa" w:w="2520"/>
            <w:shd w:val="clear" w:color="auto" w:fill="EEF2F8"/>
          </w:tcPr>
          <w:p>
            <w:pPr>
              <w:spacing w:after="20"/>
            </w:pPr>
            <w:r/>
            <w:r>
              <w:rPr>
                <w:b w:val="0"/>
                <w:i w:val="0"/>
                <w:sz w:val="17"/>
              </w:rPr>
              <w:t>Up to $57,037,500.00</w:t>
            </w:r>
          </w:p>
        </w:tc>
        <w:tc>
          <w:tcPr>
            <w:tcW w:type="dxa" w:w="1152"/>
            <w:shd w:val="clear" w:color="auto" w:fill="EEF2F8"/>
          </w:tcPr>
          <w:p>
            <w:pPr>
              <w:spacing w:after="20"/>
            </w:pPr>
            <w:r/>
            <w:r>
              <w:rPr>
                <w:b w:val="0"/>
                <w:i w:val="0"/>
                <w:sz w:val="17"/>
              </w:rPr>
              <w:t>§10.2(a)</w:t>
            </w:r>
          </w:p>
        </w:tc>
        <w:tc>
          <w:tcPr>
            <w:tcW w:type="dxa" w:w="3672"/>
            <w:shd w:val="clear" w:color="auto" w:fill="EEF2F8"/>
          </w:tcPr>
          <w:p>
            <w:pPr>
              <w:spacing w:after="20"/>
            </w:pPr>
            <w:r/>
            <w:r>
              <w:rPr>
                <w:b w:val="0"/>
                <w:i w:val="0"/>
                <w:sz w:val="17"/>
              </w:rPr>
              <w:t>Pinnacle National Bank; 65% LTV of price (ties).</w:t>
            </w:r>
          </w:p>
        </w:tc>
      </w:tr>
      <w:tr>
        <w:tc>
          <w:tcPr>
            <w:tcW w:type="dxa" w:w="2304"/>
          </w:tcPr>
          <w:p>
            <w:pPr>
              <w:spacing w:after="20"/>
            </w:pPr>
            <w:r/>
            <w:r>
              <w:rPr>
                <w:b w:val="0"/>
                <w:i w:val="0"/>
                <w:sz w:val="17"/>
              </w:rPr>
              <w:t>Implied equity (pre-costs, computed)</w:t>
            </w:r>
          </w:p>
        </w:tc>
        <w:tc>
          <w:tcPr>
            <w:tcW w:type="dxa" w:w="2520"/>
          </w:tcPr>
          <w:p>
            <w:pPr>
              <w:spacing w:after="20"/>
            </w:pPr>
            <w:r/>
            <w:r>
              <w:rPr>
                <w:b w:val="0"/>
                <w:i w:val="0"/>
                <w:sz w:val="17"/>
              </w:rPr>
              <w:t>≈ $30,712,500</w:t>
            </w:r>
          </w:p>
        </w:tc>
        <w:tc>
          <w:tcPr>
            <w:tcW w:type="dxa" w:w="1152"/>
          </w:tcPr>
          <w:p>
            <w:pPr>
              <w:spacing w:after="20"/>
            </w:pPr>
            <w:r/>
            <w:r>
              <w:rPr>
                <w:b w:val="0"/>
                <w:i w:val="0"/>
                <w:sz w:val="17"/>
              </w:rPr>
              <w:t>—</w:t>
            </w:r>
          </w:p>
        </w:tc>
        <w:tc>
          <w:tcPr>
            <w:tcW w:type="dxa" w:w="3672"/>
          </w:tcPr>
          <w:p>
            <w:pPr>
              <w:spacing w:after="20"/>
            </w:pPr>
            <w:r/>
            <w:r>
              <w:rPr>
                <w:b w:val="0"/>
                <w:i w:val="0"/>
                <w:sz w:val="17"/>
              </w:rPr>
              <w:t>Price less maximum loan; before credits, prorations and closing costs.</w:t>
            </w:r>
          </w:p>
        </w:tc>
      </w:tr>
      <w:tr>
        <w:tc>
          <w:tcPr>
            <w:tcW w:type="dxa" w:w="2304"/>
            <w:shd w:val="clear" w:color="auto" w:fill="EEF2F8"/>
          </w:tcPr>
          <w:p>
            <w:pPr>
              <w:spacing w:after="20"/>
            </w:pPr>
            <w:r/>
            <w:r>
              <w:rPr>
                <w:b w:val="0"/>
                <w:i w:val="0"/>
                <w:sz w:val="17"/>
              </w:rPr>
              <w:t>Liquidated damages (Buyer default)</w:t>
            </w:r>
          </w:p>
        </w:tc>
        <w:tc>
          <w:tcPr>
            <w:tcW w:type="dxa" w:w="2520"/>
            <w:shd w:val="clear" w:color="auto" w:fill="EEF2F8"/>
          </w:tcPr>
          <w:p>
            <w:pPr>
              <w:spacing w:after="20"/>
            </w:pPr>
            <w:r/>
            <w:r>
              <w:rPr>
                <w:b w:val="0"/>
                <w:i w:val="0"/>
                <w:sz w:val="17"/>
              </w:rPr>
              <w:t>$3,500,000.00 (Initial Deposit only if default occurs before Additional Deposit is made)</w:t>
            </w:r>
          </w:p>
        </w:tc>
        <w:tc>
          <w:tcPr>
            <w:tcW w:type="dxa" w:w="1152"/>
            <w:shd w:val="clear" w:color="auto" w:fill="EEF2F8"/>
          </w:tcPr>
          <w:p>
            <w:pPr>
              <w:spacing w:after="20"/>
            </w:pPr>
            <w:r/>
            <w:r>
              <w:rPr>
                <w:b w:val="0"/>
                <w:i w:val="0"/>
                <w:sz w:val="17"/>
              </w:rPr>
              <w:t>§12.1</w:t>
            </w:r>
          </w:p>
        </w:tc>
        <w:tc>
          <w:tcPr>
            <w:tcW w:type="dxa" w:w="3672"/>
            <w:shd w:val="clear" w:color="auto" w:fill="EEF2F8"/>
          </w:tcPr>
          <w:p>
            <w:pPr>
              <w:spacing w:after="20"/>
            </w:pPr>
            <w:r/>
            <w:r>
              <w:rPr>
                <w:b w:val="0"/>
                <w:i w:val="0"/>
                <w:sz w:val="17"/>
              </w:rPr>
              <w:t>Seller’s sole remedy, except surviving §4.3 indemnity and §15.8 confidentiality.</w:t>
            </w:r>
          </w:p>
        </w:tc>
      </w:tr>
      <w:tr>
        <w:tc>
          <w:tcPr>
            <w:tcW w:type="dxa" w:w="2304"/>
          </w:tcPr>
          <w:p>
            <w:pPr>
              <w:spacing w:after="20"/>
            </w:pPr>
            <w:r/>
            <w:r>
              <w:rPr>
                <w:b w:val="0"/>
                <w:i w:val="0"/>
                <w:sz w:val="17"/>
              </w:rPr>
              <w:t>Seller default expense reimbursement</w:t>
            </w:r>
          </w:p>
        </w:tc>
        <w:tc>
          <w:tcPr>
            <w:tcW w:type="dxa" w:w="2520"/>
          </w:tcPr>
          <w:p>
            <w:pPr>
              <w:spacing w:after="20"/>
            </w:pPr>
            <w:r/>
            <w:r>
              <w:rPr>
                <w:b w:val="0"/>
                <w:i w:val="0"/>
                <w:sz w:val="17"/>
              </w:rPr>
              <w:t>Up to $500,000.00</w:t>
            </w:r>
          </w:p>
        </w:tc>
        <w:tc>
          <w:tcPr>
            <w:tcW w:type="dxa" w:w="1152"/>
          </w:tcPr>
          <w:p>
            <w:pPr>
              <w:spacing w:after="20"/>
            </w:pPr>
            <w:r/>
            <w:r>
              <w:rPr>
                <w:b w:val="0"/>
                <w:i w:val="0"/>
                <w:sz w:val="17"/>
              </w:rPr>
              <w:t>§12.2(b)</w:t>
            </w:r>
          </w:p>
        </w:tc>
        <w:tc>
          <w:tcPr>
            <w:tcW w:type="dxa" w:w="3672"/>
          </w:tcPr>
          <w:p>
            <w:pPr>
              <w:spacing w:after="20"/>
            </w:pPr>
            <w:r/>
            <w:r>
              <w:rPr>
                <w:b w:val="0"/>
                <w:i w:val="0"/>
                <w:sz w:val="17"/>
              </w:rPr>
              <w:t>Plus Deposit refund; uncapped actual damages if Seller default is willful.</w:t>
            </w:r>
          </w:p>
        </w:tc>
      </w:tr>
      <w:tr>
        <w:tc>
          <w:tcPr>
            <w:tcW w:type="dxa" w:w="2304"/>
            <w:shd w:val="clear" w:color="auto" w:fill="EEF2F8"/>
          </w:tcPr>
          <w:p>
            <w:pPr>
              <w:spacing w:after="20"/>
            </w:pPr>
            <w:r/>
            <w:r>
              <w:rPr>
                <w:b w:val="0"/>
                <w:i w:val="0"/>
                <w:sz w:val="17"/>
              </w:rPr>
              <w:t>Rep &amp; warranty basket (deductible)</w:t>
            </w:r>
          </w:p>
        </w:tc>
        <w:tc>
          <w:tcPr>
            <w:tcW w:type="dxa" w:w="2520"/>
            <w:shd w:val="clear" w:color="auto" w:fill="EEF2F8"/>
          </w:tcPr>
          <w:p>
            <w:pPr>
              <w:spacing w:after="20"/>
            </w:pPr>
            <w:r/>
            <w:r>
              <w:rPr>
                <w:b w:val="0"/>
                <w:i w:val="0"/>
                <w:sz w:val="17"/>
              </w:rPr>
              <w:t>$175,000.00</w:t>
            </w:r>
          </w:p>
        </w:tc>
        <w:tc>
          <w:tcPr>
            <w:tcW w:type="dxa" w:w="1152"/>
            <w:shd w:val="clear" w:color="auto" w:fill="EEF2F8"/>
          </w:tcPr>
          <w:p>
            <w:pPr>
              <w:spacing w:after="20"/>
            </w:pPr>
            <w:r/>
            <w:r>
              <w:rPr>
                <w:b w:val="0"/>
                <w:i w:val="0"/>
                <w:sz w:val="17"/>
              </w:rPr>
              <w:t>§7.4(a)</w:t>
            </w:r>
          </w:p>
        </w:tc>
        <w:tc>
          <w:tcPr>
            <w:tcW w:type="dxa" w:w="3672"/>
            <w:shd w:val="clear" w:color="auto" w:fill="EEF2F8"/>
          </w:tcPr>
          <w:p>
            <w:pPr>
              <w:spacing w:after="20"/>
            </w:pPr>
            <w:r/>
            <w:r>
              <w:rPr>
                <w:b w:val="0"/>
                <w:i w:val="0"/>
                <w:sz w:val="17"/>
              </w:rPr>
              <w:t>True deductible — recovery only of excess.</w:t>
            </w:r>
          </w:p>
        </w:tc>
      </w:tr>
      <w:tr>
        <w:tc>
          <w:tcPr>
            <w:tcW w:type="dxa" w:w="2304"/>
          </w:tcPr>
          <w:p>
            <w:pPr>
              <w:spacing w:after="20"/>
            </w:pPr>
            <w:r/>
            <w:r>
              <w:rPr>
                <w:b w:val="0"/>
                <w:i w:val="0"/>
                <w:sz w:val="17"/>
              </w:rPr>
              <w:t>Rep &amp; warranty cap</w:t>
            </w:r>
          </w:p>
        </w:tc>
        <w:tc>
          <w:tcPr>
            <w:tcW w:type="dxa" w:w="2520"/>
          </w:tcPr>
          <w:p>
            <w:pPr>
              <w:spacing w:after="20"/>
            </w:pPr>
            <w:r/>
            <w:r>
              <w:rPr>
                <w:b w:val="0"/>
                <w:i w:val="0"/>
                <w:sz w:val="17"/>
              </w:rPr>
              <w:t>$4,387,500.00</w:t>
            </w:r>
          </w:p>
        </w:tc>
        <w:tc>
          <w:tcPr>
            <w:tcW w:type="dxa" w:w="1152"/>
          </w:tcPr>
          <w:p>
            <w:pPr>
              <w:spacing w:after="20"/>
            </w:pPr>
            <w:r/>
            <w:r>
              <w:rPr>
                <w:b w:val="0"/>
                <w:i w:val="0"/>
                <w:sz w:val="17"/>
              </w:rPr>
              <w:t>§7.4(b)</w:t>
            </w:r>
          </w:p>
        </w:tc>
        <w:tc>
          <w:tcPr>
            <w:tcW w:type="dxa" w:w="3672"/>
          </w:tcPr>
          <w:p>
            <w:pPr>
              <w:spacing w:after="20"/>
            </w:pPr>
            <w:r/>
            <w:r>
              <w:rPr>
                <w:b w:val="0"/>
                <w:i w:val="0"/>
                <w:sz w:val="17"/>
              </w:rPr>
              <w:t>5% of price (ties). Fraud carve-out (§7.4(c)).</w:t>
            </w:r>
          </w:p>
        </w:tc>
      </w:tr>
      <w:tr>
        <w:tc>
          <w:tcPr>
            <w:tcW w:type="dxa" w:w="2304"/>
            <w:shd w:val="clear" w:color="auto" w:fill="EEF2F8"/>
          </w:tcPr>
          <w:p>
            <w:pPr>
              <w:spacing w:after="20"/>
            </w:pPr>
            <w:r/>
            <w:r>
              <w:rPr>
                <w:b w:val="0"/>
                <w:i w:val="0"/>
                <w:sz w:val="17"/>
              </w:rPr>
              <w:t>Environmental indemnity cap</w:t>
            </w:r>
          </w:p>
        </w:tc>
        <w:tc>
          <w:tcPr>
            <w:tcW w:type="dxa" w:w="2520"/>
            <w:shd w:val="clear" w:color="auto" w:fill="EEF2F8"/>
          </w:tcPr>
          <w:p>
            <w:pPr>
              <w:spacing w:after="20"/>
            </w:pPr>
            <w:r/>
            <w:r>
              <w:rPr>
                <w:b w:val="0"/>
                <w:i w:val="0"/>
                <w:sz w:val="17"/>
              </w:rPr>
              <w:t>$3,000,000.00</w:t>
            </w:r>
          </w:p>
        </w:tc>
        <w:tc>
          <w:tcPr>
            <w:tcW w:type="dxa" w:w="1152"/>
            <w:shd w:val="clear" w:color="auto" w:fill="EEF2F8"/>
          </w:tcPr>
          <w:p>
            <w:pPr>
              <w:spacing w:after="20"/>
            </w:pPr>
            <w:r/>
            <w:r>
              <w:rPr>
                <w:b w:val="0"/>
                <w:i w:val="0"/>
                <w:sz w:val="17"/>
              </w:rPr>
              <w:t>§8.4(a)</w:t>
            </w:r>
          </w:p>
        </w:tc>
        <w:tc>
          <w:tcPr>
            <w:tcW w:type="dxa" w:w="3672"/>
            <w:shd w:val="clear" w:color="auto" w:fill="EEF2F8"/>
          </w:tcPr>
          <w:p>
            <w:pPr>
              <w:spacing w:after="20"/>
            </w:pPr>
            <w:r/>
            <w:r>
              <w:rPr>
                <w:b w:val="0"/>
                <w:i w:val="0"/>
                <w:sz w:val="17"/>
              </w:rPr>
              <w:t>3.4% of price; separate from and in addition to §7.4(b) Cap; no basket.</w:t>
            </w:r>
          </w:p>
        </w:tc>
      </w:tr>
      <w:tr>
        <w:tc>
          <w:tcPr>
            <w:tcW w:type="dxa" w:w="2304"/>
          </w:tcPr>
          <w:p>
            <w:pPr>
              <w:spacing w:after="20"/>
            </w:pPr>
            <w:r/>
            <w:r>
              <w:rPr>
                <w:b w:val="0"/>
                <w:i w:val="0"/>
                <w:sz w:val="17"/>
              </w:rPr>
              <w:t>Material Casualty threshold</w:t>
            </w:r>
          </w:p>
        </w:tc>
        <w:tc>
          <w:tcPr>
            <w:tcW w:type="dxa" w:w="2520"/>
          </w:tcPr>
          <w:p>
            <w:pPr>
              <w:spacing w:after="20"/>
            </w:pPr>
            <w:r/>
            <w:r>
              <w:rPr>
                <w:b w:val="0"/>
                <w:i w:val="0"/>
                <w:sz w:val="17"/>
              </w:rPr>
              <w:t>&gt; $4,000,000.00</w:t>
            </w:r>
          </w:p>
        </w:tc>
        <w:tc>
          <w:tcPr>
            <w:tcW w:type="dxa" w:w="1152"/>
          </w:tcPr>
          <w:p>
            <w:pPr>
              <w:spacing w:after="20"/>
            </w:pPr>
            <w:r/>
            <w:r>
              <w:rPr>
                <w:b w:val="0"/>
                <w:i w:val="0"/>
                <w:sz w:val="17"/>
              </w:rPr>
              <w:t>§§1.1, 11.1</w:t>
            </w:r>
          </w:p>
        </w:tc>
        <w:tc>
          <w:tcPr>
            <w:tcW w:type="dxa" w:w="3672"/>
          </w:tcPr>
          <w:p>
            <w:pPr>
              <w:spacing w:after="20"/>
            </w:pPr>
            <w:r/>
            <w:r>
              <w:rPr>
                <w:b w:val="0"/>
                <w:i w:val="0"/>
                <w:sz w:val="17"/>
              </w:rPr>
              <w:t>≈ 4.6% of price.</w:t>
            </w:r>
          </w:p>
        </w:tc>
      </w:tr>
      <w:tr>
        <w:tc>
          <w:tcPr>
            <w:tcW w:type="dxa" w:w="2304"/>
            <w:shd w:val="clear" w:color="auto" w:fill="EEF2F8"/>
          </w:tcPr>
          <w:p>
            <w:pPr>
              <w:spacing w:after="20"/>
            </w:pPr>
            <w:r/>
            <w:r>
              <w:rPr>
                <w:b w:val="0"/>
                <w:i w:val="0"/>
                <w:sz w:val="17"/>
              </w:rPr>
              <w:t>Material Condemnation threshold</w:t>
            </w:r>
          </w:p>
        </w:tc>
        <w:tc>
          <w:tcPr>
            <w:tcW w:type="dxa" w:w="2520"/>
            <w:shd w:val="clear" w:color="auto" w:fill="EEF2F8"/>
          </w:tcPr>
          <w:p>
            <w:pPr>
              <w:spacing w:after="20"/>
            </w:pPr>
            <w:r/>
            <w:r>
              <w:rPr>
                <w:b w:val="0"/>
                <w:i w:val="0"/>
                <w:sz w:val="17"/>
              </w:rPr>
              <w:t>&gt;5% land (1.14 ac) or &gt;5% building area (15,600 RSF), or material access/parking impairment</w:t>
            </w:r>
          </w:p>
        </w:tc>
        <w:tc>
          <w:tcPr>
            <w:tcW w:type="dxa" w:w="1152"/>
            <w:shd w:val="clear" w:color="auto" w:fill="EEF2F8"/>
          </w:tcPr>
          <w:p>
            <w:pPr>
              <w:spacing w:after="20"/>
            </w:pPr>
            <w:r/>
            <w:r>
              <w:rPr>
                <w:b w:val="0"/>
                <w:i w:val="0"/>
                <w:sz w:val="17"/>
              </w:rPr>
              <w:t>§11.2(a)</w:t>
            </w:r>
          </w:p>
        </w:tc>
        <w:tc>
          <w:tcPr>
            <w:tcW w:type="dxa" w:w="3672"/>
            <w:shd w:val="clear" w:color="auto" w:fill="EEF2F8"/>
          </w:tcPr>
          <w:p>
            <w:pPr>
              <w:spacing w:after="20"/>
            </w:pPr>
            <w:r/>
            <w:r>
              <w:rPr>
                <w:b w:val="0"/>
                <w:i w:val="0"/>
                <w:sz w:val="17"/>
              </w:rPr>
              <w:t>Figures tie to 22.8 ac / 312,000 RSF.</w:t>
            </w:r>
          </w:p>
        </w:tc>
      </w:tr>
      <w:tr>
        <w:tc>
          <w:tcPr>
            <w:tcW w:type="dxa" w:w="2304"/>
          </w:tcPr>
          <w:p>
            <w:pPr>
              <w:spacing w:after="20"/>
            </w:pPr>
            <w:r/>
            <w:r>
              <w:rPr>
                <w:b w:val="0"/>
                <w:i w:val="0"/>
                <w:sz w:val="17"/>
              </w:rPr>
              <w:t>Brokerage commissions (Seller pays)</w:t>
            </w:r>
          </w:p>
        </w:tc>
        <w:tc>
          <w:tcPr>
            <w:tcW w:type="dxa" w:w="2520"/>
          </w:tcPr>
          <w:p>
            <w:pPr>
              <w:spacing w:after="20"/>
            </w:pPr>
            <w:r/>
            <w:r>
              <w:rPr>
                <w:b w:val="0"/>
                <w:i w:val="0"/>
                <w:sz w:val="17"/>
              </w:rPr>
              <w:t>$1,316,250.00 (1.5%)</w:t>
            </w:r>
          </w:p>
        </w:tc>
        <w:tc>
          <w:tcPr>
            <w:tcW w:type="dxa" w:w="1152"/>
          </w:tcPr>
          <w:p>
            <w:pPr>
              <w:spacing w:after="20"/>
            </w:pPr>
            <w:r/>
            <w:r>
              <w:rPr>
                <w:b w:val="0"/>
                <w:i w:val="0"/>
                <w:sz w:val="17"/>
              </w:rPr>
              <w:t>§15.1</w:t>
            </w:r>
          </w:p>
        </w:tc>
        <w:tc>
          <w:tcPr>
            <w:tcW w:type="dxa" w:w="3672"/>
          </w:tcPr>
          <w:p>
            <w:pPr>
              <w:spacing w:after="20"/>
            </w:pPr>
            <w:r/>
            <w:r>
              <w:rPr>
                <w:b w:val="0"/>
                <w:i w:val="0"/>
                <w:sz w:val="17"/>
              </w:rPr>
              <w:t>Greystone Realty Advisors LLC (Seller) 60% = $789,750; Keystone Commercial Partners LLC (Buyer) 40% = $526,500 (ties).</w:t>
            </w:r>
          </w:p>
        </w:tc>
      </w:tr>
      <w:tr>
        <w:tc>
          <w:tcPr>
            <w:tcW w:type="dxa" w:w="2304"/>
            <w:shd w:val="clear" w:color="auto" w:fill="EEF2F8"/>
          </w:tcPr>
          <w:p>
            <w:pPr>
              <w:spacing w:after="20"/>
            </w:pPr>
            <w:r/>
            <w:r>
              <w:rPr>
                <w:b w:val="0"/>
                <w:i w:val="0"/>
                <w:sz w:val="17"/>
              </w:rPr>
              <w:t>Buyer CGL insurance for site access</w:t>
            </w:r>
          </w:p>
        </w:tc>
        <w:tc>
          <w:tcPr>
            <w:tcW w:type="dxa" w:w="2520"/>
            <w:shd w:val="clear" w:color="auto" w:fill="EEF2F8"/>
          </w:tcPr>
          <w:p>
            <w:pPr>
              <w:spacing w:after="20"/>
            </w:pPr>
            <w:r/>
            <w:r>
              <w:rPr>
                <w:b w:val="0"/>
                <w:i w:val="0"/>
                <w:sz w:val="17"/>
              </w:rPr>
              <w:t>$2,000,000 per occurrence</w:t>
            </w:r>
          </w:p>
        </w:tc>
        <w:tc>
          <w:tcPr>
            <w:tcW w:type="dxa" w:w="1152"/>
            <w:shd w:val="clear" w:color="auto" w:fill="EEF2F8"/>
          </w:tcPr>
          <w:p>
            <w:pPr>
              <w:spacing w:after="20"/>
            </w:pPr>
            <w:r/>
            <w:r>
              <w:rPr>
                <w:b w:val="0"/>
                <w:i w:val="0"/>
                <w:sz w:val="17"/>
              </w:rPr>
              <w:t>§4.3</w:t>
            </w:r>
          </w:p>
        </w:tc>
        <w:tc>
          <w:tcPr>
            <w:tcW w:type="dxa" w:w="3672"/>
            <w:shd w:val="clear" w:color="auto" w:fill="EEF2F8"/>
          </w:tcPr>
          <w:p>
            <w:pPr>
              <w:spacing w:after="20"/>
            </w:pPr>
            <w:r/>
            <w:r>
              <w:rPr>
                <w:b w:val="0"/>
                <w:i w:val="0"/>
                <w:sz w:val="17"/>
              </w:rPr>
              <w:t>Seller as additional insured.</w:t>
            </w:r>
          </w:p>
        </w:tc>
      </w:tr>
      <w:tr>
        <w:tc>
          <w:tcPr>
            <w:tcW w:type="dxa" w:w="2304"/>
          </w:tcPr>
          <w:p>
            <w:pPr>
              <w:spacing w:after="20"/>
            </w:pPr>
            <w:r/>
            <w:r>
              <w:rPr>
                <w:b w:val="0"/>
                <w:i w:val="0"/>
                <w:sz w:val="17"/>
              </w:rPr>
              <w:t>VA transfer taxes (estimate — confirm with Title Co.)</w:t>
            </w:r>
          </w:p>
        </w:tc>
        <w:tc>
          <w:tcPr>
            <w:tcW w:type="dxa" w:w="2520"/>
          </w:tcPr>
          <w:p>
            <w:pPr>
              <w:spacing w:after="20"/>
            </w:pPr>
            <w:r/>
            <w:r>
              <w:rPr>
                <w:b w:val="0"/>
                <w:i w:val="0"/>
                <w:sz w:val="17"/>
              </w:rPr>
              <w:t>Grantor tax ≈ $87,750 (Seller); deed recordation tax ≈ $219,375 state + up to ≈ $73,125 local (Buyer, if “recording fees and charges” includes taxes); deed of trust recordation ≈ $142,594 state + ≈ $47,531 local (Buyer financing cost)</w:t>
            </w:r>
          </w:p>
        </w:tc>
        <w:tc>
          <w:tcPr>
            <w:tcW w:type="dxa" w:w="1152"/>
          </w:tcPr>
          <w:p>
            <w:pPr>
              <w:spacing w:after="20"/>
            </w:pPr>
            <w:r/>
            <w:r>
              <w:rPr>
                <w:b w:val="0"/>
                <w:i w:val="0"/>
                <w:sz w:val="17"/>
              </w:rPr>
              <w:t>§13.4</w:t>
            </w:r>
          </w:p>
        </w:tc>
        <w:tc>
          <w:tcPr>
            <w:tcW w:type="dxa" w:w="3672"/>
          </w:tcPr>
          <w:p>
            <w:pPr>
              <w:spacing w:after="20"/>
            </w:pPr>
            <w:r/>
            <w:r>
              <w:rPr>
                <w:b w:val="0"/>
                <w:i w:val="0"/>
                <w:sz w:val="17"/>
              </w:rPr>
              <w:t>HMS estimates at standard Virginia rates; allocation of regional grantor fees and recordation taxes should be expressly clarified (Flag 21).</w:t>
            </w:r>
          </w:p>
        </w:tc>
      </w:tr>
    </w:tbl>
    <w:p>
      <w:pPr>
        <w:spacing w:after="40"/>
      </w:pPr>
    </w:p>
    <w:p>
      <w:pPr>
        <w:pStyle w:val="Heading1"/>
      </w:pPr>
      <w:r>
        <w:t>Part 4 — Term Sheet: Material Business and Legal Terms</w:t>
      </w:r>
    </w:p>
    <w:p>
      <w:pPr>
        <w:pStyle w:val="Heading2"/>
      </w:pPr>
      <w:r>
        <w:t>4.1 Parties, Signatories and Transaction Professionals</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Seller</w:t>
            </w:r>
          </w:p>
        </w:tc>
        <w:tc>
          <w:tcPr>
            <w:tcW w:type="dxa" w:w="1080"/>
          </w:tcPr>
          <w:p>
            <w:pPr>
              <w:spacing w:after="20"/>
            </w:pPr>
            <w:r/>
            <w:r>
              <w:rPr>
                <w:b w:val="0"/>
                <w:i w:val="0"/>
                <w:sz w:val="17"/>
              </w:rPr>
              <w:t>Preamble; §7.1(a)</w:t>
            </w:r>
          </w:p>
        </w:tc>
        <w:tc>
          <w:tcPr>
            <w:tcW w:type="dxa" w:w="5760"/>
          </w:tcPr>
          <w:p>
            <w:pPr>
              <w:spacing w:after="20"/>
            </w:pPr>
            <w:r/>
            <w:r>
              <w:rPr>
                <w:b w:val="0"/>
                <w:i w:val="0"/>
                <w:sz w:val="17"/>
              </w:rPr>
              <w:t>Meridian Office Holdings LP, a Virginia limited partnership formed September 22, 2011. Sole GP: Meridian GP Inc. (Virginia corporation). Signatory: Marcus Ellison, President of Meridian GP Inc. Notice: 11700 Plaza America Drive, Suite 300, Reston, VA 20190; mellison@meridianoffice.com.</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Buyer</w:t>
            </w:r>
          </w:p>
        </w:tc>
        <w:tc>
          <w:tcPr>
            <w:tcW w:type="dxa" w:w="1080"/>
            <w:shd w:val="clear" w:color="auto" w:fill="EEF2F8"/>
          </w:tcPr>
          <w:p>
            <w:pPr>
              <w:spacing w:after="20"/>
            </w:pPr>
            <w:r/>
            <w:r>
              <w:rPr>
                <w:b w:val="0"/>
                <w:i w:val="0"/>
                <w:sz w:val="17"/>
              </w:rPr>
              <w:t>Preamble; §7.5(a); signature page</w:t>
            </w:r>
          </w:p>
        </w:tc>
        <w:tc>
          <w:tcPr>
            <w:tcW w:type="dxa" w:w="5760"/>
            <w:shd w:val="clear" w:color="auto" w:fill="EEF2F8"/>
          </w:tcPr>
          <w:p>
            <w:pPr>
              <w:spacing w:after="20"/>
            </w:pPr>
            <w:r/>
            <w:r>
              <w:rPr>
                <w:b/>
                <w:i w:val="0"/>
                <w:sz w:val="17"/>
              </w:rPr>
              <w:t>Bridgewater Capital Partners LLC</w:t>
            </w:r>
            <w:r>
              <w:rPr>
                <w:b w:val="0"/>
                <w:i w:val="0"/>
                <w:sz w:val="17"/>
              </w:rPr>
              <w:t xml:space="preserve">, a Delaware LLC formed March 14, 2019; to be qualified in Virginia before Closing. Signed by David Kowalski and Priya Venkataraman, each as Managing Member. Notice (§15.2), however, is addressed to </w:t>
            </w:r>
            <w:r>
              <w:rPr>
                <w:b/>
                <w:i w:val="0"/>
                <w:sz w:val="17"/>
              </w:rPr>
              <w:t>Calverley Capital Partners LLC</w:t>
            </w:r>
            <w:r>
              <w:rPr>
                <w:b w:val="0"/>
                <w:i w:val="0"/>
                <w:sz w:val="17"/>
              </w:rPr>
              <w:t>, 2200 Pennsylvania Avenue NW, Suite 800, Washington, DC 20037, Attn: Rebecca Thornton (rthornton@bridgewatercap.com).</w:t>
            </w:r>
          </w:p>
        </w:tc>
        <w:tc>
          <w:tcPr>
            <w:tcW w:type="dxa" w:w="936"/>
            <w:shd w:val="clear" w:color="auto" w:fill="EEF2F8"/>
          </w:tcPr>
          <w:p>
            <w:pPr>
              <w:spacing w:after="20"/>
            </w:pPr>
            <w:r/>
            <w:r>
              <w:rPr>
                <w:b w:val="0"/>
                <w:i w:val="0"/>
                <w:sz w:val="17"/>
              </w:rPr>
              <w:t>1</w:t>
            </w:r>
          </w:p>
        </w:tc>
      </w:tr>
      <w:tr>
        <w:tc>
          <w:tcPr>
            <w:tcW w:type="dxa" w:w="1872"/>
          </w:tcPr>
          <w:p>
            <w:pPr>
              <w:spacing w:after="20"/>
            </w:pPr>
            <w:r/>
            <w:r>
              <w:rPr>
                <w:b/>
                <w:i w:val="0"/>
                <w:sz w:val="17"/>
              </w:rPr>
              <w:t>Escrow Agent / Title Company</w:t>
            </w:r>
          </w:p>
        </w:tc>
        <w:tc>
          <w:tcPr>
            <w:tcW w:type="dxa" w:w="1080"/>
          </w:tcPr>
          <w:p>
            <w:pPr>
              <w:spacing w:after="20"/>
            </w:pPr>
            <w:r/>
            <w:r>
              <w:rPr>
                <w:b w:val="0"/>
                <w:i w:val="0"/>
                <w:sz w:val="17"/>
              </w:rPr>
              <w:t>§1.1; joinder</w:t>
            </w:r>
          </w:p>
        </w:tc>
        <w:tc>
          <w:tcPr>
            <w:tcW w:type="dxa" w:w="5760"/>
          </w:tcPr>
          <w:p>
            <w:pPr>
              <w:spacing w:after="20"/>
            </w:pPr>
            <w:r/>
            <w:r>
              <w:rPr>
                <w:b w:val="0"/>
                <w:i w:val="0"/>
                <w:sz w:val="17"/>
              </w:rPr>
              <w:t>Commonwealth Title &amp; Escrow LLC (Virginia LLC), 1801 Robert Fulcroft Drive, Suite 200, Reston, VA 20191; Escrow Officer Jennifer Walsh (jwalsh@commonwealthtitle.com). Joins solely to acknowledge Article III obligations; third-party beneficiary of Article III (§15.10).</w:t>
            </w:r>
          </w:p>
        </w:tc>
        <w:tc>
          <w:tcPr>
            <w:tcW w:type="dxa" w:w="936"/>
          </w:tcPr>
          <w:p>
            <w:pPr>
              <w:spacing w:after="20"/>
            </w:pPr>
            <w:r/>
            <w:r>
              <w:rPr>
                <w:b w:val="0"/>
                <w:i w:val="0"/>
                <w:sz w:val="17"/>
              </w:rPr>
              <w:t>25</w:t>
            </w:r>
          </w:p>
        </w:tc>
      </w:tr>
      <w:tr>
        <w:tc>
          <w:tcPr>
            <w:tcW w:type="dxa" w:w="1872"/>
            <w:shd w:val="clear" w:color="auto" w:fill="EEF2F8"/>
          </w:tcPr>
          <w:p>
            <w:pPr>
              <w:spacing w:after="20"/>
            </w:pPr>
            <w:r/>
            <w:r>
              <w:rPr>
                <w:b/>
                <w:i w:val="0"/>
                <w:sz w:val="17"/>
              </w:rPr>
              <w:t>Seller’s counsel</w:t>
            </w:r>
          </w:p>
        </w:tc>
        <w:tc>
          <w:tcPr>
            <w:tcW w:type="dxa" w:w="1080"/>
            <w:shd w:val="clear" w:color="auto" w:fill="EEF2F8"/>
          </w:tcPr>
          <w:p>
            <w:pPr>
              <w:spacing w:after="20"/>
            </w:pPr>
            <w:r/>
            <w:r>
              <w:rPr>
                <w:b w:val="0"/>
                <w:i w:val="0"/>
                <w:sz w:val="17"/>
              </w:rPr>
              <w:t>§15.2</w:t>
            </w:r>
          </w:p>
        </w:tc>
        <w:tc>
          <w:tcPr>
            <w:tcW w:type="dxa" w:w="5760"/>
            <w:shd w:val="clear" w:color="auto" w:fill="EEF2F8"/>
          </w:tcPr>
          <w:p>
            <w:pPr>
              <w:spacing w:after="20"/>
            </w:pPr>
            <w:r/>
            <w:r>
              <w:rPr>
                <w:b w:val="0"/>
                <w:i w:val="0"/>
                <w:sz w:val="17"/>
              </w:rPr>
              <w:t>Ferndale &amp; Aldrich LLP, 8300 Greensboro Drive, Suite 750, McLean, VA 22102, Attn: Sandra Aldrich (notice email listed as saldrich@fenwickaldrich.com).</w:t>
            </w:r>
          </w:p>
        </w:tc>
        <w:tc>
          <w:tcPr>
            <w:tcW w:type="dxa" w:w="936"/>
            <w:shd w:val="clear" w:color="auto" w:fill="EEF2F8"/>
          </w:tcPr>
          <w:p>
            <w:pPr>
              <w:spacing w:after="20"/>
            </w:pPr>
            <w:r/>
            <w:r>
              <w:rPr>
                <w:b w:val="0"/>
                <w:i w:val="0"/>
                <w:sz w:val="17"/>
              </w:rPr>
              <w:t>23</w:t>
            </w:r>
          </w:p>
        </w:tc>
      </w:tr>
      <w:tr>
        <w:tc>
          <w:tcPr>
            <w:tcW w:type="dxa" w:w="1872"/>
          </w:tcPr>
          <w:p>
            <w:pPr>
              <w:spacing w:after="20"/>
            </w:pPr>
            <w:r/>
            <w:r>
              <w:rPr>
                <w:b/>
                <w:i w:val="0"/>
                <w:sz w:val="17"/>
              </w:rPr>
              <w:t>Buyer’s counsel</w:t>
            </w:r>
          </w:p>
        </w:tc>
        <w:tc>
          <w:tcPr>
            <w:tcW w:type="dxa" w:w="1080"/>
          </w:tcPr>
          <w:p>
            <w:pPr>
              <w:spacing w:after="20"/>
            </w:pPr>
            <w:r/>
            <w:r>
              <w:rPr>
                <w:b w:val="0"/>
                <w:i w:val="0"/>
                <w:sz w:val="17"/>
              </w:rPr>
              <w:t>§15.2</w:t>
            </w:r>
          </w:p>
        </w:tc>
        <w:tc>
          <w:tcPr>
            <w:tcW w:type="dxa" w:w="5760"/>
          </w:tcPr>
          <w:p>
            <w:pPr>
              <w:spacing w:after="20"/>
            </w:pPr>
            <w:r/>
            <w:r>
              <w:rPr>
                <w:b w:val="0"/>
                <w:i w:val="0"/>
                <w:sz w:val="17"/>
              </w:rPr>
              <w:t>Hargrave, Mitchell &amp; Stone LLP, 1900 K Street NW, Suite 1200, Washington, DC 20006, Attn: Jonathan Hargrave (notice email listed as jhargrave@hmstone.com).</w:t>
            </w:r>
          </w:p>
        </w:tc>
        <w:tc>
          <w:tcPr>
            <w:tcW w:type="dxa" w:w="936"/>
          </w:tcPr>
          <w:p>
            <w:pPr>
              <w:spacing w:after="20"/>
            </w:pPr>
            <w:r/>
            <w:r>
              <w:rPr>
                <w:b w:val="0"/>
                <w:i w:val="0"/>
                <w:sz w:val="17"/>
              </w:rPr>
              <w:t>23</w:t>
            </w:r>
          </w:p>
        </w:tc>
      </w:tr>
      <w:tr>
        <w:tc>
          <w:tcPr>
            <w:tcW w:type="dxa" w:w="1872"/>
            <w:shd w:val="clear" w:color="auto" w:fill="EEF2F8"/>
          </w:tcPr>
          <w:p>
            <w:pPr>
              <w:spacing w:after="20"/>
            </w:pPr>
            <w:r/>
            <w:r>
              <w:rPr>
                <w:b/>
                <w:i w:val="0"/>
                <w:sz w:val="17"/>
              </w:rPr>
              <w:t>Brokers</w:t>
            </w:r>
          </w:p>
        </w:tc>
        <w:tc>
          <w:tcPr>
            <w:tcW w:type="dxa" w:w="1080"/>
            <w:shd w:val="clear" w:color="auto" w:fill="EEF2F8"/>
          </w:tcPr>
          <w:p>
            <w:pPr>
              <w:spacing w:after="20"/>
            </w:pPr>
            <w:r/>
            <w:r>
              <w:rPr>
                <w:b w:val="0"/>
                <w:i w:val="0"/>
                <w:sz w:val="17"/>
              </w:rPr>
              <w:t>§15.1</w:t>
            </w:r>
          </w:p>
        </w:tc>
        <w:tc>
          <w:tcPr>
            <w:tcW w:type="dxa" w:w="5760"/>
            <w:shd w:val="clear" w:color="auto" w:fill="EEF2F8"/>
          </w:tcPr>
          <w:p>
            <w:pPr>
              <w:spacing w:after="20"/>
            </w:pPr>
            <w:r/>
            <w:r>
              <w:rPr>
                <w:b w:val="0"/>
                <w:i w:val="0"/>
                <w:sz w:val="17"/>
              </w:rPr>
              <w:t>Seller’s broker: Greystone Realty Advisors LLC. Buyer’s broker: Keystone Commercial Partners LLC. Each party represents no other broker; mutual brokerage indemnities.</w:t>
            </w:r>
          </w:p>
        </w:tc>
        <w:tc>
          <w:tcPr>
            <w:tcW w:type="dxa" w:w="936"/>
            <w:shd w:val="clear" w:color="auto" w:fill="EEF2F8"/>
          </w:tcPr>
          <w:p>
            <w:pPr>
              <w:spacing w:after="20"/>
            </w:pPr>
            <w:r/>
            <w:r>
              <w:rPr>
                <w:b w:val="0"/>
                <w:i w:val="0"/>
                <w:sz w:val="17"/>
              </w:rPr>
              <w:t>—</w:t>
            </w:r>
          </w:p>
        </w:tc>
      </w:tr>
      <w:tr>
        <w:tc>
          <w:tcPr>
            <w:tcW w:type="dxa" w:w="1872"/>
          </w:tcPr>
          <w:p>
            <w:pPr>
              <w:spacing w:after="20"/>
            </w:pPr>
            <w:r/>
            <w:r>
              <w:rPr>
                <w:b/>
                <w:i w:val="0"/>
                <w:sz w:val="17"/>
              </w:rPr>
              <w:t>Lender (contemplated)</w:t>
            </w:r>
          </w:p>
        </w:tc>
        <w:tc>
          <w:tcPr>
            <w:tcW w:type="dxa" w:w="1080"/>
          </w:tcPr>
          <w:p>
            <w:pPr>
              <w:spacing w:after="20"/>
            </w:pPr>
            <w:r/>
            <w:r>
              <w:rPr>
                <w:b w:val="0"/>
                <w:i w:val="0"/>
                <w:sz w:val="17"/>
              </w:rPr>
              <w:t>§§9.4, 10.2(a)</w:t>
            </w:r>
          </w:p>
        </w:tc>
        <w:tc>
          <w:tcPr>
            <w:tcW w:type="dxa" w:w="5760"/>
          </w:tcPr>
          <w:p>
            <w:pPr>
              <w:spacing w:after="20"/>
            </w:pPr>
            <w:r/>
            <w:r>
              <w:rPr>
                <w:b w:val="0"/>
                <w:i w:val="0"/>
                <w:sz w:val="17"/>
              </w:rPr>
              <w:t>Pinnacle National Bank (or affiliate) — first mortgage loan up to $57,037,500 (≈65% LTV).</w:t>
            </w:r>
          </w:p>
        </w:tc>
        <w:tc>
          <w:tcPr>
            <w:tcW w:type="dxa" w:w="936"/>
          </w:tcPr>
          <w:p>
            <w:pPr>
              <w:spacing w:after="20"/>
            </w:pPr>
            <w:r/>
            <w:r>
              <w:rPr>
                <w:b w:val="0"/>
                <w:i w:val="0"/>
                <w:sz w:val="17"/>
              </w:rPr>
              <w:t>6</w:t>
            </w:r>
          </w:p>
        </w:tc>
      </w:tr>
      <w:tr>
        <w:tc>
          <w:tcPr>
            <w:tcW w:type="dxa" w:w="1872"/>
            <w:shd w:val="clear" w:color="auto" w:fill="EEF2F8"/>
          </w:tcPr>
          <w:p>
            <w:pPr>
              <w:spacing w:after="20"/>
            </w:pPr>
            <w:r/>
            <w:r>
              <w:rPr>
                <w:b/>
                <w:i w:val="0"/>
                <w:sz w:val="17"/>
              </w:rPr>
              <w:t>Environmental consultant</w:t>
            </w:r>
          </w:p>
        </w:tc>
        <w:tc>
          <w:tcPr>
            <w:tcW w:type="dxa" w:w="1080"/>
            <w:shd w:val="clear" w:color="auto" w:fill="EEF2F8"/>
          </w:tcPr>
          <w:p>
            <w:pPr>
              <w:spacing w:after="20"/>
            </w:pPr>
            <w:r/>
            <w:r>
              <w:rPr>
                <w:b w:val="0"/>
                <w:i w:val="0"/>
                <w:sz w:val="17"/>
              </w:rPr>
              <w:t>§§4.2(d), 7.1(k)</w:t>
            </w:r>
          </w:p>
        </w:tc>
        <w:tc>
          <w:tcPr>
            <w:tcW w:type="dxa" w:w="5760"/>
            <w:shd w:val="clear" w:color="auto" w:fill="EEF2F8"/>
          </w:tcPr>
          <w:p>
            <w:pPr>
              <w:spacing w:after="20"/>
            </w:pPr>
            <w:r/>
            <w:r>
              <w:rPr>
                <w:b w:val="0"/>
                <w:i w:val="0"/>
                <w:sz w:val="17"/>
              </w:rPr>
              <w:t>Clearfield Environmental Consulting LLC — Phase I dated August 15, 2024 (prepared for Calverley Capital Partners LLC).</w:t>
            </w:r>
          </w:p>
        </w:tc>
        <w:tc>
          <w:tcPr>
            <w:tcW w:type="dxa" w:w="936"/>
            <w:shd w:val="clear" w:color="auto" w:fill="EEF2F8"/>
          </w:tcPr>
          <w:p>
            <w:pPr>
              <w:spacing w:after="20"/>
            </w:pPr>
            <w:r/>
            <w:r>
              <w:rPr>
                <w:b w:val="0"/>
                <w:i w:val="0"/>
                <w:sz w:val="17"/>
              </w:rPr>
              <w:t>3–5</w:t>
            </w:r>
          </w:p>
        </w:tc>
      </w:tr>
    </w:tbl>
    <w:p>
      <w:pPr>
        <w:spacing w:after="40"/>
      </w:pPr>
    </w:p>
    <w:p>
      <w:pPr>
        <w:pStyle w:val="Heading2"/>
      </w:pPr>
      <w:r>
        <w:t>4.2 Property Description</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Name / address</w:t>
            </w:r>
          </w:p>
        </w:tc>
        <w:tc>
          <w:tcPr>
            <w:tcW w:type="dxa" w:w="1080"/>
          </w:tcPr>
          <w:p>
            <w:pPr>
              <w:spacing w:after="20"/>
            </w:pPr>
            <w:r/>
            <w:r>
              <w:rPr>
                <w:b w:val="0"/>
                <w:i w:val="0"/>
                <w:sz w:val="17"/>
              </w:rPr>
              <w:t>Recitals; §1.1</w:t>
            </w:r>
          </w:p>
        </w:tc>
        <w:tc>
          <w:tcPr>
            <w:tcW w:type="dxa" w:w="5760"/>
          </w:tcPr>
          <w:p>
            <w:pPr>
              <w:spacing w:after="20"/>
            </w:pPr>
            <w:r/>
            <w:r>
              <w:rPr>
                <w:b w:val="0"/>
                <w:i w:val="0"/>
                <w:sz w:val="17"/>
              </w:rPr>
              <w:t>Meridian Corporate Center, 11600, 11620 and 11640 Corporate Park Drive, Reston, Fairfax County, Virginia 20191.</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Land</w:t>
            </w:r>
          </w:p>
        </w:tc>
        <w:tc>
          <w:tcPr>
            <w:tcW w:type="dxa" w:w="1080"/>
            <w:shd w:val="clear" w:color="auto" w:fill="EEF2F8"/>
          </w:tcPr>
          <w:p>
            <w:pPr>
              <w:spacing w:after="20"/>
            </w:pPr>
            <w:r/>
            <w:r>
              <w:rPr>
                <w:b w:val="0"/>
                <w:i w:val="0"/>
                <w:sz w:val="17"/>
              </w:rPr>
              <w:t>§1.1 “Land”; Exh. A</w:t>
            </w:r>
          </w:p>
        </w:tc>
        <w:tc>
          <w:tcPr>
            <w:tcW w:type="dxa" w:w="5760"/>
            <w:shd w:val="clear" w:color="auto" w:fill="EEF2F8"/>
          </w:tcPr>
          <w:p>
            <w:pPr>
              <w:spacing w:after="20"/>
            </w:pPr>
            <w:r/>
            <w:r>
              <w:rPr>
                <w:b w:val="0"/>
                <w:i w:val="0"/>
                <w:sz w:val="17"/>
              </w:rPr>
              <w:t>Tax Map Parcels 0264-01-0017A, -0017B and -0017C; ≈22.8 acres (Exhibit A: 22.800 ± 0.02 ac), per Plat of Resubdivision of Lots 17A, 17B and 17C (Bowman Consulting, Apr. 22, 2011, DB 24837/1412); vesting deed DB 25104/0887. Exhibit A describes the parcel as in the “Dranesville District.”</w:t>
            </w:r>
          </w:p>
        </w:tc>
        <w:tc>
          <w:tcPr>
            <w:tcW w:type="dxa" w:w="936"/>
            <w:shd w:val="clear" w:color="auto" w:fill="EEF2F8"/>
          </w:tcPr>
          <w:p>
            <w:pPr>
              <w:spacing w:after="20"/>
            </w:pPr>
            <w:r/>
            <w:r>
              <w:rPr>
                <w:b w:val="0"/>
                <w:i w:val="0"/>
                <w:sz w:val="17"/>
              </w:rPr>
              <w:t>13</w:t>
            </w:r>
          </w:p>
        </w:tc>
      </w:tr>
      <w:tr>
        <w:tc>
          <w:tcPr>
            <w:tcW w:type="dxa" w:w="1872"/>
          </w:tcPr>
          <w:p>
            <w:pPr>
              <w:spacing w:after="20"/>
            </w:pPr>
            <w:r/>
            <w:r>
              <w:rPr>
                <w:b/>
                <w:i w:val="0"/>
                <w:sz w:val="17"/>
              </w:rPr>
              <w:t>Improvements</w:t>
            </w:r>
          </w:p>
        </w:tc>
        <w:tc>
          <w:tcPr>
            <w:tcW w:type="dxa" w:w="1080"/>
          </w:tcPr>
          <w:p>
            <w:pPr>
              <w:spacing w:after="20"/>
            </w:pPr>
            <w:r/>
            <w:r>
              <w:rPr>
                <w:b w:val="0"/>
                <w:i w:val="0"/>
                <w:sz w:val="17"/>
              </w:rPr>
              <w:t>§1.1 “Improvements”</w:t>
            </w:r>
          </w:p>
        </w:tc>
        <w:tc>
          <w:tcPr>
            <w:tcW w:type="dxa" w:w="5760"/>
          </w:tcPr>
          <w:p>
            <w:pPr>
              <w:spacing w:after="20"/>
            </w:pPr>
            <w:r/>
            <w:r>
              <w:rPr>
                <w:b w:val="0"/>
                <w:i w:val="0"/>
                <w:sz w:val="17"/>
              </w:rPr>
              <w:t>Three Class A office buildings (2013): Building A (11600) ≈118,000 RSF; Building B (11620) ≈104,000 RSF; Building C (11640) ≈90,000 RSF; total ≈312,000 RSF; structured garage with 1,248 spaces (4.0/1,000 RSF).</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Occupancy</w:t>
            </w:r>
          </w:p>
        </w:tc>
        <w:tc>
          <w:tcPr>
            <w:tcW w:type="dxa" w:w="1080"/>
            <w:shd w:val="clear" w:color="auto" w:fill="EEF2F8"/>
          </w:tcPr>
          <w:p>
            <w:pPr>
              <w:spacing w:after="20"/>
            </w:pPr>
            <w:r/>
            <w:r>
              <w:rPr>
                <w:b w:val="0"/>
                <w:i w:val="0"/>
                <w:sz w:val="17"/>
              </w:rPr>
              <w:t>Recitals; §§3.1, 7.1(g); Exh. F</w:t>
            </w:r>
          </w:p>
        </w:tc>
        <w:tc>
          <w:tcPr>
            <w:tcW w:type="dxa" w:w="5760"/>
            <w:shd w:val="clear" w:color="auto" w:fill="EEF2F8"/>
          </w:tcPr>
          <w:p>
            <w:pPr>
              <w:spacing w:after="20"/>
            </w:pPr>
            <w:r/>
            <w:r>
              <w:rPr>
                <w:b w:val="0"/>
                <w:i w:val="0"/>
                <w:sz w:val="17"/>
              </w:rPr>
              <w:t>≈82% occupied; 14 tenants; 258,140 SF leased (82.7%) — Bldg A 95.7%, Bldg B 81.3%, Bldg C 67.4%.</w:t>
            </w:r>
          </w:p>
        </w:tc>
        <w:tc>
          <w:tcPr>
            <w:tcW w:type="dxa" w:w="936"/>
            <w:shd w:val="clear" w:color="auto" w:fill="EEF2F8"/>
          </w:tcPr>
          <w:p>
            <w:pPr>
              <w:spacing w:after="20"/>
            </w:pPr>
            <w:r/>
            <w:r>
              <w:rPr>
                <w:b w:val="0"/>
                <w:i w:val="0"/>
                <w:sz w:val="17"/>
              </w:rPr>
              <w:t>17</w:t>
            </w:r>
          </w:p>
        </w:tc>
      </w:tr>
      <w:tr>
        <w:tc>
          <w:tcPr>
            <w:tcW w:type="dxa" w:w="1872"/>
          </w:tcPr>
          <w:p>
            <w:pPr>
              <w:spacing w:after="20"/>
            </w:pPr>
            <w:r/>
            <w:r>
              <w:rPr>
                <w:b/>
                <w:i w:val="0"/>
                <w:sz w:val="17"/>
              </w:rPr>
              <w:t>Conveyed property</w:t>
            </w:r>
          </w:p>
        </w:tc>
        <w:tc>
          <w:tcPr>
            <w:tcW w:type="dxa" w:w="1080"/>
          </w:tcPr>
          <w:p>
            <w:pPr>
              <w:spacing w:after="20"/>
            </w:pPr>
            <w:r/>
            <w:r>
              <w:rPr>
                <w:b w:val="0"/>
                <w:i w:val="0"/>
                <w:sz w:val="17"/>
              </w:rPr>
              <w:t>§§1.1 “Property”, 2.2</w:t>
            </w:r>
          </w:p>
        </w:tc>
        <w:tc>
          <w:tcPr>
            <w:tcW w:type="dxa" w:w="5760"/>
          </w:tcPr>
          <w:p>
            <w:pPr>
              <w:spacing w:after="20"/>
            </w:pPr>
            <w:r/>
            <w:r>
              <w:rPr>
                <w:b w:val="0"/>
                <w:i w:val="0"/>
                <w:sz w:val="17"/>
              </w:rPr>
              <w:t>(a) Land; (b) Improvements and fixtures; (c) easements, appurtenances, development, air and mineral rights; (d) Leases and security deposits (with accrued interest); (e) Service Contracts assumed by Buyer; (f) Intangible Property, including warranties, permits, entitlements, trade name “Meridian Corporate Center,” domains, telephone numbers and marketing materials; (g) tangible personal property owned by Seller and located on or used exclusively at the Property.</w:t>
            </w:r>
          </w:p>
        </w:tc>
        <w:tc>
          <w:tcPr>
            <w:tcW w:type="dxa" w:w="936"/>
          </w:tcPr>
          <w:p>
            <w:pPr>
              <w:spacing w:after="20"/>
            </w:pPr>
            <w:r/>
            <w:r>
              <w:rPr>
                <w:b w:val="0"/>
                <w:i w:val="0"/>
                <w:sz w:val="17"/>
              </w:rPr>
              <w:t>30</w:t>
            </w:r>
          </w:p>
        </w:tc>
      </w:tr>
      <w:tr>
        <w:tc>
          <w:tcPr>
            <w:tcW w:type="dxa" w:w="1872"/>
            <w:shd w:val="clear" w:color="auto" w:fill="EEF2F8"/>
          </w:tcPr>
          <w:p>
            <w:pPr>
              <w:spacing w:after="20"/>
            </w:pPr>
            <w:r/>
            <w:r>
              <w:rPr>
                <w:b/>
                <w:i w:val="0"/>
                <w:sz w:val="17"/>
              </w:rPr>
              <w:t>Access</w:t>
            </w:r>
          </w:p>
        </w:tc>
        <w:tc>
          <w:tcPr>
            <w:tcW w:type="dxa" w:w="1080"/>
            <w:shd w:val="clear" w:color="auto" w:fill="EEF2F8"/>
          </w:tcPr>
          <w:p>
            <w:pPr>
              <w:spacing w:after="20"/>
            </w:pPr>
            <w:r/>
            <w:r>
              <w:rPr>
                <w:b w:val="0"/>
                <w:i w:val="0"/>
                <w:sz w:val="17"/>
              </w:rPr>
              <w:t>§7.1(q)</w:t>
            </w:r>
          </w:p>
        </w:tc>
        <w:tc>
          <w:tcPr>
            <w:tcW w:type="dxa" w:w="5760"/>
            <w:shd w:val="clear" w:color="auto" w:fill="EEF2F8"/>
          </w:tcPr>
          <w:p>
            <w:pPr>
              <w:spacing w:after="20"/>
            </w:pPr>
            <w:r/>
            <w:r>
              <w:rPr>
                <w:b w:val="0"/>
                <w:i w:val="0"/>
                <w:sz w:val="17"/>
              </w:rPr>
              <w:t>Legal and physical access to Corporate Park Drive and Technology Boulevard.</w:t>
            </w:r>
          </w:p>
        </w:tc>
        <w:tc>
          <w:tcPr>
            <w:tcW w:type="dxa" w:w="936"/>
            <w:shd w:val="clear" w:color="auto" w:fill="EEF2F8"/>
          </w:tcPr>
          <w:p>
            <w:pPr>
              <w:spacing w:after="20"/>
            </w:pPr>
            <w:r/>
            <w:r>
              <w:rPr>
                <w:b w:val="0"/>
                <w:i w:val="0"/>
                <w:sz w:val="17"/>
              </w:rPr>
              <w:t>—</w:t>
            </w:r>
          </w:p>
        </w:tc>
      </w:tr>
    </w:tbl>
    <w:p>
      <w:pPr>
        <w:spacing w:after="40"/>
      </w:pPr>
    </w:p>
    <w:p>
      <w:pPr>
        <w:pStyle w:val="Heading2"/>
      </w:pPr>
      <w:r>
        <w:t>4.3 Purchase Price, Deposits and Escrow</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Purchase Price</w:t>
            </w:r>
          </w:p>
        </w:tc>
        <w:tc>
          <w:tcPr>
            <w:tcW w:type="dxa" w:w="1080"/>
          </w:tcPr>
          <w:p>
            <w:pPr>
              <w:spacing w:after="20"/>
            </w:pPr>
            <w:r/>
            <w:r>
              <w:rPr>
                <w:b w:val="0"/>
                <w:i w:val="0"/>
                <w:sz w:val="17"/>
              </w:rPr>
              <w:t>§§1.1, 3.1</w:t>
            </w:r>
          </w:p>
        </w:tc>
        <w:tc>
          <w:tcPr>
            <w:tcW w:type="dxa" w:w="5760"/>
          </w:tcPr>
          <w:p>
            <w:pPr>
              <w:spacing w:after="20"/>
            </w:pPr>
            <w:r/>
            <w:r>
              <w:rPr>
                <w:b w:val="0"/>
                <w:i w:val="0"/>
                <w:sz w:val="17"/>
              </w:rPr>
              <w:t>$87,750,000.00, payable per Article III and subject to Article VI prorations.</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Initial Deposit</w:t>
            </w:r>
          </w:p>
        </w:tc>
        <w:tc>
          <w:tcPr>
            <w:tcW w:type="dxa" w:w="1080"/>
            <w:shd w:val="clear" w:color="auto" w:fill="EEF2F8"/>
          </w:tcPr>
          <w:p>
            <w:pPr>
              <w:spacing w:after="20"/>
            </w:pPr>
            <w:r/>
            <w:r>
              <w:rPr>
                <w:b w:val="0"/>
                <w:i w:val="0"/>
                <w:sz w:val="17"/>
              </w:rPr>
              <w:t>§§1.1, 3.2</w:t>
            </w:r>
          </w:p>
        </w:tc>
        <w:tc>
          <w:tcPr>
            <w:tcW w:type="dxa" w:w="5760"/>
            <w:shd w:val="clear" w:color="auto" w:fill="EEF2F8"/>
          </w:tcPr>
          <w:p>
            <w:pPr>
              <w:spacing w:after="20"/>
            </w:pPr>
            <w:r/>
            <w:r>
              <w:rPr>
                <w:b w:val="0"/>
                <w:i w:val="0"/>
                <w:sz w:val="17"/>
              </w:rPr>
              <w:t>$2,000,000.00 by wire within 3 BD after the Effective Date (due October 10, 2024); held in a federally insured, interest-bearing account at an institution reasonably acceptable to both parties; interest follows the Deposit; Buyer’s TIN used.</w:t>
            </w:r>
          </w:p>
        </w:tc>
        <w:tc>
          <w:tcPr>
            <w:tcW w:type="dxa" w:w="936"/>
            <w:shd w:val="clear" w:color="auto" w:fill="EEF2F8"/>
          </w:tcPr>
          <w:p>
            <w:pPr>
              <w:spacing w:after="20"/>
            </w:pPr>
            <w:r/>
            <w:r>
              <w:rPr>
                <w:b w:val="0"/>
                <w:i w:val="0"/>
                <w:sz w:val="17"/>
              </w:rPr>
              <w:t>25</w:t>
            </w:r>
          </w:p>
        </w:tc>
      </w:tr>
      <w:tr>
        <w:tc>
          <w:tcPr>
            <w:tcW w:type="dxa" w:w="1872"/>
          </w:tcPr>
          <w:p>
            <w:pPr>
              <w:spacing w:after="20"/>
            </w:pPr>
            <w:r/>
            <w:r>
              <w:rPr>
                <w:b/>
                <w:i w:val="0"/>
                <w:sz w:val="17"/>
              </w:rPr>
              <w:t>Additional Deposit</w:t>
            </w:r>
          </w:p>
        </w:tc>
        <w:tc>
          <w:tcPr>
            <w:tcW w:type="dxa" w:w="1080"/>
          </w:tcPr>
          <w:p>
            <w:pPr>
              <w:spacing w:after="20"/>
            </w:pPr>
            <w:r/>
            <w:r>
              <w:rPr>
                <w:b w:val="0"/>
                <w:i w:val="0"/>
                <w:sz w:val="17"/>
              </w:rPr>
              <w:t>§§1.1, 3.3</w:t>
            </w:r>
          </w:p>
        </w:tc>
        <w:tc>
          <w:tcPr>
            <w:tcW w:type="dxa" w:w="5760"/>
          </w:tcPr>
          <w:p>
            <w:pPr>
              <w:spacing w:after="20"/>
            </w:pPr>
            <w:r/>
            <w:r>
              <w:rPr>
                <w:b w:val="0"/>
                <w:i w:val="0"/>
                <w:sz w:val="17"/>
              </w:rPr>
              <w:t xml:space="preserve">$1,500,000.00 by wire within 5 BD after DD expiry — stated due date </w:t>
            </w:r>
            <w:r>
              <w:rPr>
                <w:b/>
                <w:i w:val="0"/>
                <w:sz w:val="17"/>
              </w:rPr>
              <w:t>November 29, 2024</w:t>
            </w:r>
            <w:r>
              <w:rPr>
                <w:b w:val="0"/>
                <w:i w:val="0"/>
                <w:sz w:val="17"/>
              </w:rPr>
              <w:t xml:space="preserve"> (Thanksgiving excluded). Held on the same terms as the Initial Deposit.</w:t>
            </w:r>
          </w:p>
        </w:tc>
        <w:tc>
          <w:tcPr>
            <w:tcW w:type="dxa" w:w="936"/>
          </w:tcPr>
          <w:p>
            <w:pPr>
              <w:spacing w:after="20"/>
            </w:pPr>
            <w:r/>
            <w:r>
              <w:rPr>
                <w:b w:val="0"/>
                <w:i w:val="0"/>
                <w:sz w:val="17"/>
              </w:rPr>
              <w:t>2</w:t>
            </w:r>
          </w:p>
        </w:tc>
      </w:tr>
      <w:tr>
        <w:tc>
          <w:tcPr>
            <w:tcW w:type="dxa" w:w="1872"/>
            <w:shd w:val="clear" w:color="auto" w:fill="EEF2F8"/>
          </w:tcPr>
          <w:p>
            <w:pPr>
              <w:spacing w:after="20"/>
            </w:pPr>
            <w:r/>
            <w:r>
              <w:rPr>
                <w:b/>
                <w:i w:val="0"/>
                <w:sz w:val="17"/>
              </w:rPr>
              <w:t>Total Deposit</w:t>
            </w:r>
          </w:p>
        </w:tc>
        <w:tc>
          <w:tcPr>
            <w:tcW w:type="dxa" w:w="1080"/>
            <w:shd w:val="clear" w:color="auto" w:fill="EEF2F8"/>
          </w:tcPr>
          <w:p>
            <w:pPr>
              <w:spacing w:after="20"/>
            </w:pPr>
            <w:r/>
            <w:r>
              <w:rPr>
                <w:b w:val="0"/>
                <w:i w:val="0"/>
                <w:sz w:val="17"/>
              </w:rPr>
              <w:t>§§1.1, 3.3</w:t>
            </w:r>
          </w:p>
        </w:tc>
        <w:tc>
          <w:tcPr>
            <w:tcW w:type="dxa" w:w="5760"/>
            <w:shd w:val="clear" w:color="auto" w:fill="EEF2F8"/>
          </w:tcPr>
          <w:p>
            <w:pPr>
              <w:spacing w:after="20"/>
            </w:pPr>
            <w:r/>
            <w:r>
              <w:rPr>
                <w:b w:val="0"/>
                <w:i w:val="0"/>
                <w:sz w:val="17"/>
              </w:rPr>
              <w:t>$3,500,000.00 plus interest.</w:t>
            </w:r>
          </w:p>
        </w:tc>
        <w:tc>
          <w:tcPr>
            <w:tcW w:type="dxa" w:w="936"/>
            <w:shd w:val="clear" w:color="auto" w:fill="EEF2F8"/>
          </w:tcPr>
          <w:p>
            <w:pPr>
              <w:spacing w:after="20"/>
            </w:pPr>
            <w:r/>
            <w:r>
              <w:rPr>
                <w:b w:val="0"/>
                <w:i w:val="0"/>
                <w:sz w:val="17"/>
              </w:rPr>
              <w:t>—</w:t>
            </w:r>
          </w:p>
        </w:tc>
      </w:tr>
      <w:tr>
        <w:tc>
          <w:tcPr>
            <w:tcW w:type="dxa" w:w="1872"/>
          </w:tcPr>
          <w:p>
            <w:pPr>
              <w:spacing w:after="20"/>
            </w:pPr>
            <w:r/>
            <w:r>
              <w:rPr>
                <w:b/>
                <w:i w:val="0"/>
                <w:sz w:val="17"/>
              </w:rPr>
              <w:t>Application</w:t>
            </w:r>
          </w:p>
        </w:tc>
        <w:tc>
          <w:tcPr>
            <w:tcW w:type="dxa" w:w="1080"/>
          </w:tcPr>
          <w:p>
            <w:pPr>
              <w:spacing w:after="20"/>
            </w:pPr>
            <w:r/>
            <w:r>
              <w:rPr>
                <w:b w:val="0"/>
                <w:i w:val="0"/>
                <w:sz w:val="17"/>
              </w:rPr>
              <w:t>§3.4</w:t>
            </w:r>
          </w:p>
        </w:tc>
        <w:tc>
          <w:tcPr>
            <w:tcW w:type="dxa" w:w="5760"/>
          </w:tcPr>
          <w:p>
            <w:pPr>
              <w:spacing w:after="20"/>
            </w:pPr>
            <w:r/>
            <w:r>
              <w:rPr>
                <w:b w:val="0"/>
                <w:i w:val="0"/>
                <w:sz w:val="17"/>
              </w:rPr>
              <w:t>Credited against the Purchase Price at Closing; on termination, returned or retained “as provided in the applicable termination provision.”</w:t>
            </w:r>
          </w:p>
        </w:tc>
        <w:tc>
          <w:tcPr>
            <w:tcW w:type="dxa" w:w="936"/>
          </w:tcPr>
          <w:p>
            <w:pPr>
              <w:spacing w:after="20"/>
            </w:pPr>
            <w:r/>
            <w:r>
              <w:rPr>
                <w:b w:val="0"/>
                <w:i w:val="0"/>
                <w:sz w:val="17"/>
              </w:rPr>
              <w:t>2</w:t>
            </w:r>
          </w:p>
        </w:tc>
      </w:tr>
      <w:tr>
        <w:tc>
          <w:tcPr>
            <w:tcW w:type="dxa" w:w="1872"/>
            <w:shd w:val="clear" w:color="auto" w:fill="EEF2F8"/>
          </w:tcPr>
          <w:p>
            <w:pPr>
              <w:spacing w:after="20"/>
            </w:pPr>
            <w:r/>
            <w:r>
              <w:rPr>
                <w:b/>
                <w:i w:val="0"/>
                <w:sz w:val="17"/>
              </w:rPr>
              <w:t>Closing payment</w:t>
            </w:r>
          </w:p>
        </w:tc>
        <w:tc>
          <w:tcPr>
            <w:tcW w:type="dxa" w:w="1080"/>
            <w:shd w:val="clear" w:color="auto" w:fill="EEF2F8"/>
          </w:tcPr>
          <w:p>
            <w:pPr>
              <w:spacing w:after="20"/>
            </w:pPr>
            <w:r/>
            <w:r>
              <w:rPr>
                <w:b w:val="0"/>
                <w:i w:val="0"/>
                <w:sz w:val="17"/>
              </w:rPr>
              <w:t>§3.5</w:t>
            </w:r>
          </w:p>
        </w:tc>
        <w:tc>
          <w:tcPr>
            <w:tcW w:type="dxa" w:w="5760"/>
            <w:shd w:val="clear" w:color="auto" w:fill="EEF2F8"/>
          </w:tcPr>
          <w:p>
            <w:pPr>
              <w:spacing w:after="20"/>
            </w:pPr>
            <w:r/>
            <w:r>
              <w:rPr>
                <w:b w:val="0"/>
                <w:i w:val="0"/>
                <w:sz w:val="17"/>
              </w:rPr>
              <w:t>Price less Deposit ($3,500,000) less Buyer credits (security deposits $487,320 + TI/LC $1,235,000 = $1,722,320) plus Seller credits, subject to prorations; wire to account designated by Seller ≥3 BD before Closing.</w:t>
            </w:r>
          </w:p>
        </w:tc>
        <w:tc>
          <w:tcPr>
            <w:tcW w:type="dxa" w:w="936"/>
            <w:shd w:val="clear" w:color="auto" w:fill="EEF2F8"/>
          </w:tcPr>
          <w:p>
            <w:pPr>
              <w:spacing w:after="20"/>
            </w:pPr>
            <w:r/>
            <w:r>
              <w:rPr>
                <w:b w:val="0"/>
                <w:i w:val="0"/>
                <w:sz w:val="17"/>
              </w:rPr>
              <w:t>—</w:t>
            </w:r>
          </w:p>
        </w:tc>
      </w:tr>
      <w:tr>
        <w:tc>
          <w:tcPr>
            <w:tcW w:type="dxa" w:w="1872"/>
          </w:tcPr>
          <w:p>
            <w:pPr>
              <w:spacing w:after="20"/>
            </w:pPr>
            <w:r/>
            <w:r>
              <w:rPr>
                <w:b/>
                <w:i w:val="0"/>
                <w:sz w:val="17"/>
              </w:rPr>
              <w:t>Escrow disputes</w:t>
            </w:r>
          </w:p>
        </w:tc>
        <w:tc>
          <w:tcPr>
            <w:tcW w:type="dxa" w:w="1080"/>
          </w:tcPr>
          <w:p>
            <w:pPr>
              <w:spacing w:after="20"/>
            </w:pPr>
            <w:r/>
            <w:r>
              <w:rPr>
                <w:b w:val="0"/>
                <w:i w:val="0"/>
                <w:sz w:val="17"/>
              </w:rPr>
              <w:t>§12.3</w:t>
            </w:r>
          </w:p>
        </w:tc>
        <w:tc>
          <w:tcPr>
            <w:tcW w:type="dxa" w:w="5760"/>
          </w:tcPr>
          <w:p>
            <w:pPr>
              <w:spacing w:after="20"/>
            </w:pPr>
            <w:r/>
            <w:r>
              <w:rPr>
                <w:b w:val="0"/>
                <w:i w:val="0"/>
                <w:sz w:val="17"/>
              </w:rPr>
              <w:t>Escrow Agent may interplead the Deposit in a court of competent jurisdiction in Fairfax County, VA, and is then released; prevailing party recovers reasonable attorneys’ fees and costs.</w:t>
            </w:r>
          </w:p>
        </w:tc>
        <w:tc>
          <w:tcPr>
            <w:tcW w:type="dxa" w:w="936"/>
          </w:tcPr>
          <w:p>
            <w:pPr>
              <w:spacing w:after="20"/>
            </w:pPr>
            <w:r/>
            <w:r>
              <w:rPr>
                <w:b w:val="0"/>
                <w:i w:val="0"/>
                <w:sz w:val="17"/>
              </w:rPr>
              <w:t>10</w:t>
            </w:r>
          </w:p>
        </w:tc>
      </w:tr>
    </w:tbl>
    <w:p>
      <w:pPr>
        <w:spacing w:after="40"/>
      </w:pPr>
    </w:p>
    <w:p>
      <w:pPr>
        <w:pStyle w:val="Heading2"/>
      </w:pPr>
      <w:r>
        <w:t>4.4 Due Diligence Period, Document Deliveries and Access</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Due Diligence Period</w:t>
            </w:r>
          </w:p>
        </w:tc>
        <w:tc>
          <w:tcPr>
            <w:tcW w:type="dxa" w:w="1080"/>
          </w:tcPr>
          <w:p>
            <w:pPr>
              <w:spacing w:after="20"/>
            </w:pPr>
            <w:r/>
            <w:r>
              <w:rPr>
                <w:b w:val="0"/>
                <w:i w:val="0"/>
                <w:sz w:val="17"/>
              </w:rPr>
              <w:t>§§1.1, 4.1, 10.1</w:t>
            </w:r>
          </w:p>
        </w:tc>
        <w:tc>
          <w:tcPr>
            <w:tcW w:type="dxa" w:w="5760"/>
          </w:tcPr>
          <w:p>
            <w:pPr>
              <w:spacing w:after="20"/>
            </w:pPr>
            <w:r/>
            <w:r>
              <w:rPr>
                <w:b w:val="0"/>
                <w:i w:val="0"/>
                <w:sz w:val="17"/>
              </w:rPr>
              <w:t xml:space="preserve">Effective Date through </w:t>
            </w:r>
            <w:r>
              <w:rPr>
                <w:b/>
                <w:i w:val="0"/>
                <w:sz w:val="17"/>
              </w:rPr>
              <w:t>5:00 p.m. ET, November 21, 2024</w:t>
            </w:r>
            <w:r>
              <w:rPr>
                <w:b w:val="0"/>
                <w:i w:val="0"/>
                <w:sz w:val="17"/>
              </w:rPr>
              <w:t xml:space="preserve"> (45 days). Buyer may terminate in its sole and absolute discretion, for any or no reason, by written notice before expiry; Initial Deposit returned within 5 BD. Failure to notify = waiver.</w:t>
            </w:r>
          </w:p>
        </w:tc>
        <w:tc>
          <w:tcPr>
            <w:tcW w:type="dxa" w:w="936"/>
          </w:tcPr>
          <w:p>
            <w:pPr>
              <w:spacing w:after="20"/>
            </w:pPr>
            <w:r/>
            <w:r>
              <w:rPr>
                <w:b w:val="0"/>
                <w:i w:val="0"/>
                <w:sz w:val="17"/>
              </w:rPr>
              <w:t>4</w:t>
            </w:r>
          </w:p>
        </w:tc>
      </w:tr>
      <w:tr>
        <w:tc>
          <w:tcPr>
            <w:tcW w:type="dxa" w:w="1872"/>
            <w:shd w:val="clear" w:color="auto" w:fill="EEF2F8"/>
          </w:tcPr>
          <w:p>
            <w:pPr>
              <w:spacing w:after="20"/>
            </w:pPr>
            <w:r/>
            <w:r>
              <w:rPr>
                <w:b/>
                <w:i w:val="0"/>
                <w:sz w:val="17"/>
              </w:rPr>
              <w:t>Termination mechanics</w:t>
            </w:r>
          </w:p>
        </w:tc>
        <w:tc>
          <w:tcPr>
            <w:tcW w:type="dxa" w:w="1080"/>
            <w:shd w:val="clear" w:color="auto" w:fill="EEF2F8"/>
          </w:tcPr>
          <w:p>
            <w:pPr>
              <w:spacing w:after="20"/>
            </w:pPr>
            <w:r/>
            <w:r>
              <w:rPr>
                <w:b w:val="0"/>
                <w:i w:val="0"/>
                <w:sz w:val="17"/>
              </w:rPr>
              <w:t>§4.4</w:t>
            </w:r>
          </w:p>
        </w:tc>
        <w:tc>
          <w:tcPr>
            <w:tcW w:type="dxa" w:w="5760"/>
            <w:shd w:val="clear" w:color="auto" w:fill="EEF2F8"/>
          </w:tcPr>
          <w:p>
            <w:pPr>
              <w:spacing w:after="20"/>
            </w:pPr>
            <w:r/>
            <w:r>
              <w:rPr>
                <w:b w:val="0"/>
                <w:i w:val="0"/>
                <w:sz w:val="17"/>
              </w:rPr>
              <w:t>Notice due on or before 5:00 p.m. ET Nov 21, 2024; Escrow Agent returns Initial Deposit within 5 BD after receipt of notice; no Additional Deposit owed if not yet funded. After waiver Buyer must fund the Additional Deposit.</w:t>
            </w:r>
          </w:p>
        </w:tc>
        <w:tc>
          <w:tcPr>
            <w:tcW w:type="dxa" w:w="936"/>
            <w:shd w:val="clear" w:color="auto" w:fill="EEF2F8"/>
          </w:tcPr>
          <w:p>
            <w:pPr>
              <w:spacing w:after="20"/>
            </w:pPr>
            <w:r/>
            <w:r>
              <w:rPr>
                <w:b w:val="0"/>
                <w:i w:val="0"/>
                <w:sz w:val="17"/>
              </w:rPr>
              <w:t>—</w:t>
            </w:r>
          </w:p>
        </w:tc>
      </w:tr>
      <w:tr>
        <w:tc>
          <w:tcPr>
            <w:tcW w:type="dxa" w:w="1872"/>
          </w:tcPr>
          <w:p>
            <w:pPr>
              <w:spacing w:after="20"/>
            </w:pPr>
            <w:r/>
            <w:r>
              <w:rPr>
                <w:b/>
                <w:i w:val="0"/>
                <w:sz w:val="17"/>
              </w:rPr>
              <w:t>Seller deliveries</w:t>
            </w:r>
          </w:p>
        </w:tc>
        <w:tc>
          <w:tcPr>
            <w:tcW w:type="dxa" w:w="1080"/>
          </w:tcPr>
          <w:p>
            <w:pPr>
              <w:spacing w:after="20"/>
            </w:pPr>
            <w:r/>
            <w:r>
              <w:rPr>
                <w:b w:val="0"/>
                <w:i w:val="0"/>
                <w:sz w:val="17"/>
              </w:rPr>
              <w:t>§4.2</w:t>
            </w:r>
          </w:p>
        </w:tc>
        <w:tc>
          <w:tcPr>
            <w:tcW w:type="dxa" w:w="5760"/>
          </w:tcPr>
          <w:p>
            <w:pPr>
              <w:spacing w:after="20"/>
            </w:pPr>
            <w:r/>
            <w:r>
              <w:rPr>
                <w:b w:val="0"/>
                <w:i w:val="0"/>
                <w:sz w:val="17"/>
              </w:rPr>
              <w:t>Within 5 BD after the Effective Date, to the extent in Seller’s possession or control: (a) Leases and amendments/guaranties; (b) Rent Roll; (c) Service Contracts; (d) environmental, survey and engineering reports, including the Clearfield Phase I; (e) tax bills/assessments; (f) operating statements 2021–2023 and YTD 2024; (g) certificates of occupancy; (h) insurance policies; (i) plans and as-builts; (j) permits; (k) existing title policies; (l) existing surveys; (m) 24 months of tenant correspondence; (n) roof, elevator, HVAC warranties; (o) Metro Parking Solutions garage management agreement.</w:t>
            </w:r>
          </w:p>
        </w:tc>
        <w:tc>
          <w:tcPr>
            <w:tcW w:type="dxa" w:w="936"/>
          </w:tcPr>
          <w:p>
            <w:pPr>
              <w:spacing w:after="20"/>
            </w:pPr>
            <w:r/>
            <w:r>
              <w:rPr>
                <w:b w:val="0"/>
                <w:i w:val="0"/>
                <w:sz w:val="17"/>
              </w:rPr>
              <w:t>28</w:t>
            </w:r>
          </w:p>
        </w:tc>
      </w:tr>
      <w:tr>
        <w:tc>
          <w:tcPr>
            <w:tcW w:type="dxa" w:w="1872"/>
            <w:shd w:val="clear" w:color="auto" w:fill="EEF2F8"/>
          </w:tcPr>
          <w:p>
            <w:pPr>
              <w:spacing w:after="20"/>
            </w:pPr>
            <w:r/>
            <w:r>
              <w:rPr>
                <w:b/>
                <w:i w:val="0"/>
                <w:sz w:val="17"/>
              </w:rPr>
              <w:t>Access and testing</w:t>
            </w:r>
          </w:p>
        </w:tc>
        <w:tc>
          <w:tcPr>
            <w:tcW w:type="dxa" w:w="1080"/>
            <w:shd w:val="clear" w:color="auto" w:fill="EEF2F8"/>
          </w:tcPr>
          <w:p>
            <w:pPr>
              <w:spacing w:after="20"/>
            </w:pPr>
            <w:r/>
            <w:r>
              <w:rPr>
                <w:b w:val="0"/>
                <w:i w:val="0"/>
                <w:sz w:val="17"/>
              </w:rPr>
              <w:t>§4.3</w:t>
            </w:r>
          </w:p>
        </w:tc>
        <w:tc>
          <w:tcPr>
            <w:tcW w:type="dxa" w:w="5760"/>
            <w:shd w:val="clear" w:color="auto" w:fill="EEF2F8"/>
          </w:tcPr>
          <w:p>
            <w:pPr>
              <w:spacing w:after="20"/>
            </w:pPr>
            <w:r/>
            <w:r>
              <w:rPr>
                <w:b w:val="0"/>
                <w:i w:val="0"/>
                <w:sz w:val="17"/>
              </w:rPr>
              <w:t>Reasonable access during DD and through Closing, Mon–Fri 8:00 a.m.–6:00 p.m. ET on ≥24 hours’ written notice. Buyer may conduct “non-invasive physical inspections, Phase I and Phase II environmental site assessments, engineering assessments, and tenant interviews” (tenant interviews require Seller’s consent, not to be unreasonably withheld, conditioned or delayed).</w:t>
            </w:r>
          </w:p>
        </w:tc>
        <w:tc>
          <w:tcPr>
            <w:tcW w:type="dxa" w:w="936"/>
            <w:shd w:val="clear" w:color="auto" w:fill="EEF2F8"/>
          </w:tcPr>
          <w:p>
            <w:pPr>
              <w:spacing w:after="20"/>
            </w:pPr>
            <w:r/>
            <w:r>
              <w:rPr>
                <w:b w:val="0"/>
                <w:i w:val="0"/>
                <w:sz w:val="17"/>
              </w:rPr>
              <w:t>27</w:t>
            </w:r>
          </w:p>
        </w:tc>
      </w:tr>
      <w:tr>
        <w:tc>
          <w:tcPr>
            <w:tcW w:type="dxa" w:w="1872"/>
          </w:tcPr>
          <w:p>
            <w:pPr>
              <w:spacing w:after="20"/>
            </w:pPr>
            <w:r/>
            <w:r>
              <w:rPr>
                <w:b/>
                <w:i w:val="0"/>
                <w:sz w:val="17"/>
              </w:rPr>
              <w:t>Access insurance and indemnity</w:t>
            </w:r>
          </w:p>
        </w:tc>
        <w:tc>
          <w:tcPr>
            <w:tcW w:type="dxa" w:w="1080"/>
          </w:tcPr>
          <w:p>
            <w:pPr>
              <w:spacing w:after="20"/>
            </w:pPr>
            <w:r/>
            <w:r>
              <w:rPr>
                <w:b w:val="0"/>
                <w:i w:val="0"/>
                <w:sz w:val="17"/>
              </w:rPr>
              <w:t>§4.3</w:t>
            </w:r>
          </w:p>
        </w:tc>
        <w:tc>
          <w:tcPr>
            <w:tcW w:type="dxa" w:w="5760"/>
          </w:tcPr>
          <w:p>
            <w:pPr>
              <w:spacing w:after="20"/>
            </w:pPr>
            <w:r/>
            <w:r>
              <w:rPr>
                <w:b w:val="0"/>
                <w:i w:val="0"/>
                <w:sz w:val="17"/>
              </w:rPr>
              <w:t xml:space="preserve">Buyer to deliver CGL evidence of ≥$2,000,000 per occurrence naming Seller as additional insured. Buyer indemnifies Seller for losses from entry and inspection, excluding Seller negligence/willful misconduct and </w:t>
            </w:r>
            <w:r>
              <w:rPr>
                <w:b/>
                <w:i w:val="0"/>
                <w:sz w:val="17"/>
              </w:rPr>
              <w:t>discovery of pre-existing conditions</w:t>
            </w:r>
            <w:r>
              <w:rPr>
                <w:b w:val="0"/>
                <w:i w:val="0"/>
                <w:sz w:val="17"/>
              </w:rPr>
              <w:t>; survives termination.</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Buyer acknowledgment</w:t>
            </w:r>
          </w:p>
        </w:tc>
        <w:tc>
          <w:tcPr>
            <w:tcW w:type="dxa" w:w="1080"/>
            <w:shd w:val="clear" w:color="auto" w:fill="EEF2F8"/>
          </w:tcPr>
          <w:p>
            <w:pPr>
              <w:spacing w:after="20"/>
            </w:pPr>
            <w:r/>
            <w:r>
              <w:rPr>
                <w:b w:val="0"/>
                <w:i w:val="0"/>
                <w:sz w:val="17"/>
              </w:rPr>
              <w:t>§8.2</w:t>
            </w:r>
          </w:p>
        </w:tc>
        <w:tc>
          <w:tcPr>
            <w:tcW w:type="dxa" w:w="5760"/>
            <w:shd w:val="clear" w:color="auto" w:fill="EEF2F8"/>
          </w:tcPr>
          <w:p>
            <w:pPr>
              <w:spacing w:after="20"/>
            </w:pPr>
            <w:r/>
            <w:r>
              <w:rPr>
                <w:b w:val="0"/>
                <w:i w:val="0"/>
                <w:sz w:val="17"/>
              </w:rPr>
              <w:t>Proceeding past DD constitutes acknowledgment that diligence is complete and Buyer relies only on its own investigation and Seller’s Article VII representations.</w:t>
            </w:r>
          </w:p>
        </w:tc>
        <w:tc>
          <w:tcPr>
            <w:tcW w:type="dxa" w:w="936"/>
            <w:shd w:val="clear" w:color="auto" w:fill="EEF2F8"/>
          </w:tcPr>
          <w:p>
            <w:pPr>
              <w:spacing w:after="20"/>
            </w:pPr>
            <w:r/>
            <w:r>
              <w:rPr>
                <w:b w:val="0"/>
                <w:i w:val="0"/>
                <w:sz w:val="17"/>
              </w:rPr>
              <w:t>4</w:t>
            </w:r>
          </w:p>
        </w:tc>
      </w:tr>
    </w:tbl>
    <w:p>
      <w:pPr>
        <w:spacing w:after="40"/>
      </w:pPr>
    </w:p>
    <w:p>
      <w:pPr>
        <w:pStyle w:val="Heading2"/>
      </w:pPr>
      <w:r>
        <w:t>4.5 Financing Contingency</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Loan</w:t>
            </w:r>
          </w:p>
        </w:tc>
        <w:tc>
          <w:tcPr>
            <w:tcW w:type="dxa" w:w="1080"/>
          </w:tcPr>
          <w:p>
            <w:pPr>
              <w:spacing w:after="20"/>
            </w:pPr>
            <w:r/>
            <w:r>
              <w:rPr>
                <w:b w:val="0"/>
                <w:i w:val="0"/>
                <w:sz w:val="17"/>
              </w:rPr>
              <w:t>§10.2(a)</w:t>
            </w:r>
          </w:p>
        </w:tc>
        <w:tc>
          <w:tcPr>
            <w:tcW w:type="dxa" w:w="5760"/>
          </w:tcPr>
          <w:p>
            <w:pPr>
              <w:spacing w:after="20"/>
            </w:pPr>
            <w:r/>
            <w:r>
              <w:rPr>
                <w:b w:val="0"/>
                <w:i w:val="0"/>
                <w:sz w:val="17"/>
              </w:rPr>
              <w:t>First mortgage loan from Pinnacle National Bank (or affiliate) of up to $57,037,500 (≈65% LTV). Buyer to use commercially reasonable and diligent efforts to obtain a commitment on terms satisfactory to Buyer in its reasonable discretion by the Financing Contingency Deadline.</w:t>
            </w:r>
          </w:p>
        </w:tc>
        <w:tc>
          <w:tcPr>
            <w:tcW w:type="dxa" w:w="936"/>
          </w:tcPr>
          <w:p>
            <w:pPr>
              <w:spacing w:after="20"/>
            </w:pPr>
            <w:r/>
            <w:r>
              <w:rPr>
                <w:b w:val="0"/>
                <w:i w:val="0"/>
                <w:sz w:val="17"/>
              </w:rPr>
              <w:t>6</w:t>
            </w:r>
          </w:p>
        </w:tc>
      </w:tr>
      <w:tr>
        <w:tc>
          <w:tcPr>
            <w:tcW w:type="dxa" w:w="1872"/>
            <w:shd w:val="clear" w:color="auto" w:fill="EEF2F8"/>
          </w:tcPr>
          <w:p>
            <w:pPr>
              <w:spacing w:after="20"/>
            </w:pPr>
            <w:r/>
            <w:r>
              <w:rPr>
                <w:b/>
                <w:i w:val="0"/>
                <w:sz w:val="17"/>
              </w:rPr>
              <w:t>Deadline</w:t>
            </w:r>
          </w:p>
        </w:tc>
        <w:tc>
          <w:tcPr>
            <w:tcW w:type="dxa" w:w="1080"/>
            <w:shd w:val="clear" w:color="auto" w:fill="EEF2F8"/>
          </w:tcPr>
          <w:p>
            <w:pPr>
              <w:spacing w:after="20"/>
            </w:pPr>
            <w:r/>
            <w:r>
              <w:rPr>
                <w:b w:val="0"/>
                <w:i w:val="0"/>
                <w:sz w:val="17"/>
              </w:rPr>
              <w:t>§§1.1, 10.2(a)–(b)</w:t>
            </w:r>
          </w:p>
        </w:tc>
        <w:tc>
          <w:tcPr>
            <w:tcW w:type="dxa" w:w="5760"/>
            <w:shd w:val="clear" w:color="auto" w:fill="EEF2F8"/>
          </w:tcPr>
          <w:p>
            <w:pPr>
              <w:spacing w:after="20"/>
            </w:pPr>
            <w:r/>
            <w:r>
              <w:rPr>
                <w:b/>
                <w:i w:val="0"/>
                <w:sz w:val="17"/>
              </w:rPr>
              <w:t>December 6, 2024</w:t>
            </w:r>
            <w:r>
              <w:rPr>
                <w:b w:val="0"/>
                <w:i w:val="0"/>
                <w:sz w:val="17"/>
              </w:rPr>
              <w:t>, 5:00 p.m. ET (60 days after Effective Date).</w:t>
            </w:r>
          </w:p>
        </w:tc>
        <w:tc>
          <w:tcPr>
            <w:tcW w:type="dxa" w:w="936"/>
            <w:shd w:val="clear" w:color="auto" w:fill="EEF2F8"/>
          </w:tcPr>
          <w:p>
            <w:pPr>
              <w:spacing w:after="20"/>
            </w:pPr>
            <w:r/>
            <w:r>
              <w:rPr>
                <w:b w:val="0"/>
                <w:i w:val="0"/>
                <w:sz w:val="17"/>
              </w:rPr>
              <w:t>2</w:t>
            </w:r>
          </w:p>
        </w:tc>
      </w:tr>
      <w:tr>
        <w:tc>
          <w:tcPr>
            <w:tcW w:type="dxa" w:w="1872"/>
          </w:tcPr>
          <w:p>
            <w:pPr>
              <w:spacing w:after="20"/>
            </w:pPr>
            <w:r/>
            <w:r>
              <w:rPr>
                <w:b/>
                <w:i w:val="0"/>
                <w:sz w:val="17"/>
              </w:rPr>
              <w:t>Termination right / refund</w:t>
            </w:r>
          </w:p>
        </w:tc>
        <w:tc>
          <w:tcPr>
            <w:tcW w:type="dxa" w:w="1080"/>
          </w:tcPr>
          <w:p>
            <w:pPr>
              <w:spacing w:after="20"/>
            </w:pPr>
            <w:r/>
            <w:r>
              <w:rPr>
                <w:b w:val="0"/>
                <w:i w:val="0"/>
                <w:sz w:val="17"/>
              </w:rPr>
              <w:t>§10.2(b)</w:t>
            </w:r>
          </w:p>
        </w:tc>
        <w:tc>
          <w:tcPr>
            <w:tcW w:type="dxa" w:w="5760"/>
          </w:tcPr>
          <w:p>
            <w:pPr>
              <w:spacing w:after="20"/>
            </w:pPr>
            <w:r/>
            <w:r>
              <w:rPr>
                <w:b w:val="0"/>
                <w:i w:val="0"/>
                <w:sz w:val="17"/>
              </w:rPr>
              <w:t xml:space="preserve">If Buyer is unable, despite commercially reasonable and diligent efforts, to obtain a satisfactory commitment, Buyer may terminate by written notice by 5:00 p.m. ET Dec 6, 2024; Escrow Agent returns </w:t>
            </w:r>
            <w:r>
              <w:rPr>
                <w:b/>
                <w:i w:val="0"/>
                <w:sz w:val="17"/>
              </w:rPr>
              <w:t>the Initial Deposit</w:t>
            </w:r>
            <w:r>
              <w:rPr>
                <w:b w:val="0"/>
                <w:i w:val="0"/>
                <w:sz w:val="17"/>
              </w:rPr>
              <w:t xml:space="preserve"> within 5 BD. The Additional Deposit (funded Nov 29) is not addressed.</w:t>
            </w:r>
          </w:p>
        </w:tc>
        <w:tc>
          <w:tcPr>
            <w:tcW w:type="dxa" w:w="936"/>
          </w:tcPr>
          <w:p>
            <w:pPr>
              <w:spacing w:after="20"/>
            </w:pPr>
            <w:r/>
            <w:r>
              <w:rPr>
                <w:b w:val="0"/>
                <w:i w:val="0"/>
                <w:sz w:val="17"/>
              </w:rPr>
              <w:t>2</w:t>
            </w:r>
          </w:p>
        </w:tc>
      </w:tr>
      <w:tr>
        <w:tc>
          <w:tcPr>
            <w:tcW w:type="dxa" w:w="1872"/>
            <w:shd w:val="clear" w:color="auto" w:fill="EEF2F8"/>
          </w:tcPr>
          <w:p>
            <w:pPr>
              <w:spacing w:after="20"/>
            </w:pPr>
            <w:r/>
            <w:r>
              <w:rPr>
                <w:b/>
                <w:i w:val="0"/>
                <w:sz w:val="17"/>
              </w:rPr>
              <w:t>Waiver</w:t>
            </w:r>
          </w:p>
        </w:tc>
        <w:tc>
          <w:tcPr>
            <w:tcW w:type="dxa" w:w="1080"/>
            <w:shd w:val="clear" w:color="auto" w:fill="EEF2F8"/>
          </w:tcPr>
          <w:p>
            <w:pPr>
              <w:spacing w:after="20"/>
            </w:pPr>
            <w:r/>
            <w:r>
              <w:rPr>
                <w:b w:val="0"/>
                <w:i w:val="0"/>
                <w:sz w:val="17"/>
              </w:rPr>
              <w:t>§10.2(c)</w:t>
            </w:r>
          </w:p>
        </w:tc>
        <w:tc>
          <w:tcPr>
            <w:tcW w:type="dxa" w:w="5760"/>
            <w:shd w:val="clear" w:color="auto" w:fill="EEF2F8"/>
          </w:tcPr>
          <w:p>
            <w:pPr>
              <w:spacing w:after="20"/>
            </w:pPr>
            <w:r/>
            <w:r>
              <w:rPr>
                <w:b w:val="0"/>
                <w:i w:val="0"/>
                <w:sz w:val="17"/>
              </w:rPr>
              <w:t>Failure to deliver notice by the deadline irrevocably waives the contingency; Buyer must close regardless of financing.</w:t>
            </w:r>
          </w:p>
        </w:tc>
        <w:tc>
          <w:tcPr>
            <w:tcW w:type="dxa" w:w="936"/>
            <w:shd w:val="clear" w:color="auto" w:fill="EEF2F8"/>
          </w:tcPr>
          <w:p>
            <w:pPr>
              <w:spacing w:after="20"/>
            </w:pPr>
            <w:r/>
            <w:r>
              <w:rPr>
                <w:b w:val="0"/>
                <w:i w:val="0"/>
                <w:sz w:val="17"/>
              </w:rPr>
              <w:t>2, 6</w:t>
            </w:r>
          </w:p>
        </w:tc>
      </w:tr>
      <w:tr>
        <w:tc>
          <w:tcPr>
            <w:tcW w:type="dxa" w:w="1872"/>
          </w:tcPr>
          <w:p>
            <w:pPr>
              <w:spacing w:after="20"/>
            </w:pPr>
            <w:r/>
            <w:r>
              <w:rPr>
                <w:b/>
                <w:i w:val="0"/>
                <w:sz w:val="17"/>
              </w:rPr>
              <w:t>Commitment copy</w:t>
            </w:r>
          </w:p>
        </w:tc>
        <w:tc>
          <w:tcPr>
            <w:tcW w:type="dxa" w:w="1080"/>
          </w:tcPr>
          <w:p>
            <w:pPr>
              <w:spacing w:after="20"/>
            </w:pPr>
            <w:r/>
            <w:r>
              <w:rPr>
                <w:b w:val="0"/>
                <w:i w:val="0"/>
                <w:sz w:val="17"/>
              </w:rPr>
              <w:t>§10.2(d)</w:t>
            </w:r>
          </w:p>
        </w:tc>
        <w:tc>
          <w:tcPr>
            <w:tcW w:type="dxa" w:w="5760"/>
          </w:tcPr>
          <w:p>
            <w:pPr>
              <w:spacing w:after="20"/>
            </w:pPr>
            <w:r/>
            <w:r>
              <w:rPr>
                <w:b w:val="0"/>
                <w:i w:val="0"/>
                <w:sz w:val="17"/>
              </w:rPr>
              <w:t>Buyer to promptly provide Seller a copy of any commitment obtained before the deadline.</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Closing condition</w:t>
            </w:r>
          </w:p>
        </w:tc>
        <w:tc>
          <w:tcPr>
            <w:tcW w:type="dxa" w:w="1080"/>
            <w:shd w:val="clear" w:color="auto" w:fill="EEF2F8"/>
          </w:tcPr>
          <w:p>
            <w:pPr>
              <w:spacing w:after="20"/>
            </w:pPr>
            <w:r/>
            <w:r>
              <w:rPr>
                <w:b w:val="0"/>
                <w:i w:val="0"/>
                <w:sz w:val="17"/>
              </w:rPr>
              <w:t>§9.1(h)</w:t>
            </w:r>
          </w:p>
        </w:tc>
        <w:tc>
          <w:tcPr>
            <w:tcW w:type="dxa" w:w="5760"/>
            <w:shd w:val="clear" w:color="auto" w:fill="EEF2F8"/>
          </w:tcPr>
          <w:p>
            <w:pPr>
              <w:spacing w:after="20"/>
            </w:pPr>
            <w:r/>
            <w:r>
              <w:rPr>
                <w:b w:val="0"/>
                <w:i w:val="0"/>
                <w:sz w:val="17"/>
              </w:rPr>
              <w:t>Financing Contingency satisfied or waived per §10.2.</w:t>
            </w:r>
          </w:p>
        </w:tc>
        <w:tc>
          <w:tcPr>
            <w:tcW w:type="dxa" w:w="936"/>
            <w:shd w:val="clear" w:color="auto" w:fill="EEF2F8"/>
          </w:tcPr>
          <w:p>
            <w:pPr>
              <w:spacing w:after="20"/>
            </w:pPr>
            <w:r/>
            <w:r>
              <w:rPr>
                <w:b w:val="0"/>
                <w:i w:val="0"/>
                <w:sz w:val="17"/>
              </w:rPr>
              <w:t>—</w:t>
            </w:r>
          </w:p>
        </w:tc>
      </w:tr>
      <w:tr>
        <w:tc>
          <w:tcPr>
            <w:tcW w:type="dxa" w:w="1872"/>
          </w:tcPr>
          <w:p>
            <w:pPr>
              <w:spacing w:after="20"/>
            </w:pPr>
            <w:r/>
            <w:r>
              <w:rPr>
                <w:b/>
                <w:i w:val="0"/>
                <w:sz w:val="17"/>
              </w:rPr>
              <w:t>Related Buyer rep</w:t>
            </w:r>
          </w:p>
        </w:tc>
        <w:tc>
          <w:tcPr>
            <w:tcW w:type="dxa" w:w="1080"/>
          </w:tcPr>
          <w:p>
            <w:pPr>
              <w:spacing w:after="20"/>
            </w:pPr>
            <w:r/>
            <w:r>
              <w:rPr>
                <w:b w:val="0"/>
                <w:i w:val="0"/>
                <w:sz w:val="17"/>
              </w:rPr>
              <w:t>§7.5(e)</w:t>
            </w:r>
          </w:p>
        </w:tc>
        <w:tc>
          <w:tcPr>
            <w:tcW w:type="dxa" w:w="5760"/>
          </w:tcPr>
          <w:p>
            <w:pPr>
              <w:spacing w:after="20"/>
            </w:pPr>
            <w:r/>
            <w:r>
              <w:rPr>
                <w:b w:val="0"/>
                <w:i w:val="0"/>
                <w:sz w:val="17"/>
              </w:rPr>
              <w:t>Buyer has or will have at Closing sufficient funds (equity and financing commitments) to close.</w:t>
            </w:r>
          </w:p>
        </w:tc>
        <w:tc>
          <w:tcPr>
            <w:tcW w:type="dxa" w:w="936"/>
          </w:tcPr>
          <w:p>
            <w:pPr>
              <w:spacing w:after="20"/>
            </w:pPr>
            <w:r/>
            <w:r>
              <w:rPr>
                <w:b w:val="0"/>
                <w:i w:val="0"/>
                <w:sz w:val="17"/>
              </w:rPr>
              <w:t>29</w:t>
            </w:r>
          </w:p>
        </w:tc>
      </w:tr>
    </w:tbl>
    <w:p>
      <w:pPr>
        <w:spacing w:after="40"/>
      </w:pPr>
    </w:p>
    <w:p>
      <w:pPr>
        <w:pStyle w:val="Heading2"/>
      </w:pPr>
      <w:r>
        <w:t>4.6 Title and Survey</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Title commitment</w:t>
            </w:r>
          </w:p>
        </w:tc>
        <w:tc>
          <w:tcPr>
            <w:tcW w:type="dxa" w:w="1080"/>
          </w:tcPr>
          <w:p>
            <w:pPr>
              <w:spacing w:after="20"/>
            </w:pPr>
            <w:r/>
            <w:r>
              <w:rPr>
                <w:b w:val="0"/>
                <w:i w:val="0"/>
                <w:sz w:val="17"/>
              </w:rPr>
              <w:t>§5.1</w:t>
            </w:r>
          </w:p>
        </w:tc>
        <w:tc>
          <w:tcPr>
            <w:tcW w:type="dxa" w:w="5760"/>
          </w:tcPr>
          <w:p>
            <w:pPr>
              <w:spacing w:after="20"/>
            </w:pPr>
            <w:r/>
            <w:r>
              <w:rPr>
                <w:b w:val="0"/>
                <w:i w:val="0"/>
                <w:sz w:val="17"/>
              </w:rPr>
              <w:t>Buyer obtains, at its cost, an owner’s title commitment from Commonwealth Title &amp; Escrow LLC with legible copies of exception documents.</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Survey</w:t>
            </w:r>
          </w:p>
        </w:tc>
        <w:tc>
          <w:tcPr>
            <w:tcW w:type="dxa" w:w="1080"/>
            <w:shd w:val="clear" w:color="auto" w:fill="EEF2F8"/>
          </w:tcPr>
          <w:p>
            <w:pPr>
              <w:spacing w:after="20"/>
            </w:pPr>
            <w:r/>
            <w:r>
              <w:rPr>
                <w:b w:val="0"/>
                <w:i w:val="0"/>
                <w:sz w:val="17"/>
              </w:rPr>
              <w:t>§5.1</w:t>
            </w:r>
          </w:p>
        </w:tc>
        <w:tc>
          <w:tcPr>
            <w:tcW w:type="dxa" w:w="5760"/>
            <w:shd w:val="clear" w:color="auto" w:fill="EEF2F8"/>
          </w:tcPr>
          <w:p>
            <w:pPr>
              <w:spacing w:after="20"/>
            </w:pPr>
            <w:r/>
            <w:r>
              <w:rPr>
                <w:b w:val="0"/>
                <w:i w:val="0"/>
                <w:sz w:val="17"/>
              </w:rPr>
              <w:t>Buyer obtains, at its cost, an ALTA/NSPS survey by a Virginia-licensed surveyor certified to Buyer, Buyer’s lender and the Title Company. Seller has delivered an existing Bowman Consulting Group survey dated June 12, 2013.</w:t>
            </w:r>
          </w:p>
        </w:tc>
        <w:tc>
          <w:tcPr>
            <w:tcW w:type="dxa" w:w="936"/>
            <w:shd w:val="clear" w:color="auto" w:fill="EEF2F8"/>
          </w:tcPr>
          <w:p>
            <w:pPr>
              <w:spacing w:after="20"/>
            </w:pPr>
            <w:r/>
            <w:r>
              <w:rPr>
                <w:b w:val="0"/>
                <w:i w:val="0"/>
                <w:sz w:val="17"/>
              </w:rPr>
              <w:t>12, 13</w:t>
            </w:r>
          </w:p>
        </w:tc>
      </w:tr>
      <w:tr>
        <w:tc>
          <w:tcPr>
            <w:tcW w:type="dxa" w:w="1872"/>
          </w:tcPr>
          <w:p>
            <w:pPr>
              <w:spacing w:after="20"/>
            </w:pPr>
            <w:r/>
            <w:r>
              <w:rPr>
                <w:b/>
                <w:i w:val="0"/>
                <w:sz w:val="17"/>
              </w:rPr>
              <w:t>Title Objection Deadline</w:t>
            </w:r>
          </w:p>
        </w:tc>
        <w:tc>
          <w:tcPr>
            <w:tcW w:type="dxa" w:w="1080"/>
          </w:tcPr>
          <w:p>
            <w:pPr>
              <w:spacing w:after="20"/>
            </w:pPr>
            <w:r/>
            <w:r>
              <w:rPr>
                <w:b w:val="0"/>
                <w:i w:val="0"/>
                <w:sz w:val="17"/>
              </w:rPr>
              <w:t>§§1.1, 5.2</w:t>
            </w:r>
          </w:p>
        </w:tc>
        <w:tc>
          <w:tcPr>
            <w:tcW w:type="dxa" w:w="5760"/>
          </w:tcPr>
          <w:p>
            <w:pPr>
              <w:spacing w:after="20"/>
            </w:pPr>
            <w:r/>
            <w:r>
              <w:rPr>
                <w:b/>
                <w:i w:val="0"/>
                <w:sz w:val="17"/>
              </w:rPr>
              <w:t>November 14, 2024</w:t>
            </w:r>
            <w:r>
              <w:rPr>
                <w:b w:val="0"/>
                <w:i w:val="0"/>
                <w:sz w:val="17"/>
              </w:rPr>
              <w:t xml:space="preserve"> (38 days). Unobjected matters, and all matters if no objection is delivered, are deemed Permitted Exceptions.</w:t>
            </w:r>
          </w:p>
        </w:tc>
        <w:tc>
          <w:tcPr>
            <w:tcW w:type="dxa" w:w="936"/>
          </w:tcPr>
          <w:p>
            <w:pPr>
              <w:spacing w:after="20"/>
            </w:pPr>
            <w:r/>
            <w:r>
              <w:rPr>
                <w:b w:val="0"/>
                <w:i w:val="0"/>
                <w:sz w:val="17"/>
              </w:rPr>
              <w:t>12</w:t>
            </w:r>
          </w:p>
        </w:tc>
      </w:tr>
      <w:tr>
        <w:tc>
          <w:tcPr>
            <w:tcW w:type="dxa" w:w="1872"/>
            <w:shd w:val="clear" w:color="auto" w:fill="EEF2F8"/>
          </w:tcPr>
          <w:p>
            <w:pPr>
              <w:spacing w:after="20"/>
            </w:pPr>
            <w:r/>
            <w:r>
              <w:rPr>
                <w:b/>
                <w:i w:val="0"/>
                <w:sz w:val="17"/>
              </w:rPr>
              <w:t>Seller Cure Period</w:t>
            </w:r>
          </w:p>
        </w:tc>
        <w:tc>
          <w:tcPr>
            <w:tcW w:type="dxa" w:w="1080"/>
            <w:shd w:val="clear" w:color="auto" w:fill="EEF2F8"/>
          </w:tcPr>
          <w:p>
            <w:pPr>
              <w:spacing w:after="20"/>
            </w:pPr>
            <w:r/>
            <w:r>
              <w:rPr>
                <w:b w:val="0"/>
                <w:i w:val="0"/>
                <w:sz w:val="17"/>
              </w:rPr>
              <w:t>§5.3</w:t>
            </w:r>
          </w:p>
        </w:tc>
        <w:tc>
          <w:tcPr>
            <w:tcW w:type="dxa" w:w="5760"/>
            <w:shd w:val="clear" w:color="auto" w:fill="EEF2F8"/>
          </w:tcPr>
          <w:p>
            <w:pPr>
              <w:spacing w:after="20"/>
            </w:pPr>
            <w:r/>
            <w:r>
              <w:rPr>
                <w:b w:val="0"/>
                <w:i w:val="0"/>
                <w:sz w:val="17"/>
              </w:rPr>
              <w:t>Seller has 15 BD after receipt of objections to elect whether to cure; no obligation to cure except Seller must remove at or before Closing (a) monetary liens of definite or ascertainable amount (mortgages, deeds of trust, judgments, mechanic’s liens) and (b) exceptions created by, through or under Seller after the Effective Date in violation of the PSA.</w:t>
            </w:r>
          </w:p>
        </w:tc>
        <w:tc>
          <w:tcPr>
            <w:tcW w:type="dxa" w:w="936"/>
            <w:shd w:val="clear" w:color="auto" w:fill="EEF2F8"/>
          </w:tcPr>
          <w:p>
            <w:pPr>
              <w:spacing w:after="20"/>
            </w:pPr>
            <w:r/>
            <w:r>
              <w:rPr>
                <w:b w:val="0"/>
                <w:i w:val="0"/>
                <w:sz w:val="17"/>
              </w:rPr>
              <w:t>12</w:t>
            </w:r>
          </w:p>
        </w:tc>
      </w:tr>
      <w:tr>
        <w:tc>
          <w:tcPr>
            <w:tcW w:type="dxa" w:w="1872"/>
          </w:tcPr>
          <w:p>
            <w:pPr>
              <w:spacing w:after="20"/>
            </w:pPr>
            <w:r/>
            <w:r>
              <w:rPr>
                <w:b/>
                <w:i w:val="0"/>
                <w:sz w:val="17"/>
              </w:rPr>
              <w:t>Buyer election</w:t>
            </w:r>
          </w:p>
        </w:tc>
        <w:tc>
          <w:tcPr>
            <w:tcW w:type="dxa" w:w="1080"/>
          </w:tcPr>
          <w:p>
            <w:pPr>
              <w:spacing w:after="20"/>
            </w:pPr>
            <w:r/>
            <w:r>
              <w:rPr>
                <w:b w:val="0"/>
                <w:i w:val="0"/>
                <w:sz w:val="17"/>
              </w:rPr>
              <w:t>§5.3</w:t>
            </w:r>
          </w:p>
        </w:tc>
        <w:tc>
          <w:tcPr>
            <w:tcW w:type="dxa" w:w="5760"/>
          </w:tcPr>
          <w:p>
            <w:pPr>
              <w:spacing w:after="20"/>
            </w:pPr>
            <w:r/>
            <w:r>
              <w:rPr>
                <w:b w:val="0"/>
                <w:i w:val="0"/>
                <w:sz w:val="17"/>
              </w:rPr>
              <w:t xml:space="preserve">Within 10 BD after Seller’s notice: (i) waive (matter becomes Permitted Exception) or (ii) terminate with </w:t>
            </w:r>
            <w:r>
              <w:rPr>
                <w:b/>
                <w:i w:val="0"/>
                <w:sz w:val="17"/>
              </w:rPr>
              <w:t>full Deposit</w:t>
            </w:r>
            <w:r>
              <w:rPr>
                <w:b w:val="0"/>
                <w:i w:val="0"/>
                <w:sz w:val="17"/>
              </w:rPr>
              <w:t xml:space="preserve"> refunded within 5 BD.</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Title policy</w:t>
            </w:r>
          </w:p>
        </w:tc>
        <w:tc>
          <w:tcPr>
            <w:tcW w:type="dxa" w:w="1080"/>
            <w:shd w:val="clear" w:color="auto" w:fill="EEF2F8"/>
          </w:tcPr>
          <w:p>
            <w:pPr>
              <w:spacing w:after="20"/>
            </w:pPr>
            <w:r/>
            <w:r>
              <w:rPr>
                <w:b w:val="0"/>
                <w:i w:val="0"/>
                <w:sz w:val="17"/>
              </w:rPr>
              <w:t>§§5.4, 9.1(c)</w:t>
            </w:r>
          </w:p>
        </w:tc>
        <w:tc>
          <w:tcPr>
            <w:tcW w:type="dxa" w:w="5760"/>
            <w:shd w:val="clear" w:color="auto" w:fill="EEF2F8"/>
          </w:tcPr>
          <w:p>
            <w:pPr>
              <w:spacing w:after="20"/>
            </w:pPr>
            <w:r/>
            <w:r>
              <w:rPr>
                <w:b w:val="0"/>
                <w:i w:val="0"/>
                <w:sz w:val="17"/>
              </w:rPr>
              <w:t>ALTA Owner’s Policy (2021) in the full Purchase Price amount, insuring Buyer (or its assignee) subject only to Permitted Exceptions. Buyer pays premium and Buyer/lender-requested endorsements.</w:t>
            </w:r>
          </w:p>
        </w:tc>
        <w:tc>
          <w:tcPr>
            <w:tcW w:type="dxa" w:w="936"/>
            <w:shd w:val="clear" w:color="auto" w:fill="EEF2F8"/>
          </w:tcPr>
          <w:p>
            <w:pPr>
              <w:spacing w:after="20"/>
            </w:pPr>
            <w:r/>
            <w:r>
              <w:rPr>
                <w:b w:val="0"/>
                <w:i w:val="0"/>
                <w:sz w:val="17"/>
              </w:rPr>
              <w:t>—</w:t>
            </w:r>
          </w:p>
        </w:tc>
      </w:tr>
      <w:tr>
        <w:tc>
          <w:tcPr>
            <w:tcW w:type="dxa" w:w="1872"/>
          </w:tcPr>
          <w:p>
            <w:pPr>
              <w:spacing w:after="20"/>
            </w:pPr>
            <w:r/>
            <w:r>
              <w:rPr>
                <w:b/>
                <w:i w:val="0"/>
                <w:sz w:val="17"/>
              </w:rPr>
              <w:t>Permitted Exceptions</w:t>
            </w:r>
          </w:p>
        </w:tc>
        <w:tc>
          <w:tcPr>
            <w:tcW w:type="dxa" w:w="1080"/>
          </w:tcPr>
          <w:p>
            <w:pPr>
              <w:spacing w:after="20"/>
            </w:pPr>
            <w:r/>
            <w:r>
              <w:rPr>
                <w:b w:val="0"/>
                <w:i w:val="0"/>
                <w:sz w:val="17"/>
              </w:rPr>
              <w:t>§1.1; Exh. B</w:t>
            </w:r>
          </w:p>
        </w:tc>
        <w:tc>
          <w:tcPr>
            <w:tcW w:type="dxa" w:w="5760"/>
          </w:tcPr>
          <w:p>
            <w:pPr>
              <w:spacing w:after="20"/>
            </w:pPr>
            <w:r/>
            <w:r>
              <w:rPr>
                <w:b w:val="0"/>
                <w:i w:val="0"/>
                <w:sz w:val="17"/>
              </w:rPr>
              <w:t>(1) taxes not yet due; (2) Fairfax County zoning incl. PD-TC-3; (3) CC&amp;Rs DB 19842/0387 (office, retail and service uses; architectural review and maintenance standards); (4) Dominion Energy utility easement DB 20156/1229; (5) County sanitary sewer easement DB 20156/1245; (6) County stormwater easement DB 21003/0892 incl. SWM maintenance obligations; (7) Cross-Access Easement and Shared Parking Agreement among the three parcels DB 23456/0234; (8) RZ-2010-PR-024 proffers DB 22789/0567 (transportation, open space, density); (9) tenants in possession, as tenants only, without purchase rights except as expressly in delivered Leases; (10) ALTA standard printed exceptions for survey matters, mechanic’s liens within statutory periods for pre-Closing work, and parties in possession.</w:t>
            </w:r>
          </w:p>
        </w:tc>
        <w:tc>
          <w:tcPr>
            <w:tcW w:type="dxa" w:w="936"/>
          </w:tcPr>
          <w:p>
            <w:pPr>
              <w:spacing w:after="20"/>
            </w:pPr>
            <w:r/>
            <w:r>
              <w:rPr>
                <w:b w:val="0"/>
                <w:i w:val="0"/>
                <w:sz w:val="17"/>
              </w:rPr>
              <w:t>12, 33</w:t>
            </w:r>
          </w:p>
        </w:tc>
      </w:tr>
      <w:tr>
        <w:tc>
          <w:tcPr>
            <w:tcW w:type="dxa" w:w="1872"/>
            <w:shd w:val="clear" w:color="auto" w:fill="EEF2F8"/>
          </w:tcPr>
          <w:p>
            <w:pPr>
              <w:spacing w:after="20"/>
            </w:pPr>
            <w:r/>
            <w:r>
              <w:rPr>
                <w:b/>
                <w:i w:val="0"/>
                <w:sz w:val="17"/>
              </w:rPr>
              <w:t>Deed</w:t>
            </w:r>
          </w:p>
        </w:tc>
        <w:tc>
          <w:tcPr>
            <w:tcW w:type="dxa" w:w="1080"/>
            <w:shd w:val="clear" w:color="auto" w:fill="EEF2F8"/>
          </w:tcPr>
          <w:p>
            <w:pPr>
              <w:spacing w:after="20"/>
            </w:pPr>
            <w:r/>
            <w:r>
              <w:rPr>
                <w:b w:val="0"/>
                <w:i w:val="0"/>
                <w:sz w:val="17"/>
              </w:rPr>
              <w:t>§13.2(a); Exh. C</w:t>
            </w:r>
          </w:p>
        </w:tc>
        <w:tc>
          <w:tcPr>
            <w:tcW w:type="dxa" w:w="5760"/>
            <w:shd w:val="clear" w:color="auto" w:fill="EEF2F8"/>
          </w:tcPr>
          <w:p>
            <w:pPr>
              <w:spacing w:after="20"/>
            </w:pPr>
            <w:r/>
            <w:r>
              <w:rPr>
                <w:b w:val="0"/>
                <w:i w:val="0"/>
                <w:sz w:val="17"/>
              </w:rPr>
              <w:t>Special warranty deed (Virginia form) to Buyer or its assignee; grantee shown as Bridgewater Capital Partners LLC; prepared by Ferndale &amp; Aldrich LLP.</w:t>
            </w:r>
          </w:p>
        </w:tc>
        <w:tc>
          <w:tcPr>
            <w:tcW w:type="dxa" w:w="936"/>
            <w:shd w:val="clear" w:color="auto" w:fill="EEF2F8"/>
          </w:tcPr>
          <w:p>
            <w:pPr>
              <w:spacing w:after="20"/>
            </w:pPr>
            <w:r/>
            <w:r>
              <w:rPr>
                <w:b w:val="0"/>
                <w:i w:val="0"/>
                <w:sz w:val="17"/>
              </w:rPr>
              <w:t>1</w:t>
            </w:r>
          </w:p>
        </w:tc>
      </w:tr>
    </w:tbl>
    <w:p>
      <w:pPr>
        <w:spacing w:after="40"/>
      </w:pPr>
    </w:p>
    <w:p>
      <w:pPr>
        <w:pStyle w:val="Heading2"/>
      </w:pPr>
      <w:r>
        <w:t>4.7 Seller Representations and Warranties (§7.1) — made as of Effective Date and Closing Date</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(a) Organization/authority</w:t>
            </w:r>
          </w:p>
        </w:tc>
        <w:tc>
          <w:tcPr>
            <w:tcW w:type="dxa" w:w="1080"/>
          </w:tcPr>
          <w:p>
            <w:pPr>
              <w:spacing w:after="20"/>
            </w:pPr>
            <w:r/>
            <w:r>
              <w:rPr>
                <w:b w:val="0"/>
                <w:i w:val="0"/>
                <w:sz w:val="17"/>
              </w:rPr>
              <w:t>§7.1(a)</w:t>
            </w:r>
          </w:p>
        </w:tc>
        <w:tc>
          <w:tcPr>
            <w:tcW w:type="dxa" w:w="5760"/>
          </w:tcPr>
          <w:p>
            <w:pPr>
              <w:spacing w:after="20"/>
            </w:pPr>
            <w:r/>
            <w:r>
              <w:rPr>
                <w:b w:val="0"/>
                <w:i w:val="0"/>
                <w:sz w:val="17"/>
              </w:rPr>
              <w:t>VA LP in good standing (formed 9/22/2011); Meridian GP Inc. sole GP; Marcus Ellison authorized; no other approvals required.</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(b)–(c) Execution; no conflicts</w:t>
            </w:r>
          </w:p>
        </w:tc>
        <w:tc>
          <w:tcPr>
            <w:tcW w:type="dxa" w:w="1080"/>
            <w:shd w:val="clear" w:color="auto" w:fill="EEF2F8"/>
          </w:tcPr>
          <w:p>
            <w:pPr>
              <w:spacing w:after="20"/>
            </w:pPr>
            <w:r/>
            <w:r>
              <w:rPr>
                <w:b w:val="0"/>
                <w:i w:val="0"/>
                <w:sz w:val="17"/>
              </w:rPr>
              <w:t>§7.1(b)–(c)</w:t>
            </w:r>
          </w:p>
        </w:tc>
        <w:tc>
          <w:tcPr>
            <w:tcW w:type="dxa" w:w="5760"/>
            <w:shd w:val="clear" w:color="auto" w:fill="EEF2F8"/>
          </w:tcPr>
          <w:p>
            <w:pPr>
              <w:spacing w:after="20"/>
            </w:pPr>
            <w:r/>
            <w:r>
              <w:rPr>
                <w:b w:val="0"/>
                <w:i w:val="0"/>
                <w:sz w:val="17"/>
              </w:rPr>
              <w:t>Binding and enforceable (customary exceptions); no violation of organizational documents, law or agreements.</w:t>
            </w:r>
          </w:p>
        </w:tc>
        <w:tc>
          <w:tcPr>
            <w:tcW w:type="dxa" w:w="936"/>
            <w:shd w:val="clear" w:color="auto" w:fill="EEF2F8"/>
          </w:tcPr>
          <w:p>
            <w:pPr>
              <w:spacing w:after="20"/>
            </w:pPr>
            <w:r/>
            <w:r>
              <w:rPr>
                <w:b w:val="0"/>
                <w:i w:val="0"/>
                <w:sz w:val="17"/>
              </w:rPr>
              <w:t>—</w:t>
            </w:r>
          </w:p>
        </w:tc>
      </w:tr>
      <w:tr>
        <w:tc>
          <w:tcPr>
            <w:tcW w:type="dxa" w:w="1872"/>
          </w:tcPr>
          <w:p>
            <w:pPr>
              <w:spacing w:after="20"/>
            </w:pPr>
            <w:r/>
            <w:r>
              <w:rPr>
                <w:b/>
                <w:i w:val="0"/>
                <w:sz w:val="17"/>
              </w:rPr>
              <w:t>(d) Title</w:t>
            </w:r>
          </w:p>
        </w:tc>
        <w:tc>
          <w:tcPr>
            <w:tcW w:type="dxa" w:w="1080"/>
          </w:tcPr>
          <w:p>
            <w:pPr>
              <w:spacing w:after="20"/>
            </w:pPr>
            <w:r/>
            <w:r>
              <w:rPr>
                <w:b w:val="0"/>
                <w:i w:val="0"/>
                <w:sz w:val="17"/>
              </w:rPr>
              <w:t>§7.1(d)</w:t>
            </w:r>
          </w:p>
        </w:tc>
        <w:tc>
          <w:tcPr>
            <w:tcW w:type="dxa" w:w="5760"/>
          </w:tcPr>
          <w:p>
            <w:pPr>
              <w:spacing w:after="20"/>
            </w:pPr>
            <w:r/>
            <w:r>
              <w:rPr>
                <w:b w:val="0"/>
                <w:i w:val="0"/>
                <w:sz w:val="17"/>
              </w:rPr>
              <w:t>Fee simple owner free of liens except Permitted Exceptions; no unrecorded agreements other than Leases and Permitted Exceptions.</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(e) Litigation</w:t>
            </w:r>
          </w:p>
        </w:tc>
        <w:tc>
          <w:tcPr>
            <w:tcW w:type="dxa" w:w="1080"/>
            <w:shd w:val="clear" w:color="auto" w:fill="EEF2F8"/>
          </w:tcPr>
          <w:p>
            <w:pPr>
              <w:spacing w:after="20"/>
            </w:pPr>
            <w:r/>
            <w:r>
              <w:rPr>
                <w:b w:val="0"/>
                <w:i w:val="0"/>
                <w:sz w:val="17"/>
              </w:rPr>
              <w:t>§7.1(e); Sched. 7.1(e)</w:t>
            </w:r>
          </w:p>
        </w:tc>
        <w:tc>
          <w:tcPr>
            <w:tcW w:type="dxa" w:w="5760"/>
            <w:shd w:val="clear" w:color="auto" w:fill="EEF2F8"/>
          </w:tcPr>
          <w:p>
            <w:pPr>
              <w:spacing w:after="20"/>
            </w:pPr>
            <w:r/>
            <w:r>
              <w:rPr>
                <w:b w:val="0"/>
                <w:i w:val="0"/>
                <w:sz w:val="17"/>
              </w:rPr>
              <w:t>None except Doe v. Meridian Office Holdings LP, Fairfax Cir. Ct. No. CL-2024-003287 (filed 4/12/2024; slip-and-fall 1/8/2024, Building B parking area; claimed damages ≈$175,000; CGL policy CGL-2023-VA-887412, Pinnacle Casualty Insurance Co.; $25,000 deductible; Seller’s counsel expects dismissal or de minimis settlement within the deductible).</w:t>
            </w:r>
          </w:p>
        </w:tc>
        <w:tc>
          <w:tcPr>
            <w:tcW w:type="dxa" w:w="936"/>
            <w:shd w:val="clear" w:color="auto" w:fill="EEF2F8"/>
          </w:tcPr>
          <w:p>
            <w:pPr>
              <w:spacing w:after="20"/>
            </w:pPr>
            <w:r/>
            <w:r>
              <w:rPr>
                <w:b w:val="0"/>
                <w:i w:val="0"/>
                <w:sz w:val="17"/>
              </w:rPr>
              <w:t>15</w:t>
            </w:r>
          </w:p>
        </w:tc>
      </w:tr>
      <w:tr>
        <w:tc>
          <w:tcPr>
            <w:tcW w:type="dxa" w:w="1872"/>
          </w:tcPr>
          <w:p>
            <w:pPr>
              <w:spacing w:after="20"/>
            </w:pPr>
            <w:r/>
            <w:r>
              <w:rPr>
                <w:b/>
                <w:i w:val="0"/>
                <w:sz w:val="17"/>
              </w:rPr>
              <w:t>(f) Compliance with laws</w:t>
            </w:r>
          </w:p>
        </w:tc>
        <w:tc>
          <w:tcPr>
            <w:tcW w:type="dxa" w:w="1080"/>
          </w:tcPr>
          <w:p>
            <w:pPr>
              <w:spacing w:after="20"/>
            </w:pPr>
            <w:r/>
            <w:r>
              <w:rPr>
                <w:b w:val="0"/>
                <w:i w:val="0"/>
                <w:sz w:val="17"/>
              </w:rPr>
              <w:t>§7.1(f)</w:t>
            </w:r>
          </w:p>
        </w:tc>
        <w:tc>
          <w:tcPr>
            <w:tcW w:type="dxa" w:w="5760"/>
          </w:tcPr>
          <w:p>
            <w:pPr>
              <w:spacing w:after="20"/>
            </w:pPr>
            <w:r/>
            <w:r>
              <w:rPr>
                <w:b w:val="0"/>
                <w:i w:val="0"/>
                <w:sz w:val="17"/>
              </w:rPr>
              <w:t>Knowledge-qualified material compliance (zoning, building, fire, health/safety, ADA); no uncured written violation notices.</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(g) Leases / Rent Roll</w:t>
            </w:r>
          </w:p>
        </w:tc>
        <w:tc>
          <w:tcPr>
            <w:tcW w:type="dxa" w:w="1080"/>
            <w:shd w:val="clear" w:color="auto" w:fill="EEF2F8"/>
          </w:tcPr>
          <w:p>
            <w:pPr>
              <w:spacing w:after="20"/>
            </w:pPr>
            <w:r/>
            <w:r>
              <w:rPr>
                <w:b w:val="0"/>
                <w:i w:val="0"/>
                <w:sz w:val="17"/>
              </w:rPr>
              <w:t>§7.1(g)</w:t>
            </w:r>
          </w:p>
        </w:tc>
        <w:tc>
          <w:tcPr>
            <w:tcW w:type="dxa" w:w="5760"/>
            <w:shd w:val="clear" w:color="auto" w:fill="EEF2F8"/>
          </w:tcPr>
          <w:p>
            <w:pPr>
              <w:spacing w:after="20"/>
            </w:pPr>
            <w:r/>
            <w:r>
              <w:rPr>
                <w:b w:val="0"/>
                <w:i w:val="0"/>
                <w:sz w:val="17"/>
              </w:rPr>
              <w:t>Rent Roll true, correct and complete in all material respects as of 9/15/2024; 14 tenants; except per Exh. F: no material tenant default or uncured default notice; (knowledge) no material landlord default; no written notice of intent to terminate/vacate; no unreflected concessions or free rent; TI obligations satisfied except as listed.</w:t>
            </w:r>
          </w:p>
        </w:tc>
        <w:tc>
          <w:tcPr>
            <w:tcW w:type="dxa" w:w="936"/>
            <w:shd w:val="clear" w:color="auto" w:fill="EEF2F8"/>
          </w:tcPr>
          <w:p>
            <w:pPr>
              <w:spacing w:after="20"/>
            </w:pPr>
            <w:r/>
            <w:r>
              <w:rPr>
                <w:b w:val="0"/>
                <w:i w:val="0"/>
                <w:sz w:val="17"/>
              </w:rPr>
              <w:t>16, 17</w:t>
            </w:r>
          </w:p>
        </w:tc>
      </w:tr>
      <w:tr>
        <w:tc>
          <w:tcPr>
            <w:tcW w:type="dxa" w:w="1872"/>
          </w:tcPr>
          <w:p>
            <w:pPr>
              <w:spacing w:after="20"/>
            </w:pPr>
            <w:r/>
            <w:r>
              <w:rPr>
                <w:b/>
                <w:i w:val="0"/>
                <w:sz w:val="17"/>
              </w:rPr>
              <w:t>(h) Service Contracts</w:t>
            </w:r>
          </w:p>
        </w:tc>
        <w:tc>
          <w:tcPr>
            <w:tcW w:type="dxa" w:w="1080"/>
          </w:tcPr>
          <w:p>
            <w:pPr>
              <w:spacing w:after="20"/>
            </w:pPr>
            <w:r/>
            <w:r>
              <w:rPr>
                <w:b w:val="0"/>
                <w:i w:val="0"/>
                <w:sz w:val="17"/>
              </w:rPr>
              <w:t>§7.1(h)</w:t>
            </w:r>
          </w:p>
        </w:tc>
        <w:tc>
          <w:tcPr>
            <w:tcW w:type="dxa" w:w="5760"/>
          </w:tcPr>
          <w:p>
            <w:pPr>
              <w:spacing w:after="20"/>
            </w:pPr>
            <w:r/>
            <w:r>
              <w:rPr>
                <w:b w:val="0"/>
                <w:i w:val="0"/>
                <w:sz w:val="17"/>
              </w:rPr>
              <w:t>Exh. G complete; 11 contracts, 3 non-terminable on change of ownership; no material default.</w:t>
            </w:r>
          </w:p>
        </w:tc>
        <w:tc>
          <w:tcPr>
            <w:tcW w:type="dxa" w:w="936"/>
          </w:tcPr>
          <w:p>
            <w:pPr>
              <w:spacing w:after="20"/>
            </w:pPr>
            <w:r/>
            <w:r>
              <w:rPr>
                <w:b w:val="0"/>
                <w:i w:val="0"/>
                <w:sz w:val="17"/>
              </w:rPr>
              <w:t>18</w:t>
            </w:r>
          </w:p>
        </w:tc>
      </w:tr>
      <w:tr>
        <w:tc>
          <w:tcPr>
            <w:tcW w:type="dxa" w:w="1872"/>
            <w:shd w:val="clear" w:color="auto" w:fill="EEF2F8"/>
          </w:tcPr>
          <w:p>
            <w:pPr>
              <w:spacing w:after="20"/>
            </w:pPr>
            <w:r/>
            <w:r>
              <w:rPr>
                <w:b/>
                <w:i w:val="0"/>
                <w:sz w:val="17"/>
              </w:rPr>
              <w:t>(i) Insurance</w:t>
            </w:r>
          </w:p>
        </w:tc>
        <w:tc>
          <w:tcPr>
            <w:tcW w:type="dxa" w:w="1080"/>
            <w:shd w:val="clear" w:color="auto" w:fill="EEF2F8"/>
          </w:tcPr>
          <w:p>
            <w:pPr>
              <w:spacing w:after="20"/>
            </w:pPr>
            <w:r/>
            <w:r>
              <w:rPr>
                <w:b w:val="0"/>
                <w:i w:val="0"/>
                <w:sz w:val="17"/>
              </w:rPr>
              <w:t>§7.1(i)</w:t>
            </w:r>
          </w:p>
        </w:tc>
        <w:tc>
          <w:tcPr>
            <w:tcW w:type="dxa" w:w="5760"/>
            <w:shd w:val="clear" w:color="auto" w:fill="EEF2F8"/>
          </w:tcPr>
          <w:p>
            <w:pPr>
              <w:spacing w:after="20"/>
            </w:pPr>
            <w:r/>
            <w:r>
              <w:rPr>
                <w:b w:val="0"/>
                <w:i w:val="0"/>
                <w:sz w:val="17"/>
              </w:rPr>
              <w:t>Customary CGL, property, umbrella and workers’ comp; no cancellation/non-renewal notice; no material pending claim other than Doe.</w:t>
            </w:r>
          </w:p>
        </w:tc>
        <w:tc>
          <w:tcPr>
            <w:tcW w:type="dxa" w:w="936"/>
            <w:shd w:val="clear" w:color="auto" w:fill="EEF2F8"/>
          </w:tcPr>
          <w:p>
            <w:pPr>
              <w:spacing w:after="20"/>
            </w:pPr>
            <w:r/>
            <w:r>
              <w:rPr>
                <w:b w:val="0"/>
                <w:i w:val="0"/>
                <w:sz w:val="17"/>
              </w:rPr>
              <w:t>—</w:t>
            </w:r>
          </w:p>
        </w:tc>
      </w:tr>
      <w:tr>
        <w:tc>
          <w:tcPr>
            <w:tcW w:type="dxa" w:w="1872"/>
          </w:tcPr>
          <w:p>
            <w:pPr>
              <w:spacing w:after="20"/>
            </w:pPr>
            <w:r/>
            <w:r>
              <w:rPr>
                <w:b/>
                <w:i w:val="0"/>
                <w:sz w:val="17"/>
              </w:rPr>
              <w:t>(j) Condemnation</w:t>
            </w:r>
          </w:p>
        </w:tc>
        <w:tc>
          <w:tcPr>
            <w:tcW w:type="dxa" w:w="1080"/>
          </w:tcPr>
          <w:p>
            <w:pPr>
              <w:spacing w:after="20"/>
            </w:pPr>
            <w:r/>
            <w:r>
              <w:rPr>
                <w:b w:val="0"/>
                <w:i w:val="0"/>
                <w:sz w:val="17"/>
              </w:rPr>
              <w:t>§7.1(j)</w:t>
            </w:r>
          </w:p>
        </w:tc>
        <w:tc>
          <w:tcPr>
            <w:tcW w:type="dxa" w:w="5760"/>
          </w:tcPr>
          <w:p>
            <w:pPr>
              <w:spacing w:after="20"/>
            </w:pPr>
            <w:r/>
            <w:r>
              <w:rPr>
                <w:b w:val="0"/>
                <w:i w:val="0"/>
                <w:sz w:val="17"/>
              </w:rPr>
              <w:t>Knowledge-qualified: none pending or threatened.</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(k) Environmental</w:t>
            </w:r>
          </w:p>
        </w:tc>
        <w:tc>
          <w:tcPr>
            <w:tcW w:type="dxa" w:w="1080"/>
            <w:shd w:val="clear" w:color="auto" w:fill="EEF2F8"/>
          </w:tcPr>
          <w:p>
            <w:pPr>
              <w:spacing w:after="20"/>
            </w:pPr>
            <w:r/>
            <w:r>
              <w:rPr>
                <w:b w:val="0"/>
                <w:i w:val="0"/>
                <w:sz w:val="17"/>
              </w:rPr>
              <w:t>§7.1(k)</w:t>
            </w:r>
          </w:p>
        </w:tc>
        <w:tc>
          <w:tcPr>
            <w:tcW w:type="dxa" w:w="5760"/>
            <w:shd w:val="clear" w:color="auto" w:fill="EEF2F8"/>
          </w:tcPr>
          <w:p>
            <w:pPr>
              <w:spacing w:after="20"/>
            </w:pPr>
            <w:r/>
            <w:r>
              <w:rPr>
                <w:b w:val="0"/>
                <w:i w:val="0"/>
                <w:sz w:val="17"/>
              </w:rPr>
              <w:t xml:space="preserve">To Seller’s knowledge, </w:t>
            </w:r>
            <w:r>
              <w:rPr>
                <w:b/>
                <w:i w:val="0"/>
                <w:sz w:val="17"/>
              </w:rPr>
              <w:t>except as disclosed in the Phase I</w:t>
            </w:r>
            <w:r>
              <w:rPr>
                <w:b w:val="0"/>
                <w:i w:val="0"/>
                <w:sz w:val="17"/>
              </w:rPr>
              <w:t>: (i) no release/storage/disposal of Hazardous Materials in violation of Environmental Laws; (ii) material compliance; (iii) no written governmental notice. “Hazardous Materials” expressly includes chlorinated solvents.</w:t>
            </w:r>
          </w:p>
        </w:tc>
        <w:tc>
          <w:tcPr>
            <w:tcW w:type="dxa" w:w="936"/>
            <w:shd w:val="clear" w:color="auto" w:fill="EEF2F8"/>
          </w:tcPr>
          <w:p>
            <w:pPr>
              <w:spacing w:after="20"/>
            </w:pPr>
            <w:r/>
            <w:r>
              <w:rPr>
                <w:b w:val="0"/>
                <w:i w:val="0"/>
                <w:sz w:val="17"/>
              </w:rPr>
              <w:t>3</w:t>
            </w:r>
          </w:p>
        </w:tc>
      </w:tr>
      <w:tr>
        <w:tc>
          <w:tcPr>
            <w:tcW w:type="dxa" w:w="1872"/>
          </w:tcPr>
          <w:p>
            <w:pPr>
              <w:spacing w:after="20"/>
            </w:pPr>
            <w:r/>
            <w:r>
              <w:rPr>
                <w:b/>
                <w:i w:val="0"/>
                <w:sz w:val="17"/>
              </w:rPr>
              <w:t>(l)–(n) FIRPTA; OFAC; bankruptcy</w:t>
            </w:r>
          </w:p>
        </w:tc>
        <w:tc>
          <w:tcPr>
            <w:tcW w:type="dxa" w:w="1080"/>
          </w:tcPr>
          <w:p>
            <w:pPr>
              <w:spacing w:after="20"/>
            </w:pPr>
            <w:r/>
            <w:r>
              <w:rPr>
                <w:b w:val="0"/>
                <w:i w:val="0"/>
                <w:sz w:val="17"/>
              </w:rPr>
              <w:t>§7.1(l)–(n)</w:t>
            </w:r>
          </w:p>
        </w:tc>
        <w:tc>
          <w:tcPr>
            <w:tcW w:type="dxa" w:w="5760"/>
          </w:tcPr>
          <w:p>
            <w:pPr>
              <w:spacing w:after="20"/>
            </w:pPr>
            <w:r/>
            <w:r>
              <w:rPr>
                <w:b w:val="0"/>
                <w:i w:val="0"/>
                <w:sz w:val="17"/>
              </w:rPr>
              <w:t>Not a foreign person (affidavit at Closing); not on OFAC lists; no bankruptcy filing pending or contemplated.</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(o)–(q) Taxes; utilities; access</w:t>
            </w:r>
          </w:p>
        </w:tc>
        <w:tc>
          <w:tcPr>
            <w:tcW w:type="dxa" w:w="1080"/>
            <w:shd w:val="clear" w:color="auto" w:fill="EEF2F8"/>
          </w:tcPr>
          <w:p>
            <w:pPr>
              <w:spacing w:after="20"/>
            </w:pPr>
            <w:r/>
            <w:r>
              <w:rPr>
                <w:b w:val="0"/>
                <w:i w:val="0"/>
                <w:sz w:val="17"/>
              </w:rPr>
              <w:t>§7.1(o)–(q)</w:t>
            </w:r>
          </w:p>
        </w:tc>
        <w:tc>
          <w:tcPr>
            <w:tcW w:type="dxa" w:w="5760"/>
            <w:shd w:val="clear" w:color="auto" w:fill="EEF2F8"/>
          </w:tcPr>
          <w:p>
            <w:pPr>
              <w:spacing w:after="20"/>
            </w:pPr>
            <w:r/>
            <w:r>
              <w:rPr>
                <w:b w:val="0"/>
                <w:i w:val="0"/>
                <w:sz w:val="17"/>
              </w:rPr>
              <w:t>Knowledge-qualified no special assessments or assessment proceedings; all utilities available via public ROW or valid easements; legal and physical access.</w:t>
            </w:r>
          </w:p>
        </w:tc>
        <w:tc>
          <w:tcPr>
            <w:tcW w:type="dxa" w:w="936"/>
            <w:shd w:val="clear" w:color="auto" w:fill="EEF2F8"/>
          </w:tcPr>
          <w:p>
            <w:pPr>
              <w:spacing w:after="20"/>
            </w:pPr>
            <w:r/>
            <w:r>
              <w:rPr>
                <w:b w:val="0"/>
                <w:i w:val="0"/>
                <w:sz w:val="17"/>
              </w:rPr>
              <w:t>—</w:t>
            </w:r>
          </w:p>
        </w:tc>
      </w:tr>
      <w:tr>
        <w:tc>
          <w:tcPr>
            <w:tcW w:type="dxa" w:w="1872"/>
          </w:tcPr>
          <w:p>
            <w:pPr>
              <w:spacing w:after="20"/>
            </w:pPr>
            <w:r/>
            <w:r>
              <w:rPr>
                <w:b/>
                <w:i w:val="0"/>
                <w:sz w:val="17"/>
              </w:rPr>
              <w:t>(r) No purchase options</w:t>
            </w:r>
          </w:p>
        </w:tc>
        <w:tc>
          <w:tcPr>
            <w:tcW w:type="dxa" w:w="1080"/>
          </w:tcPr>
          <w:p>
            <w:pPr>
              <w:spacing w:after="20"/>
            </w:pPr>
            <w:r/>
            <w:r>
              <w:rPr>
                <w:b w:val="0"/>
                <w:i w:val="0"/>
                <w:sz w:val="17"/>
              </w:rPr>
              <w:t>§7.1(r)</w:t>
            </w:r>
          </w:p>
        </w:tc>
        <w:tc>
          <w:tcPr>
            <w:tcW w:type="dxa" w:w="5760"/>
          </w:tcPr>
          <w:p>
            <w:pPr>
              <w:spacing w:after="20"/>
            </w:pPr>
            <w:r/>
            <w:r>
              <w:rPr>
                <w:b w:val="0"/>
                <w:i w:val="0"/>
                <w:sz w:val="17"/>
              </w:rPr>
              <w:t>No options/ROFR/ROFO except as expressly in the Leases.</w:t>
            </w:r>
          </w:p>
        </w:tc>
        <w:tc>
          <w:tcPr>
            <w:tcW w:type="dxa" w:w="936"/>
          </w:tcPr>
          <w:p>
            <w:pPr>
              <w:spacing w:after="20"/>
            </w:pPr>
            <w:r/>
            <w:r>
              <w:rPr>
                <w:b w:val="0"/>
                <w:i w:val="0"/>
                <w:sz w:val="17"/>
              </w:rPr>
              <w:t>7, 12</w:t>
            </w:r>
          </w:p>
        </w:tc>
      </w:tr>
      <w:tr>
        <w:tc>
          <w:tcPr>
            <w:tcW w:type="dxa" w:w="1872"/>
            <w:shd w:val="clear" w:color="auto" w:fill="EEF2F8"/>
          </w:tcPr>
          <w:p>
            <w:pPr>
              <w:spacing w:after="20"/>
            </w:pPr>
            <w:r/>
            <w:r>
              <w:rPr>
                <w:b/>
                <w:i w:val="0"/>
                <w:sz w:val="17"/>
              </w:rPr>
              <w:t>(s) No employees</w:t>
            </w:r>
          </w:p>
        </w:tc>
        <w:tc>
          <w:tcPr>
            <w:tcW w:type="dxa" w:w="1080"/>
            <w:shd w:val="clear" w:color="auto" w:fill="EEF2F8"/>
          </w:tcPr>
          <w:p>
            <w:pPr>
              <w:spacing w:after="20"/>
            </w:pPr>
            <w:r/>
            <w:r>
              <w:rPr>
                <w:b w:val="0"/>
                <w:i w:val="0"/>
                <w:sz w:val="17"/>
              </w:rPr>
              <w:t>§7.1(s)</w:t>
            </w:r>
          </w:p>
        </w:tc>
        <w:tc>
          <w:tcPr>
            <w:tcW w:type="dxa" w:w="5760"/>
            <w:shd w:val="clear" w:color="auto" w:fill="EEF2F8"/>
          </w:tcPr>
          <w:p>
            <w:pPr>
              <w:spacing w:after="20"/>
            </w:pPr>
            <w:r/>
            <w:r>
              <w:rPr>
                <w:b w:val="0"/>
                <w:i w:val="0"/>
                <w:sz w:val="17"/>
              </w:rPr>
              <w:t>No employees; all on-site management, maintenance and security by independent contractors under Exhibit G contracts.</w:t>
            </w:r>
          </w:p>
        </w:tc>
        <w:tc>
          <w:tcPr>
            <w:tcW w:type="dxa" w:w="936"/>
            <w:shd w:val="clear" w:color="auto" w:fill="EEF2F8"/>
          </w:tcPr>
          <w:p>
            <w:pPr>
              <w:spacing w:after="20"/>
            </w:pPr>
            <w:r/>
            <w:r>
              <w:rPr>
                <w:b w:val="0"/>
                <w:i w:val="0"/>
                <w:sz w:val="17"/>
              </w:rPr>
              <w:t>18</w:t>
            </w:r>
          </w:p>
        </w:tc>
      </w:tr>
      <w:tr>
        <w:tc>
          <w:tcPr>
            <w:tcW w:type="dxa" w:w="1872"/>
          </w:tcPr>
          <w:p>
            <w:pPr>
              <w:spacing w:after="20"/>
            </w:pPr>
            <w:r/>
            <w:r>
              <w:rPr>
                <w:b/>
                <w:i w:val="0"/>
                <w:sz w:val="17"/>
              </w:rPr>
              <w:t>(t) Parking</w:t>
            </w:r>
          </w:p>
        </w:tc>
        <w:tc>
          <w:tcPr>
            <w:tcW w:type="dxa" w:w="1080"/>
          </w:tcPr>
          <w:p>
            <w:pPr>
              <w:spacing w:after="20"/>
            </w:pPr>
            <w:r/>
            <w:r>
              <w:rPr>
                <w:b w:val="0"/>
                <w:i w:val="0"/>
                <w:sz w:val="17"/>
              </w:rPr>
              <w:t>§7.1(t)</w:t>
            </w:r>
          </w:p>
        </w:tc>
        <w:tc>
          <w:tcPr>
            <w:tcW w:type="dxa" w:w="5760"/>
          </w:tcPr>
          <w:p>
            <w:pPr>
              <w:spacing w:after="20"/>
            </w:pPr>
            <w:r/>
            <w:r>
              <w:rPr>
                <w:b w:val="0"/>
                <w:i w:val="0"/>
                <w:sz w:val="17"/>
              </w:rPr>
              <w:t>1,248 spaces (4.0/1,000 RSF); knowledge-qualified good working order, structurally sound, no material repairs required.</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(u) Warranties</w:t>
            </w:r>
          </w:p>
        </w:tc>
        <w:tc>
          <w:tcPr>
            <w:tcW w:type="dxa" w:w="1080"/>
            <w:shd w:val="clear" w:color="auto" w:fill="EEF2F8"/>
          </w:tcPr>
          <w:p>
            <w:pPr>
              <w:spacing w:after="20"/>
            </w:pPr>
            <w:r/>
            <w:r>
              <w:rPr>
                <w:b w:val="0"/>
                <w:i w:val="0"/>
                <w:sz w:val="17"/>
              </w:rPr>
              <w:t>§7.1(u)</w:t>
            </w:r>
          </w:p>
        </w:tc>
        <w:tc>
          <w:tcPr>
            <w:tcW w:type="dxa" w:w="5760"/>
            <w:shd w:val="clear" w:color="auto" w:fill="EEF2F8"/>
          </w:tcPr>
          <w:p>
            <w:pPr>
              <w:spacing w:after="20"/>
            </w:pPr>
            <w:r/>
            <w:r>
              <w:rPr>
                <w:b w:val="0"/>
                <w:i w:val="0"/>
                <w:sz w:val="17"/>
              </w:rPr>
              <w:t>Seller to assign assignable warranties at Closing; commercially reasonable efforts to obtain warrantor consent where required.</w:t>
            </w:r>
          </w:p>
        </w:tc>
        <w:tc>
          <w:tcPr>
            <w:tcW w:type="dxa" w:w="936"/>
            <w:shd w:val="clear" w:color="auto" w:fill="EEF2F8"/>
          </w:tcPr>
          <w:p>
            <w:pPr>
              <w:spacing w:after="20"/>
            </w:pPr>
            <w:r/>
            <w:r>
              <w:rPr>
                <w:b w:val="0"/>
                <w:i w:val="0"/>
                <w:sz w:val="17"/>
              </w:rPr>
              <w:t>—</w:t>
            </w:r>
          </w:p>
        </w:tc>
      </w:tr>
      <w:tr>
        <w:tc>
          <w:tcPr>
            <w:tcW w:type="dxa" w:w="1872"/>
          </w:tcPr>
          <w:p>
            <w:pPr>
              <w:spacing w:after="20"/>
            </w:pPr>
            <w:r/>
            <w:r>
              <w:rPr>
                <w:b/>
                <w:i w:val="0"/>
                <w:sz w:val="17"/>
              </w:rPr>
              <w:t>(v) No side agreements</w:t>
            </w:r>
          </w:p>
        </w:tc>
        <w:tc>
          <w:tcPr>
            <w:tcW w:type="dxa" w:w="1080"/>
          </w:tcPr>
          <w:p>
            <w:pPr>
              <w:spacing w:after="20"/>
            </w:pPr>
            <w:r/>
            <w:r>
              <w:rPr>
                <w:b w:val="0"/>
                <w:i w:val="0"/>
                <w:sz w:val="17"/>
              </w:rPr>
              <w:t>§7.1(v)</w:t>
            </w:r>
          </w:p>
        </w:tc>
        <w:tc>
          <w:tcPr>
            <w:tcW w:type="dxa" w:w="5760"/>
          </w:tcPr>
          <w:p>
            <w:pPr>
              <w:spacing w:after="20"/>
            </w:pPr>
            <w:r/>
            <w:r>
              <w:rPr>
                <w:b w:val="0"/>
                <w:i w:val="0"/>
                <w:sz w:val="17"/>
              </w:rPr>
              <w:t>No tenant/occupant agreements other than Leases or as disclosed in writing.</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Knowledge definition</w:t>
            </w:r>
          </w:p>
        </w:tc>
        <w:tc>
          <w:tcPr>
            <w:tcW w:type="dxa" w:w="1080"/>
            <w:shd w:val="clear" w:color="auto" w:fill="EEF2F8"/>
          </w:tcPr>
          <w:p>
            <w:pPr>
              <w:spacing w:after="20"/>
            </w:pPr>
            <w:r/>
            <w:r>
              <w:rPr>
                <w:b w:val="0"/>
                <w:i w:val="0"/>
                <w:sz w:val="17"/>
              </w:rPr>
              <w:t>§7.1 (final para.)</w:t>
            </w:r>
          </w:p>
        </w:tc>
        <w:tc>
          <w:tcPr>
            <w:tcW w:type="dxa" w:w="5760"/>
            <w:shd w:val="clear" w:color="auto" w:fill="EEF2F8"/>
          </w:tcPr>
          <w:p>
            <w:pPr>
              <w:spacing w:after="20"/>
            </w:pPr>
            <w:r/>
            <w:r>
              <w:rPr>
                <w:b w:val="0"/>
                <w:i w:val="0"/>
                <w:sz w:val="17"/>
              </w:rPr>
              <w:t>Actual knowledge of Marcus Ellison, without independent investigation, but with a duty to inquire of Seller’s on-site property manager.</w:t>
            </w:r>
          </w:p>
        </w:tc>
        <w:tc>
          <w:tcPr>
            <w:tcW w:type="dxa" w:w="936"/>
            <w:shd w:val="clear" w:color="auto" w:fill="EEF2F8"/>
          </w:tcPr>
          <w:p>
            <w:pPr>
              <w:spacing w:after="20"/>
            </w:pPr>
            <w:r/>
            <w:r>
              <w:rPr>
                <w:b w:val="0"/>
                <w:i w:val="0"/>
                <w:sz w:val="17"/>
              </w:rPr>
              <w:t>14</w:t>
            </w:r>
          </w:p>
        </w:tc>
      </w:tr>
    </w:tbl>
    <w:p>
      <w:pPr>
        <w:spacing w:after="40"/>
      </w:pPr>
    </w:p>
    <w:p>
      <w:pPr>
        <w:pStyle w:val="Heading2"/>
      </w:pPr>
      <w:r>
        <w:t>4.8 Rep Update, Survival, Limitations; Buyer Representations</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Seller’s Closing Certificate</w:t>
            </w:r>
          </w:p>
        </w:tc>
        <w:tc>
          <w:tcPr>
            <w:tcW w:type="dxa" w:w="1080"/>
          </w:tcPr>
          <w:p>
            <w:pPr>
              <w:spacing w:after="20"/>
            </w:pPr>
            <w:r/>
            <w:r>
              <w:rPr>
                <w:b w:val="0"/>
                <w:i w:val="0"/>
                <w:sz w:val="17"/>
              </w:rPr>
              <w:t>§7.2</w:t>
            </w:r>
          </w:p>
        </w:tc>
        <w:tc>
          <w:tcPr>
            <w:tcW w:type="dxa" w:w="5760"/>
          </w:tcPr>
          <w:p>
            <w:pPr>
              <w:spacing w:after="20"/>
            </w:pPr>
            <w:r/>
            <w:r>
              <w:rPr>
                <w:b w:val="0"/>
                <w:i w:val="0"/>
                <w:sz w:val="17"/>
              </w:rPr>
              <w:t>Signed by Marcus Ellison at Closing confirming reps remain true in all material respects or identifying changes. If a change is a material adverse change (other than from Buyer’s actions or as contemplated), Buyer may within 5 BD (a) waive and close or (b) terminate with full Deposit refund.</w:t>
            </w:r>
          </w:p>
        </w:tc>
        <w:tc>
          <w:tcPr>
            <w:tcW w:type="dxa" w:w="936"/>
          </w:tcPr>
          <w:p>
            <w:pPr>
              <w:spacing w:after="20"/>
            </w:pPr>
            <w:r/>
            <w:r>
              <w:rPr>
                <w:b w:val="0"/>
                <w:i w:val="0"/>
                <w:sz w:val="17"/>
              </w:rPr>
              <w:t>14</w:t>
            </w:r>
          </w:p>
        </w:tc>
      </w:tr>
      <w:tr>
        <w:tc>
          <w:tcPr>
            <w:tcW w:type="dxa" w:w="1872"/>
            <w:shd w:val="clear" w:color="auto" w:fill="EEF2F8"/>
          </w:tcPr>
          <w:p>
            <w:pPr>
              <w:spacing w:after="20"/>
            </w:pPr>
            <w:r/>
            <w:r>
              <w:rPr>
                <w:b/>
                <w:i w:val="0"/>
                <w:sz w:val="17"/>
              </w:rPr>
              <w:t>Survival</w:t>
            </w:r>
          </w:p>
        </w:tc>
        <w:tc>
          <w:tcPr>
            <w:tcW w:type="dxa" w:w="1080"/>
            <w:shd w:val="clear" w:color="auto" w:fill="EEF2F8"/>
          </w:tcPr>
          <w:p>
            <w:pPr>
              <w:spacing w:after="20"/>
            </w:pPr>
            <w:r/>
            <w:r>
              <w:rPr>
                <w:b w:val="0"/>
                <w:i w:val="0"/>
                <w:sz w:val="17"/>
              </w:rPr>
              <w:t>§7.3</w:t>
            </w:r>
          </w:p>
        </w:tc>
        <w:tc>
          <w:tcPr>
            <w:tcW w:type="dxa" w:w="5760"/>
            <w:shd w:val="clear" w:color="auto" w:fill="EEF2F8"/>
          </w:tcPr>
          <w:p>
            <w:pPr>
              <w:spacing w:after="20"/>
            </w:pPr>
            <w:r/>
            <w:r>
              <w:rPr>
                <w:b w:val="0"/>
                <w:i w:val="0"/>
                <w:sz w:val="17"/>
              </w:rPr>
              <w:t>12 months after Closing (to January 15, 2026); written claim notice with reasonable detail required within the period; unasserted claims waived.</w:t>
            </w:r>
          </w:p>
        </w:tc>
        <w:tc>
          <w:tcPr>
            <w:tcW w:type="dxa" w:w="936"/>
            <w:shd w:val="clear" w:color="auto" w:fill="EEF2F8"/>
          </w:tcPr>
          <w:p>
            <w:pPr>
              <w:spacing w:after="20"/>
            </w:pPr>
            <w:r/>
            <w:r>
              <w:rPr>
                <w:b w:val="0"/>
                <w:i w:val="0"/>
                <w:sz w:val="17"/>
              </w:rPr>
              <w:t>14</w:t>
            </w:r>
          </w:p>
        </w:tc>
      </w:tr>
      <w:tr>
        <w:tc>
          <w:tcPr>
            <w:tcW w:type="dxa" w:w="1872"/>
          </w:tcPr>
          <w:p>
            <w:pPr>
              <w:spacing w:after="20"/>
            </w:pPr>
            <w:r/>
            <w:r>
              <w:rPr>
                <w:b/>
                <w:i w:val="0"/>
                <w:sz w:val="17"/>
              </w:rPr>
              <w:t>Basket</w:t>
            </w:r>
          </w:p>
        </w:tc>
        <w:tc>
          <w:tcPr>
            <w:tcW w:type="dxa" w:w="1080"/>
          </w:tcPr>
          <w:p>
            <w:pPr>
              <w:spacing w:after="20"/>
            </w:pPr>
            <w:r/>
            <w:r>
              <w:rPr>
                <w:b w:val="0"/>
                <w:i w:val="0"/>
                <w:sz w:val="17"/>
              </w:rPr>
              <w:t>§7.4(a)</w:t>
            </w:r>
          </w:p>
        </w:tc>
        <w:tc>
          <w:tcPr>
            <w:tcW w:type="dxa" w:w="5760"/>
          </w:tcPr>
          <w:p>
            <w:pPr>
              <w:spacing w:after="20"/>
            </w:pPr>
            <w:r/>
            <w:r>
              <w:rPr>
                <w:b w:val="0"/>
                <w:i w:val="0"/>
                <w:sz w:val="17"/>
              </w:rPr>
              <w:t>$175,000 aggregate deductible; recovery only of the excess.</w:t>
            </w:r>
          </w:p>
        </w:tc>
        <w:tc>
          <w:tcPr>
            <w:tcW w:type="dxa" w:w="936"/>
          </w:tcPr>
          <w:p>
            <w:pPr>
              <w:spacing w:after="20"/>
            </w:pPr>
            <w:r/>
            <w:r>
              <w:rPr>
                <w:b w:val="0"/>
                <w:i w:val="0"/>
                <w:sz w:val="17"/>
              </w:rPr>
              <w:t>14</w:t>
            </w:r>
          </w:p>
        </w:tc>
      </w:tr>
      <w:tr>
        <w:tc>
          <w:tcPr>
            <w:tcW w:type="dxa" w:w="1872"/>
            <w:shd w:val="clear" w:color="auto" w:fill="EEF2F8"/>
          </w:tcPr>
          <w:p>
            <w:pPr>
              <w:spacing w:after="20"/>
            </w:pPr>
            <w:r/>
            <w:r>
              <w:rPr>
                <w:b/>
                <w:i w:val="0"/>
                <w:sz w:val="17"/>
              </w:rPr>
              <w:t>Cap</w:t>
            </w:r>
          </w:p>
        </w:tc>
        <w:tc>
          <w:tcPr>
            <w:tcW w:type="dxa" w:w="1080"/>
            <w:shd w:val="clear" w:color="auto" w:fill="EEF2F8"/>
          </w:tcPr>
          <w:p>
            <w:pPr>
              <w:spacing w:after="20"/>
            </w:pPr>
            <w:r/>
            <w:r>
              <w:rPr>
                <w:b w:val="0"/>
                <w:i w:val="0"/>
                <w:sz w:val="17"/>
              </w:rPr>
              <w:t>§7.4(b)</w:t>
            </w:r>
          </w:p>
        </w:tc>
        <w:tc>
          <w:tcPr>
            <w:tcW w:type="dxa" w:w="5760"/>
            <w:shd w:val="clear" w:color="auto" w:fill="EEF2F8"/>
          </w:tcPr>
          <w:p>
            <w:pPr>
              <w:spacing w:after="20"/>
            </w:pPr>
            <w:r/>
            <w:r>
              <w:rPr>
                <w:b w:val="0"/>
                <w:i w:val="0"/>
                <w:sz w:val="17"/>
              </w:rPr>
              <w:t>$4,387,500 (5% of price) for all Article VII claims.</w:t>
            </w:r>
          </w:p>
        </w:tc>
        <w:tc>
          <w:tcPr>
            <w:tcW w:type="dxa" w:w="936"/>
            <w:shd w:val="clear" w:color="auto" w:fill="EEF2F8"/>
          </w:tcPr>
          <w:p>
            <w:pPr>
              <w:spacing w:after="20"/>
            </w:pPr>
            <w:r/>
            <w:r>
              <w:rPr>
                <w:b w:val="0"/>
                <w:i w:val="0"/>
                <w:sz w:val="17"/>
              </w:rPr>
              <w:t>14</w:t>
            </w:r>
          </w:p>
        </w:tc>
      </w:tr>
      <w:tr>
        <w:tc>
          <w:tcPr>
            <w:tcW w:type="dxa" w:w="1872"/>
          </w:tcPr>
          <w:p>
            <w:pPr>
              <w:spacing w:after="20"/>
            </w:pPr>
            <w:r/>
            <w:r>
              <w:rPr>
                <w:b/>
                <w:i w:val="0"/>
                <w:sz w:val="17"/>
              </w:rPr>
              <w:t>Fraud carve-out</w:t>
            </w:r>
          </w:p>
        </w:tc>
        <w:tc>
          <w:tcPr>
            <w:tcW w:type="dxa" w:w="1080"/>
          </w:tcPr>
          <w:p>
            <w:pPr>
              <w:spacing w:after="20"/>
            </w:pPr>
            <w:r/>
            <w:r>
              <w:rPr>
                <w:b w:val="0"/>
                <w:i w:val="0"/>
                <w:sz w:val="17"/>
              </w:rPr>
              <w:t>§7.4(c)</w:t>
            </w:r>
          </w:p>
        </w:tc>
        <w:tc>
          <w:tcPr>
            <w:tcW w:type="dxa" w:w="5760"/>
          </w:tcPr>
          <w:p>
            <w:pPr>
              <w:spacing w:after="20"/>
            </w:pPr>
            <w:r/>
            <w:r>
              <w:rPr>
                <w:b w:val="0"/>
                <w:i w:val="0"/>
                <w:sz w:val="17"/>
              </w:rPr>
              <w:t>Basket and Cap do not apply to fraud or intentional misrepresentation.</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Buyer reps</w:t>
            </w:r>
          </w:p>
        </w:tc>
        <w:tc>
          <w:tcPr>
            <w:tcW w:type="dxa" w:w="1080"/>
            <w:shd w:val="clear" w:color="auto" w:fill="EEF2F8"/>
          </w:tcPr>
          <w:p>
            <w:pPr>
              <w:spacing w:after="20"/>
            </w:pPr>
            <w:r/>
            <w:r>
              <w:rPr>
                <w:b w:val="0"/>
                <w:i w:val="0"/>
                <w:sz w:val="17"/>
              </w:rPr>
              <w:t>§7.5(a)–(f)</w:t>
            </w:r>
          </w:p>
        </w:tc>
        <w:tc>
          <w:tcPr>
            <w:tcW w:type="dxa" w:w="5760"/>
            <w:shd w:val="clear" w:color="auto" w:fill="EEF2F8"/>
          </w:tcPr>
          <w:p>
            <w:pPr>
              <w:spacing w:after="20"/>
            </w:pPr>
            <w:r/>
            <w:r>
              <w:rPr>
                <w:b w:val="0"/>
                <w:i w:val="0"/>
                <w:sz w:val="17"/>
              </w:rPr>
              <w:t>Delaware LLC formed March 14, 2019, qualified (or to be qualified) in Virginia before Closing; authority and due execution; no conflicts; OFAC; sufficient funds (equity and financing commitments); no bankruptcy.</w:t>
            </w:r>
          </w:p>
        </w:tc>
        <w:tc>
          <w:tcPr>
            <w:tcW w:type="dxa" w:w="936"/>
            <w:shd w:val="clear" w:color="auto" w:fill="EEF2F8"/>
          </w:tcPr>
          <w:p>
            <w:pPr>
              <w:spacing w:after="20"/>
            </w:pPr>
            <w:r/>
            <w:r>
              <w:rPr>
                <w:b w:val="0"/>
                <w:i w:val="0"/>
                <w:sz w:val="17"/>
              </w:rPr>
              <w:t>1, 29</w:t>
            </w:r>
          </w:p>
        </w:tc>
      </w:tr>
    </w:tbl>
    <w:p>
      <w:pPr>
        <w:spacing w:after="40"/>
      </w:pPr>
    </w:p>
    <w:p>
      <w:pPr>
        <w:pStyle w:val="Heading2"/>
      </w:pPr>
      <w:r>
        <w:t>4.9 Condition of Property, Release and Environmental Indemnity</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As-is</w:t>
            </w:r>
          </w:p>
        </w:tc>
        <w:tc>
          <w:tcPr>
            <w:tcW w:type="dxa" w:w="1080"/>
          </w:tcPr>
          <w:p>
            <w:pPr>
              <w:spacing w:after="20"/>
            </w:pPr>
            <w:r/>
            <w:r>
              <w:rPr>
                <w:b w:val="0"/>
                <w:i w:val="0"/>
                <w:sz w:val="17"/>
              </w:rPr>
              <w:t>§8.1</w:t>
            </w:r>
          </w:p>
        </w:tc>
        <w:tc>
          <w:tcPr>
            <w:tcW w:type="dxa" w:w="5760"/>
          </w:tcPr>
          <w:p>
            <w:pPr>
              <w:spacing w:after="20"/>
            </w:pPr>
            <w:r/>
            <w:r>
              <w:rPr>
                <w:b w:val="0"/>
                <w:i w:val="0"/>
                <w:sz w:val="17"/>
              </w:rPr>
              <w:t>Except for Article VII reps, AS-IS, WHERE-IS, WITH ALL FAULTS, expressly including environmental condition and Hazardous Materials; Buyer waives all condition claims, known or unknown, in contract, tort, strict liability or otherwise (subject to §§7.3–7.4).</w:t>
            </w:r>
          </w:p>
        </w:tc>
        <w:tc>
          <w:tcPr>
            <w:tcW w:type="dxa" w:w="936"/>
          </w:tcPr>
          <w:p>
            <w:pPr>
              <w:spacing w:after="20"/>
            </w:pPr>
            <w:r/>
            <w:r>
              <w:rPr>
                <w:b w:val="0"/>
                <w:i w:val="0"/>
                <w:sz w:val="17"/>
              </w:rPr>
              <w:t>3</w:t>
            </w:r>
          </w:p>
        </w:tc>
      </w:tr>
      <w:tr>
        <w:tc>
          <w:tcPr>
            <w:tcW w:type="dxa" w:w="1872"/>
            <w:shd w:val="clear" w:color="auto" w:fill="EEF2F8"/>
          </w:tcPr>
          <w:p>
            <w:pPr>
              <w:spacing w:after="20"/>
            </w:pPr>
            <w:r/>
            <w:r>
              <w:rPr>
                <w:b/>
                <w:i w:val="0"/>
                <w:sz w:val="17"/>
              </w:rPr>
              <w:t>Release</w:t>
            </w:r>
          </w:p>
        </w:tc>
        <w:tc>
          <w:tcPr>
            <w:tcW w:type="dxa" w:w="1080"/>
            <w:shd w:val="clear" w:color="auto" w:fill="EEF2F8"/>
          </w:tcPr>
          <w:p>
            <w:pPr>
              <w:spacing w:after="20"/>
            </w:pPr>
            <w:r/>
            <w:r>
              <w:rPr>
                <w:b w:val="0"/>
                <w:i w:val="0"/>
                <w:sz w:val="17"/>
              </w:rPr>
              <w:t>§8.3</w:t>
            </w:r>
          </w:p>
        </w:tc>
        <w:tc>
          <w:tcPr>
            <w:tcW w:type="dxa" w:w="5760"/>
            <w:shd w:val="clear" w:color="auto" w:fill="EEF2F8"/>
          </w:tcPr>
          <w:p>
            <w:pPr>
              <w:spacing w:after="20"/>
            </w:pPr>
            <w:r/>
            <w:r>
              <w:rPr>
                <w:b w:val="0"/>
                <w:i w:val="0"/>
                <w:sz w:val="17"/>
              </w:rPr>
              <w:t>Effective at Closing, Buyer (and successors/assigns) releases Seller and its affiliates/representatives from all claims relating to the condition of the Property, including environmental, except (a) Article VII rep claims (subject to §§7.3–7.4) and (b) §8.4 claims.</w:t>
            </w:r>
          </w:p>
        </w:tc>
        <w:tc>
          <w:tcPr>
            <w:tcW w:type="dxa" w:w="936"/>
            <w:shd w:val="clear" w:color="auto" w:fill="EEF2F8"/>
          </w:tcPr>
          <w:p>
            <w:pPr>
              <w:spacing w:after="20"/>
            </w:pPr>
            <w:r/>
            <w:r>
              <w:rPr>
                <w:b w:val="0"/>
                <w:i w:val="0"/>
                <w:sz w:val="17"/>
              </w:rPr>
              <w:t>3</w:t>
            </w:r>
          </w:p>
        </w:tc>
      </w:tr>
      <w:tr>
        <w:tc>
          <w:tcPr>
            <w:tcW w:type="dxa" w:w="1872"/>
          </w:tcPr>
          <w:p>
            <w:pPr>
              <w:spacing w:after="20"/>
            </w:pPr>
            <w:r/>
            <w:r>
              <w:rPr>
                <w:b/>
                <w:i w:val="0"/>
                <w:sz w:val="17"/>
              </w:rPr>
              <w:t>Environmental indemnity — scope</w:t>
            </w:r>
          </w:p>
        </w:tc>
        <w:tc>
          <w:tcPr>
            <w:tcW w:type="dxa" w:w="1080"/>
          </w:tcPr>
          <w:p>
            <w:pPr>
              <w:spacing w:after="20"/>
            </w:pPr>
            <w:r/>
            <w:r>
              <w:rPr>
                <w:b w:val="0"/>
                <w:i w:val="0"/>
                <w:sz w:val="17"/>
              </w:rPr>
              <w:t>§8.4</w:t>
            </w:r>
          </w:p>
        </w:tc>
        <w:tc>
          <w:tcPr>
            <w:tcW w:type="dxa" w:w="5760"/>
          </w:tcPr>
          <w:p>
            <w:pPr>
              <w:spacing w:after="20"/>
            </w:pPr>
            <w:r/>
            <w:r>
              <w:rPr>
                <w:b w:val="0"/>
                <w:i w:val="0"/>
                <w:sz w:val="17"/>
              </w:rPr>
              <w:t xml:space="preserve">Seller indemnifies, defends and holds harmless Buyer and its members, managers, officers, employees, agents, successors and assigns from losses (including reasonable attorneys’ fees and costs of environmental investigation, remediation and monitoring) arising from presence, release or </w:t>
            </w:r>
            <w:r>
              <w:rPr>
                <w:b/>
                <w:i w:val="0"/>
                <w:sz w:val="17"/>
              </w:rPr>
              <w:t>migration</w:t>
            </w:r>
            <w:r>
              <w:rPr>
                <w:b w:val="0"/>
                <w:i w:val="0"/>
                <w:sz w:val="17"/>
              </w:rPr>
              <w:t xml:space="preserve"> of Hazardous Materials on, under or about the Property to the extent attributable to conditions existing prior to the Closing Date (“Pre-Existing Environmental Conditions”).</w:t>
            </w:r>
          </w:p>
        </w:tc>
        <w:tc>
          <w:tcPr>
            <w:tcW w:type="dxa" w:w="936"/>
          </w:tcPr>
          <w:p>
            <w:pPr>
              <w:spacing w:after="20"/>
            </w:pPr>
            <w:r/>
            <w:r>
              <w:rPr>
                <w:b w:val="0"/>
                <w:i w:val="0"/>
                <w:sz w:val="17"/>
              </w:rPr>
              <w:t>3</w:t>
            </w:r>
          </w:p>
        </w:tc>
      </w:tr>
      <w:tr>
        <w:tc>
          <w:tcPr>
            <w:tcW w:type="dxa" w:w="1872"/>
            <w:shd w:val="clear" w:color="auto" w:fill="EEF2F8"/>
          </w:tcPr>
          <w:p>
            <w:pPr>
              <w:spacing w:after="20"/>
            </w:pPr>
            <w:r/>
            <w:r>
              <w:rPr>
                <w:b/>
                <w:i w:val="0"/>
                <w:sz w:val="17"/>
              </w:rPr>
              <w:t>Environmental indemnity — cap</w:t>
            </w:r>
          </w:p>
        </w:tc>
        <w:tc>
          <w:tcPr>
            <w:tcW w:type="dxa" w:w="1080"/>
            <w:shd w:val="clear" w:color="auto" w:fill="EEF2F8"/>
          </w:tcPr>
          <w:p>
            <w:pPr>
              <w:spacing w:after="20"/>
            </w:pPr>
            <w:r/>
            <w:r>
              <w:rPr>
                <w:b w:val="0"/>
                <w:i w:val="0"/>
                <w:sz w:val="17"/>
              </w:rPr>
              <w:t>§8.4(a)</w:t>
            </w:r>
          </w:p>
        </w:tc>
        <w:tc>
          <w:tcPr>
            <w:tcW w:type="dxa" w:w="5760"/>
            <w:shd w:val="clear" w:color="auto" w:fill="EEF2F8"/>
          </w:tcPr>
          <w:p>
            <w:pPr>
              <w:spacing w:after="20"/>
            </w:pPr>
            <w:r/>
            <w:r>
              <w:rPr>
                <w:b/>
                <w:i w:val="0"/>
                <w:sz w:val="17"/>
              </w:rPr>
              <w:t>$3,000,000</w:t>
            </w:r>
            <w:r>
              <w:rPr>
                <w:b w:val="0"/>
                <w:i w:val="0"/>
                <w:sz w:val="17"/>
              </w:rPr>
              <w:t xml:space="preserve"> aggregate (“Environmental Indemnity Cap”); separate from and in addition to the §7.4(b) Cap; claims do not count against the §7.4(b) Cap.</w:t>
            </w:r>
          </w:p>
        </w:tc>
        <w:tc>
          <w:tcPr>
            <w:tcW w:type="dxa" w:w="936"/>
            <w:shd w:val="clear" w:color="auto" w:fill="EEF2F8"/>
          </w:tcPr>
          <w:p>
            <w:pPr>
              <w:spacing w:after="20"/>
            </w:pPr>
            <w:r/>
            <w:r>
              <w:rPr>
                <w:b w:val="0"/>
                <w:i w:val="0"/>
                <w:sz w:val="17"/>
              </w:rPr>
              <w:t>3</w:t>
            </w:r>
          </w:p>
        </w:tc>
      </w:tr>
      <w:tr>
        <w:tc>
          <w:tcPr>
            <w:tcW w:type="dxa" w:w="1872"/>
          </w:tcPr>
          <w:p>
            <w:pPr>
              <w:spacing w:after="20"/>
            </w:pPr>
            <w:r/>
            <w:r>
              <w:rPr>
                <w:b/>
                <w:i w:val="0"/>
                <w:sz w:val="17"/>
              </w:rPr>
              <w:t>Environmental indemnity — survival/notice</w:t>
            </w:r>
          </w:p>
        </w:tc>
        <w:tc>
          <w:tcPr>
            <w:tcW w:type="dxa" w:w="1080"/>
          </w:tcPr>
          <w:p>
            <w:pPr>
              <w:spacing w:after="20"/>
            </w:pPr>
            <w:r/>
            <w:r>
              <w:rPr>
                <w:b w:val="0"/>
                <w:i w:val="0"/>
                <w:sz w:val="17"/>
              </w:rPr>
              <w:t>§8.4(b)–(c)</w:t>
            </w:r>
          </w:p>
        </w:tc>
        <w:tc>
          <w:tcPr>
            <w:tcW w:type="dxa" w:w="5760"/>
          </w:tcPr>
          <w:p>
            <w:pPr>
              <w:spacing w:after="20"/>
            </w:pPr>
            <w:r/>
            <w:r>
              <w:rPr>
                <w:b w:val="0"/>
                <w:i w:val="0"/>
                <w:sz w:val="17"/>
              </w:rPr>
              <w:t>36 months after Closing (until January 15, 2028); written notice within that period stating with reasonable specificity the nature and estimated cost of the condition.</w:t>
            </w:r>
          </w:p>
        </w:tc>
        <w:tc>
          <w:tcPr>
            <w:tcW w:type="dxa" w:w="936"/>
          </w:tcPr>
          <w:p>
            <w:pPr>
              <w:spacing w:after="20"/>
            </w:pPr>
            <w:r/>
            <w:r>
              <w:rPr>
                <w:b w:val="0"/>
                <w:i w:val="0"/>
                <w:sz w:val="17"/>
              </w:rPr>
              <w:t>3</w:t>
            </w:r>
          </w:p>
        </w:tc>
      </w:tr>
    </w:tbl>
    <w:p>
      <w:pPr>
        <w:spacing w:after="40"/>
      </w:pPr>
    </w:p>
    <w:p>
      <w:pPr>
        <w:pStyle w:val="Heading2"/>
      </w:pPr>
      <w:r>
        <w:t>4.10 Closing Conditions, Estoppels and SNDAs</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Buyer’s conditions</w:t>
            </w:r>
          </w:p>
        </w:tc>
        <w:tc>
          <w:tcPr>
            <w:tcW w:type="dxa" w:w="1080"/>
          </w:tcPr>
          <w:p>
            <w:pPr>
              <w:spacing w:after="20"/>
            </w:pPr>
            <w:r/>
            <w:r>
              <w:rPr>
                <w:b w:val="0"/>
                <w:i w:val="0"/>
                <w:sz w:val="17"/>
              </w:rPr>
              <w:t>§9.1(a)–(i)</w:t>
            </w:r>
          </w:p>
        </w:tc>
        <w:tc>
          <w:tcPr>
            <w:tcW w:type="dxa" w:w="5760"/>
          </w:tcPr>
          <w:p>
            <w:pPr>
              <w:spacing w:after="20"/>
            </w:pPr>
            <w:r/>
            <w:r>
              <w:rPr>
                <w:b w:val="0"/>
                <w:i w:val="0"/>
                <w:sz w:val="17"/>
              </w:rPr>
              <w:t>(a) Seller reps true in all material respects (Seller’s Closing Certificate); (b) Seller covenant performance; (c) title company ready to issue §5.4 policy; (d) no material adverse change in physical condition (other than casualty/condemnation or ordinary wear and tear); (e) estoppels per §9.3; (f) SNDAs “required by §9.4”; (g) no condemnation commenced or formally threatened; (h) Financing Contingency satisfied or waived; (i) Seller’s §13.2 deliverables.</w:t>
            </w:r>
          </w:p>
        </w:tc>
        <w:tc>
          <w:tcPr>
            <w:tcW w:type="dxa" w:w="936"/>
          </w:tcPr>
          <w:p>
            <w:pPr>
              <w:spacing w:after="20"/>
            </w:pPr>
            <w:r/>
            <w:r>
              <w:rPr>
                <w:b w:val="0"/>
                <w:i w:val="0"/>
                <w:sz w:val="17"/>
              </w:rPr>
              <w:t>19</w:t>
            </w:r>
          </w:p>
        </w:tc>
      </w:tr>
      <w:tr>
        <w:tc>
          <w:tcPr>
            <w:tcW w:type="dxa" w:w="1872"/>
            <w:shd w:val="clear" w:color="auto" w:fill="EEF2F8"/>
          </w:tcPr>
          <w:p>
            <w:pPr>
              <w:spacing w:after="20"/>
            </w:pPr>
            <w:r/>
            <w:r>
              <w:rPr>
                <w:b/>
                <w:i w:val="0"/>
                <w:sz w:val="17"/>
              </w:rPr>
              <w:t>Seller’s conditions</w:t>
            </w:r>
          </w:p>
        </w:tc>
        <w:tc>
          <w:tcPr>
            <w:tcW w:type="dxa" w:w="1080"/>
            <w:shd w:val="clear" w:color="auto" w:fill="EEF2F8"/>
          </w:tcPr>
          <w:p>
            <w:pPr>
              <w:spacing w:after="20"/>
            </w:pPr>
            <w:r/>
            <w:r>
              <w:rPr>
                <w:b w:val="0"/>
                <w:i w:val="0"/>
                <w:sz w:val="17"/>
              </w:rPr>
              <w:t>§9.2</w:t>
            </w:r>
          </w:p>
        </w:tc>
        <w:tc>
          <w:tcPr>
            <w:tcW w:type="dxa" w:w="5760"/>
            <w:shd w:val="clear" w:color="auto" w:fill="EEF2F8"/>
          </w:tcPr>
          <w:p>
            <w:pPr>
              <w:spacing w:after="20"/>
            </w:pPr>
            <w:r/>
            <w:r>
              <w:rPr>
                <w:b w:val="0"/>
                <w:i w:val="0"/>
                <w:sz w:val="17"/>
              </w:rPr>
              <w:t>Buyer reps true in all material respects; Buyer covenant performance; delivery of adjusted Purchase Price and §13.3 deliverables.</w:t>
            </w:r>
          </w:p>
        </w:tc>
        <w:tc>
          <w:tcPr>
            <w:tcW w:type="dxa" w:w="936"/>
            <w:shd w:val="clear" w:color="auto" w:fill="EEF2F8"/>
          </w:tcPr>
          <w:p>
            <w:pPr>
              <w:spacing w:after="20"/>
            </w:pPr>
            <w:r/>
            <w:r>
              <w:rPr>
                <w:b w:val="0"/>
                <w:i w:val="0"/>
                <w:sz w:val="17"/>
              </w:rPr>
              <w:t>—</w:t>
            </w:r>
          </w:p>
        </w:tc>
      </w:tr>
      <w:tr>
        <w:tc>
          <w:tcPr>
            <w:tcW w:type="dxa" w:w="1872"/>
          </w:tcPr>
          <w:p>
            <w:pPr>
              <w:spacing w:after="20"/>
            </w:pPr>
            <w:r/>
            <w:r>
              <w:rPr>
                <w:b/>
                <w:i w:val="0"/>
                <w:sz w:val="17"/>
              </w:rPr>
              <w:t>Tenant estoppels</w:t>
            </w:r>
          </w:p>
        </w:tc>
        <w:tc>
          <w:tcPr>
            <w:tcW w:type="dxa" w:w="1080"/>
          </w:tcPr>
          <w:p>
            <w:pPr>
              <w:spacing w:after="20"/>
            </w:pPr>
            <w:r/>
            <w:r>
              <w:rPr>
                <w:b w:val="0"/>
                <w:i w:val="0"/>
                <w:sz w:val="17"/>
              </w:rPr>
              <w:t>§9.3; Exh. E</w:t>
            </w:r>
          </w:p>
        </w:tc>
        <w:tc>
          <w:tcPr>
            <w:tcW w:type="dxa" w:w="5760"/>
          </w:tcPr>
          <w:p>
            <w:pPr>
              <w:spacing w:after="20"/>
            </w:pPr>
            <w:r/>
            <w:r>
              <w:rPr>
                <w:b w:val="0"/>
                <w:i w:val="0"/>
                <w:sz w:val="17"/>
              </w:rPr>
              <w:t xml:space="preserve">Seller to use commercially reasonable efforts to deliver, no later than </w:t>
            </w:r>
            <w:r>
              <w:rPr>
                <w:b/>
                <w:i w:val="0"/>
                <w:sz w:val="17"/>
              </w:rPr>
              <w:t>10 BD before the Closing Date</w:t>
            </w:r>
            <w:r>
              <w:rPr>
                <w:b w:val="0"/>
                <w:i w:val="0"/>
                <w:sz w:val="17"/>
              </w:rPr>
              <w:t xml:space="preserve"> (Dec 31, 2024 for a Jan 15 Closing), estoppels substantially in the Exhibit E form (or Lease-required form) from tenants occupying </w:t>
            </w:r>
            <w:r>
              <w:rPr>
                <w:b/>
                <w:i w:val="0"/>
                <w:sz w:val="17"/>
              </w:rPr>
              <w:t>at least 80% of leased square footage</w:t>
            </w:r>
            <w:r>
              <w:rPr>
                <w:b w:val="0"/>
                <w:i w:val="0"/>
                <w:sz w:val="17"/>
              </w:rPr>
              <w:t>. Receipt is a closing condition. If not delivered, Buyer may (i) waive, (ii) extend Closing up to 15 days, or (iii) terminate with full Deposit refund within 5 BD. Exhibit E is addressed to Calverley Capital Partners LLC, Pinnacle National Bank and Commonwealth Title.</w:t>
            </w:r>
          </w:p>
        </w:tc>
        <w:tc>
          <w:tcPr>
            <w:tcW w:type="dxa" w:w="936"/>
          </w:tcPr>
          <w:p>
            <w:pPr>
              <w:spacing w:after="20"/>
            </w:pPr>
            <w:r/>
            <w:r>
              <w:rPr>
                <w:b w:val="0"/>
                <w:i w:val="0"/>
                <w:sz w:val="17"/>
              </w:rPr>
              <w:t>7</w:t>
            </w:r>
          </w:p>
        </w:tc>
      </w:tr>
      <w:tr>
        <w:tc>
          <w:tcPr>
            <w:tcW w:type="dxa" w:w="1872"/>
            <w:shd w:val="clear" w:color="auto" w:fill="EEF2F8"/>
          </w:tcPr>
          <w:p>
            <w:pPr>
              <w:spacing w:after="20"/>
            </w:pPr>
            <w:r/>
            <w:r>
              <w:rPr>
                <w:b/>
                <w:i w:val="0"/>
                <w:sz w:val="17"/>
              </w:rPr>
              <w:t>SNDAs</w:t>
            </w:r>
          </w:p>
        </w:tc>
        <w:tc>
          <w:tcPr>
            <w:tcW w:type="dxa" w:w="1080"/>
            <w:shd w:val="clear" w:color="auto" w:fill="EEF2F8"/>
          </w:tcPr>
          <w:p>
            <w:pPr>
              <w:spacing w:after="20"/>
            </w:pPr>
            <w:r/>
            <w:r>
              <w:rPr>
                <w:b w:val="0"/>
                <w:i w:val="0"/>
                <w:sz w:val="17"/>
              </w:rPr>
              <w:t>§9.4</w:t>
            </w:r>
          </w:p>
        </w:tc>
        <w:tc>
          <w:tcPr>
            <w:tcW w:type="dxa" w:w="5760"/>
            <w:shd w:val="clear" w:color="auto" w:fill="EEF2F8"/>
          </w:tcPr>
          <w:p>
            <w:pPr>
              <w:spacing w:after="20"/>
            </w:pPr>
            <w:r/>
            <w:r>
              <w:rPr>
                <w:b w:val="0"/>
                <w:i w:val="0"/>
                <w:sz w:val="17"/>
              </w:rPr>
              <w:t xml:space="preserve">Seller to use commercially reasonable efforts to obtain SNDAs, in a form reasonably acceptable to Pinnacle National Bank, from each tenant occupying more than 15,000 RSF. Failure to obtain any or all is </w:t>
            </w:r>
            <w:r>
              <w:rPr>
                <w:b/>
                <w:i w:val="0"/>
                <w:sz w:val="17"/>
              </w:rPr>
              <w:t>not</w:t>
            </w:r>
            <w:r>
              <w:rPr>
                <w:b w:val="0"/>
                <w:i w:val="0"/>
                <w:sz w:val="17"/>
              </w:rPr>
              <w:t xml:space="preserve"> a closing condition if Seller used commercially reasonable efforts and delivered all related tenant correspondence. (§9.1(f) nonetheless lists SNDAs “required by Section 9.4” as a condition.)</w:t>
            </w:r>
          </w:p>
        </w:tc>
        <w:tc>
          <w:tcPr>
            <w:tcW w:type="dxa" w:w="936"/>
            <w:shd w:val="clear" w:color="auto" w:fill="EEF2F8"/>
          </w:tcPr>
          <w:p>
            <w:pPr>
              <w:spacing w:after="20"/>
            </w:pPr>
            <w:r/>
            <w:r>
              <w:rPr>
                <w:b w:val="0"/>
                <w:i w:val="0"/>
                <w:sz w:val="17"/>
              </w:rPr>
              <w:t>6</w:t>
            </w:r>
          </w:p>
        </w:tc>
      </w:tr>
    </w:tbl>
    <w:p>
      <w:pPr>
        <w:spacing w:after="40"/>
      </w:pPr>
    </w:p>
    <w:p>
      <w:pPr>
        <w:pStyle w:val="Heading2"/>
      </w:pPr>
      <w:r>
        <w:t>4.11 Prorations and Adjustments</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Proration Date</w:t>
            </w:r>
          </w:p>
        </w:tc>
        <w:tc>
          <w:tcPr>
            <w:tcW w:type="dxa" w:w="1080"/>
          </w:tcPr>
          <w:p>
            <w:pPr>
              <w:spacing w:after="20"/>
            </w:pPr>
            <w:r/>
            <w:r>
              <w:rPr>
                <w:b w:val="0"/>
                <w:i w:val="0"/>
                <w:sz w:val="17"/>
              </w:rPr>
              <w:t>§6.1</w:t>
            </w:r>
          </w:p>
        </w:tc>
        <w:tc>
          <w:tcPr>
            <w:tcW w:type="dxa" w:w="5760"/>
          </w:tcPr>
          <w:p>
            <w:pPr>
              <w:spacing w:after="20"/>
            </w:pPr>
            <w:r/>
            <w:r>
              <w:rPr>
                <w:b w:val="0"/>
                <w:i w:val="0"/>
                <w:sz w:val="17"/>
              </w:rPr>
              <w:t>11:59 p.m. ET on the day before the Closing Date; Seller bears/receives items through the Proration Date; Buyer from the Closing Date.</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Rents</w:t>
            </w:r>
          </w:p>
        </w:tc>
        <w:tc>
          <w:tcPr>
            <w:tcW w:type="dxa" w:w="1080"/>
            <w:shd w:val="clear" w:color="auto" w:fill="EEF2F8"/>
          </w:tcPr>
          <w:p>
            <w:pPr>
              <w:spacing w:after="20"/>
            </w:pPr>
            <w:r/>
            <w:r>
              <w:rPr>
                <w:b w:val="0"/>
                <w:i w:val="0"/>
                <w:sz w:val="17"/>
              </w:rPr>
              <w:t>§6.1(a)</w:t>
            </w:r>
          </w:p>
        </w:tc>
        <w:tc>
          <w:tcPr>
            <w:tcW w:type="dxa" w:w="5760"/>
            <w:shd w:val="clear" w:color="auto" w:fill="EEF2F8"/>
          </w:tcPr>
          <w:p>
            <w:pPr>
              <w:spacing w:after="20"/>
            </w:pPr>
            <w:r/>
            <w:r>
              <w:rPr>
                <w:b w:val="0"/>
                <w:i w:val="0"/>
                <w:sz w:val="17"/>
              </w:rPr>
              <w:t>Base, additional and percentage rents prorated; post-Closing collections of pre-Closing rent remitted to Seller within 15 days; Buyer uses commercially reasonable efforts for 90 days (no litigation) to collect delinquencies; receipts applied first to current amounts.</w:t>
            </w:r>
          </w:p>
        </w:tc>
        <w:tc>
          <w:tcPr>
            <w:tcW w:type="dxa" w:w="936"/>
            <w:shd w:val="clear" w:color="auto" w:fill="EEF2F8"/>
          </w:tcPr>
          <w:p>
            <w:pPr>
              <w:spacing w:after="20"/>
            </w:pPr>
            <w:r/>
            <w:r>
              <w:rPr>
                <w:b w:val="0"/>
                <w:i w:val="0"/>
                <w:sz w:val="17"/>
              </w:rPr>
              <w:t>—</w:t>
            </w:r>
          </w:p>
        </w:tc>
      </w:tr>
      <w:tr>
        <w:tc>
          <w:tcPr>
            <w:tcW w:type="dxa" w:w="1872"/>
          </w:tcPr>
          <w:p>
            <w:pPr>
              <w:spacing w:after="20"/>
            </w:pPr>
            <w:r/>
            <w:r>
              <w:rPr>
                <w:b/>
                <w:i w:val="0"/>
                <w:sz w:val="17"/>
              </w:rPr>
              <w:t>Taxes</w:t>
            </w:r>
          </w:p>
        </w:tc>
        <w:tc>
          <w:tcPr>
            <w:tcW w:type="dxa" w:w="1080"/>
          </w:tcPr>
          <w:p>
            <w:pPr>
              <w:spacing w:after="20"/>
            </w:pPr>
            <w:r/>
            <w:r>
              <w:rPr>
                <w:b w:val="0"/>
                <w:i w:val="0"/>
                <w:sz w:val="17"/>
              </w:rPr>
              <w:t>§6.1(b)</w:t>
            </w:r>
          </w:p>
        </w:tc>
        <w:tc>
          <w:tcPr>
            <w:tcW w:type="dxa" w:w="5760"/>
          </w:tcPr>
          <w:p>
            <w:pPr>
              <w:spacing w:after="20"/>
            </w:pPr>
            <w:r/>
            <w:r>
              <w:rPr>
                <w:b w:val="0"/>
                <w:i w:val="0"/>
                <w:sz w:val="17"/>
              </w:rPr>
              <w:t>Prorated on most recent bill; if current bill not issued, on prior year’s bill with re-proration within 90 days after actual bill issues.</w:t>
            </w:r>
          </w:p>
        </w:tc>
        <w:tc>
          <w:tcPr>
            <w:tcW w:type="dxa" w:w="936"/>
          </w:tcPr>
          <w:p>
            <w:pPr>
              <w:spacing w:after="20"/>
            </w:pPr>
            <w:r/>
            <w:r>
              <w:rPr>
                <w:b w:val="0"/>
                <w:i w:val="0"/>
                <w:sz w:val="17"/>
              </w:rPr>
              <w:t>22</w:t>
            </w:r>
          </w:p>
        </w:tc>
      </w:tr>
      <w:tr>
        <w:tc>
          <w:tcPr>
            <w:tcW w:type="dxa" w:w="1872"/>
            <w:shd w:val="clear" w:color="auto" w:fill="EEF2F8"/>
          </w:tcPr>
          <w:p>
            <w:pPr>
              <w:spacing w:after="20"/>
            </w:pPr>
            <w:r/>
            <w:r>
              <w:rPr>
                <w:b/>
                <w:i w:val="0"/>
                <w:sz w:val="17"/>
              </w:rPr>
              <w:t>CAM / reimbursements</w:t>
            </w:r>
          </w:p>
        </w:tc>
        <w:tc>
          <w:tcPr>
            <w:tcW w:type="dxa" w:w="1080"/>
            <w:shd w:val="clear" w:color="auto" w:fill="EEF2F8"/>
          </w:tcPr>
          <w:p>
            <w:pPr>
              <w:spacing w:after="20"/>
            </w:pPr>
            <w:r/>
            <w:r>
              <w:rPr>
                <w:b w:val="0"/>
                <w:i w:val="0"/>
                <w:sz w:val="17"/>
              </w:rPr>
              <w:t>§6.1(c)</w:t>
            </w:r>
          </w:p>
        </w:tc>
        <w:tc>
          <w:tcPr>
            <w:tcW w:type="dxa" w:w="5760"/>
            <w:shd w:val="clear" w:color="auto" w:fill="EEF2F8"/>
          </w:tcPr>
          <w:p>
            <w:pPr>
              <w:spacing w:after="20"/>
            </w:pPr>
            <w:r/>
            <w:r>
              <w:rPr>
                <w:b w:val="0"/>
                <w:i w:val="0"/>
                <w:sz w:val="17"/>
              </w:rPr>
              <w:t>Prorated on actual receipts and accrued obligations; year-end reconciliations handled under §6.4.</w:t>
            </w:r>
          </w:p>
        </w:tc>
        <w:tc>
          <w:tcPr>
            <w:tcW w:type="dxa" w:w="936"/>
            <w:shd w:val="clear" w:color="auto" w:fill="EEF2F8"/>
          </w:tcPr>
          <w:p>
            <w:pPr>
              <w:spacing w:after="20"/>
            </w:pPr>
            <w:r/>
            <w:r>
              <w:rPr>
                <w:b w:val="0"/>
                <w:i w:val="0"/>
                <w:sz w:val="17"/>
              </w:rPr>
              <w:t>22</w:t>
            </w:r>
          </w:p>
        </w:tc>
      </w:tr>
      <w:tr>
        <w:tc>
          <w:tcPr>
            <w:tcW w:type="dxa" w:w="1872"/>
          </w:tcPr>
          <w:p>
            <w:pPr>
              <w:spacing w:after="20"/>
            </w:pPr>
            <w:r/>
            <w:r>
              <w:rPr>
                <w:b/>
                <w:i w:val="0"/>
                <w:sz w:val="17"/>
              </w:rPr>
              <w:t>Utilities</w:t>
            </w:r>
          </w:p>
        </w:tc>
        <w:tc>
          <w:tcPr>
            <w:tcW w:type="dxa" w:w="1080"/>
          </w:tcPr>
          <w:p>
            <w:pPr>
              <w:spacing w:after="20"/>
            </w:pPr>
            <w:r/>
            <w:r>
              <w:rPr>
                <w:b w:val="0"/>
                <w:i w:val="0"/>
                <w:sz w:val="17"/>
              </w:rPr>
              <w:t>§6.1(d)</w:t>
            </w:r>
          </w:p>
        </w:tc>
        <w:tc>
          <w:tcPr>
            <w:tcW w:type="dxa" w:w="5760"/>
          </w:tcPr>
          <w:p>
            <w:pPr>
              <w:spacing w:after="20"/>
            </w:pPr>
            <w:r/>
            <w:r>
              <w:rPr>
                <w:b w:val="0"/>
                <w:i w:val="0"/>
                <w:sz w:val="17"/>
              </w:rPr>
              <w:t>Prorated; Seller to seek final meter readings, otherwise based on most recent billing with re-proration.</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Prepaid rents</w:t>
            </w:r>
          </w:p>
        </w:tc>
        <w:tc>
          <w:tcPr>
            <w:tcW w:type="dxa" w:w="1080"/>
            <w:shd w:val="clear" w:color="auto" w:fill="EEF2F8"/>
          </w:tcPr>
          <w:p>
            <w:pPr>
              <w:spacing w:after="20"/>
            </w:pPr>
            <w:r/>
            <w:r>
              <w:rPr>
                <w:b w:val="0"/>
                <w:i w:val="0"/>
                <w:sz w:val="17"/>
              </w:rPr>
              <w:t>§6.1(e)</w:t>
            </w:r>
          </w:p>
        </w:tc>
        <w:tc>
          <w:tcPr>
            <w:tcW w:type="dxa" w:w="5760"/>
            <w:shd w:val="clear" w:color="auto" w:fill="EEF2F8"/>
          </w:tcPr>
          <w:p>
            <w:pPr>
              <w:spacing w:after="20"/>
            </w:pPr>
            <w:r/>
            <w:r>
              <w:rPr>
                <w:b w:val="0"/>
                <w:i w:val="0"/>
                <w:sz w:val="17"/>
              </w:rPr>
              <w:t>Credited to Buyer.</w:t>
            </w:r>
          </w:p>
        </w:tc>
        <w:tc>
          <w:tcPr>
            <w:tcW w:type="dxa" w:w="936"/>
            <w:shd w:val="clear" w:color="auto" w:fill="EEF2F8"/>
          </w:tcPr>
          <w:p>
            <w:pPr>
              <w:spacing w:after="20"/>
            </w:pPr>
            <w:r/>
            <w:r>
              <w:rPr>
                <w:b w:val="0"/>
                <w:i w:val="0"/>
                <w:sz w:val="17"/>
              </w:rPr>
              <w:t>—</w:t>
            </w:r>
          </w:p>
        </w:tc>
      </w:tr>
      <w:tr>
        <w:tc>
          <w:tcPr>
            <w:tcW w:type="dxa" w:w="1872"/>
          </w:tcPr>
          <w:p>
            <w:pPr>
              <w:spacing w:after="20"/>
            </w:pPr>
            <w:r/>
            <w:r>
              <w:rPr>
                <w:b/>
                <w:i w:val="0"/>
                <w:sz w:val="17"/>
              </w:rPr>
              <w:t>Insurance</w:t>
            </w:r>
          </w:p>
        </w:tc>
        <w:tc>
          <w:tcPr>
            <w:tcW w:type="dxa" w:w="1080"/>
          </w:tcPr>
          <w:p>
            <w:pPr>
              <w:spacing w:after="20"/>
            </w:pPr>
            <w:r/>
            <w:r>
              <w:rPr>
                <w:b w:val="0"/>
                <w:i w:val="0"/>
                <w:sz w:val="17"/>
              </w:rPr>
              <w:t>§6.1(f)</w:t>
            </w:r>
          </w:p>
        </w:tc>
        <w:tc>
          <w:tcPr>
            <w:tcW w:type="dxa" w:w="5760"/>
          </w:tcPr>
          <w:p>
            <w:pPr>
              <w:spacing w:after="20"/>
            </w:pPr>
            <w:r/>
            <w:r>
              <w:rPr>
                <w:b w:val="0"/>
                <w:i w:val="0"/>
                <w:sz w:val="17"/>
              </w:rPr>
              <w:t>Not transferred or prorated; Buyer places its own coverage effective at Closing.</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Service Contracts</w:t>
            </w:r>
          </w:p>
        </w:tc>
        <w:tc>
          <w:tcPr>
            <w:tcW w:type="dxa" w:w="1080"/>
            <w:shd w:val="clear" w:color="auto" w:fill="EEF2F8"/>
          </w:tcPr>
          <w:p>
            <w:pPr>
              <w:spacing w:after="20"/>
            </w:pPr>
            <w:r/>
            <w:r>
              <w:rPr>
                <w:b w:val="0"/>
                <w:i w:val="0"/>
                <w:sz w:val="17"/>
              </w:rPr>
              <w:t>§6.1(g)</w:t>
            </w:r>
          </w:p>
        </w:tc>
        <w:tc>
          <w:tcPr>
            <w:tcW w:type="dxa" w:w="5760"/>
            <w:shd w:val="clear" w:color="auto" w:fill="EEF2F8"/>
          </w:tcPr>
          <w:p>
            <w:pPr>
              <w:spacing w:after="20"/>
            </w:pPr>
            <w:r/>
            <w:r>
              <w:rPr>
                <w:b w:val="0"/>
                <w:i w:val="0"/>
                <w:sz w:val="17"/>
              </w:rPr>
              <w:t>Assumed contracts prorated.</w:t>
            </w:r>
          </w:p>
        </w:tc>
        <w:tc>
          <w:tcPr>
            <w:tcW w:type="dxa" w:w="936"/>
            <w:shd w:val="clear" w:color="auto" w:fill="EEF2F8"/>
          </w:tcPr>
          <w:p>
            <w:pPr>
              <w:spacing w:after="20"/>
            </w:pPr>
            <w:r/>
            <w:r>
              <w:rPr>
                <w:b w:val="0"/>
                <w:i w:val="0"/>
                <w:sz w:val="17"/>
              </w:rPr>
              <w:t>—</w:t>
            </w:r>
          </w:p>
        </w:tc>
      </w:tr>
      <w:tr>
        <w:tc>
          <w:tcPr>
            <w:tcW w:type="dxa" w:w="1872"/>
          </w:tcPr>
          <w:p>
            <w:pPr>
              <w:spacing w:after="20"/>
            </w:pPr>
            <w:r/>
            <w:r>
              <w:rPr>
                <w:b/>
                <w:i w:val="0"/>
                <w:sz w:val="17"/>
              </w:rPr>
              <w:t>Security deposits</w:t>
            </w:r>
          </w:p>
        </w:tc>
        <w:tc>
          <w:tcPr>
            <w:tcW w:type="dxa" w:w="1080"/>
          </w:tcPr>
          <w:p>
            <w:pPr>
              <w:spacing w:after="20"/>
            </w:pPr>
            <w:r/>
            <w:r>
              <w:rPr>
                <w:b w:val="0"/>
                <w:i w:val="0"/>
                <w:sz w:val="17"/>
              </w:rPr>
              <w:t>§6.2</w:t>
            </w:r>
          </w:p>
        </w:tc>
        <w:tc>
          <w:tcPr>
            <w:tcW w:type="dxa" w:w="5760"/>
          </w:tcPr>
          <w:p>
            <w:pPr>
              <w:spacing w:after="20"/>
            </w:pPr>
            <w:r/>
            <w:r>
              <w:rPr>
                <w:b w:val="0"/>
                <w:i w:val="0"/>
                <w:sz w:val="17"/>
              </w:rPr>
              <w:t>Credit to Buyer of all security deposits (with interest if Lease requires): $487,320 as of the Effective Date.</w:t>
            </w:r>
          </w:p>
        </w:tc>
        <w:tc>
          <w:tcPr>
            <w:tcW w:type="dxa" w:w="936"/>
          </w:tcPr>
          <w:p>
            <w:pPr>
              <w:spacing w:after="20"/>
            </w:pPr>
            <w:r/>
            <w:r>
              <w:rPr>
                <w:b w:val="0"/>
                <w:i w:val="0"/>
                <w:sz w:val="17"/>
              </w:rPr>
              <w:t>16</w:t>
            </w:r>
          </w:p>
        </w:tc>
      </w:tr>
      <w:tr>
        <w:tc>
          <w:tcPr>
            <w:tcW w:type="dxa" w:w="1872"/>
            <w:shd w:val="clear" w:color="auto" w:fill="EEF2F8"/>
          </w:tcPr>
          <w:p>
            <w:pPr>
              <w:spacing w:after="20"/>
            </w:pPr>
            <w:r/>
            <w:r>
              <w:rPr>
                <w:b/>
                <w:i w:val="0"/>
                <w:sz w:val="17"/>
              </w:rPr>
              <w:t>TI / leasing commissions</w:t>
            </w:r>
          </w:p>
        </w:tc>
        <w:tc>
          <w:tcPr>
            <w:tcW w:type="dxa" w:w="1080"/>
            <w:shd w:val="clear" w:color="auto" w:fill="EEF2F8"/>
          </w:tcPr>
          <w:p>
            <w:pPr>
              <w:spacing w:after="20"/>
            </w:pPr>
            <w:r/>
            <w:r>
              <w:rPr>
                <w:b w:val="0"/>
                <w:i w:val="0"/>
                <w:sz w:val="17"/>
              </w:rPr>
              <w:t>§6.3</w:t>
            </w:r>
          </w:p>
        </w:tc>
        <w:tc>
          <w:tcPr>
            <w:tcW w:type="dxa" w:w="5760"/>
            <w:shd w:val="clear" w:color="auto" w:fill="EEF2F8"/>
          </w:tcPr>
          <w:p>
            <w:pPr>
              <w:spacing w:after="20"/>
            </w:pPr>
            <w:r/>
            <w:r>
              <w:rPr>
                <w:b w:val="0"/>
                <w:i w:val="0"/>
                <w:sz w:val="17"/>
              </w:rPr>
              <w:t>Seller responsible for TI allowances, LCs and other landlord obligations outstanding as of the Effective Date — “approximately” $1,235,000 for “three (3) pending lease transactions” on Exh. F; Buyer credited at Closing. Buyer bears TI/LC for new leases, renewals or modifications entered into after the Effective Date with Buyer’s prior written consent.</w:t>
            </w:r>
          </w:p>
        </w:tc>
        <w:tc>
          <w:tcPr>
            <w:tcW w:type="dxa" w:w="936"/>
            <w:shd w:val="clear" w:color="auto" w:fill="EEF2F8"/>
          </w:tcPr>
          <w:p>
            <w:pPr>
              <w:spacing w:after="20"/>
            </w:pPr>
            <w:r/>
            <w:r>
              <w:rPr>
                <w:b w:val="0"/>
                <w:i w:val="0"/>
                <w:sz w:val="17"/>
              </w:rPr>
              <w:t>16</w:t>
            </w:r>
          </w:p>
        </w:tc>
      </w:tr>
      <w:tr>
        <w:tc>
          <w:tcPr>
            <w:tcW w:type="dxa" w:w="1872"/>
          </w:tcPr>
          <w:p>
            <w:pPr>
              <w:spacing w:after="20"/>
            </w:pPr>
            <w:r/>
            <w:r>
              <w:rPr>
                <w:b/>
                <w:i w:val="0"/>
                <w:sz w:val="17"/>
              </w:rPr>
              <w:t>Reconciliation</w:t>
            </w:r>
          </w:p>
        </w:tc>
        <w:tc>
          <w:tcPr>
            <w:tcW w:type="dxa" w:w="1080"/>
          </w:tcPr>
          <w:p>
            <w:pPr>
              <w:spacing w:after="20"/>
            </w:pPr>
            <w:r/>
            <w:r>
              <w:rPr>
                <w:b w:val="0"/>
                <w:i w:val="0"/>
                <w:sz w:val="17"/>
              </w:rPr>
              <w:t>§6.4</w:t>
            </w:r>
          </w:p>
        </w:tc>
        <w:tc>
          <w:tcPr>
            <w:tcW w:type="dxa" w:w="5760"/>
          </w:tcPr>
          <w:p>
            <w:pPr>
              <w:spacing w:after="20"/>
            </w:pPr>
            <w:r/>
            <w:r>
              <w:rPr>
                <w:b w:val="0"/>
                <w:i w:val="0"/>
                <w:sz w:val="17"/>
              </w:rPr>
              <w:t>Final reconciliation within 90 days after Closing; Seller cooperation survives 90 days (through April 15, 2025).</w:t>
            </w:r>
          </w:p>
        </w:tc>
        <w:tc>
          <w:tcPr>
            <w:tcW w:type="dxa" w:w="936"/>
          </w:tcPr>
          <w:p>
            <w:pPr>
              <w:spacing w:after="20"/>
            </w:pPr>
            <w:r/>
            <w:r>
              <w:rPr>
                <w:b w:val="0"/>
                <w:i w:val="0"/>
                <w:sz w:val="17"/>
              </w:rPr>
              <w:t>22</w:t>
            </w:r>
          </w:p>
        </w:tc>
      </w:tr>
    </w:tbl>
    <w:p>
      <w:pPr>
        <w:spacing w:after="40"/>
      </w:pPr>
    </w:p>
    <w:p>
      <w:pPr>
        <w:pStyle w:val="Heading2"/>
      </w:pPr>
      <w:r>
        <w:t>4.12 Casualty and Condemnation</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Material Casualty</w:t>
            </w:r>
          </w:p>
        </w:tc>
        <w:tc>
          <w:tcPr>
            <w:tcW w:type="dxa" w:w="1080"/>
          </w:tcPr>
          <w:p>
            <w:pPr>
              <w:spacing w:after="20"/>
            </w:pPr>
            <w:r/>
            <w:r>
              <w:rPr>
                <w:b w:val="0"/>
                <w:i w:val="0"/>
                <w:sz w:val="17"/>
              </w:rPr>
              <w:t>§§1.1, 11.1(a)</w:t>
            </w:r>
          </w:p>
        </w:tc>
        <w:tc>
          <w:tcPr>
            <w:tcW w:type="dxa" w:w="5760"/>
          </w:tcPr>
          <w:p>
            <w:pPr>
              <w:spacing w:after="20"/>
            </w:pPr>
            <w:r/>
            <w:r>
              <w:rPr>
                <w:b w:val="0"/>
                <w:i w:val="0"/>
                <w:sz w:val="17"/>
              </w:rPr>
              <w:t>Damage &gt; $4,000,000. Seller must give notice with good-faith restoration estimate. Within 15 days after notice + estimate, Buyer may (i) terminate (full Deposit refunded within 5 BD) or (ii) close with assignment of insurance proceeds (net of emergency repairs approved by Buyer) and a deductible credit. Silence = election to close.</w:t>
            </w:r>
          </w:p>
        </w:tc>
        <w:tc>
          <w:tcPr>
            <w:tcW w:type="dxa" w:w="936"/>
          </w:tcPr>
          <w:p>
            <w:pPr>
              <w:spacing w:after="20"/>
            </w:pPr>
            <w:r/>
            <w:r>
              <w:rPr>
                <w:b w:val="0"/>
                <w:i w:val="0"/>
                <w:sz w:val="17"/>
              </w:rPr>
              <w:t>20</w:t>
            </w:r>
          </w:p>
        </w:tc>
      </w:tr>
      <w:tr>
        <w:tc>
          <w:tcPr>
            <w:tcW w:type="dxa" w:w="1872"/>
            <w:shd w:val="clear" w:color="auto" w:fill="EEF2F8"/>
          </w:tcPr>
          <w:p>
            <w:pPr>
              <w:spacing w:after="20"/>
            </w:pPr>
            <w:r/>
            <w:r>
              <w:rPr>
                <w:b/>
                <w:i w:val="0"/>
                <w:sz w:val="17"/>
              </w:rPr>
              <w:t>Non-Material Casualty</w:t>
            </w:r>
          </w:p>
        </w:tc>
        <w:tc>
          <w:tcPr>
            <w:tcW w:type="dxa" w:w="1080"/>
            <w:shd w:val="clear" w:color="auto" w:fill="EEF2F8"/>
          </w:tcPr>
          <w:p>
            <w:pPr>
              <w:spacing w:after="20"/>
            </w:pPr>
            <w:r/>
            <w:r>
              <w:rPr>
                <w:b w:val="0"/>
                <w:i w:val="0"/>
                <w:sz w:val="17"/>
              </w:rPr>
              <w:t>§11.1(b)</w:t>
            </w:r>
          </w:p>
        </w:tc>
        <w:tc>
          <w:tcPr>
            <w:tcW w:type="dxa" w:w="5760"/>
            <w:shd w:val="clear" w:color="auto" w:fill="EEF2F8"/>
          </w:tcPr>
          <w:p>
            <w:pPr>
              <w:spacing w:after="20"/>
            </w:pPr>
            <w:r/>
            <w:r>
              <w:rPr>
                <w:b w:val="0"/>
                <w:i w:val="0"/>
                <w:sz w:val="17"/>
              </w:rPr>
              <w:t>Restoration cost ≤ $4,000,000: Buyer must close; assignment of proceeds plus deductible credit.</w:t>
            </w:r>
          </w:p>
        </w:tc>
        <w:tc>
          <w:tcPr>
            <w:tcW w:type="dxa" w:w="936"/>
            <w:shd w:val="clear" w:color="auto" w:fill="EEF2F8"/>
          </w:tcPr>
          <w:p>
            <w:pPr>
              <w:spacing w:after="20"/>
            </w:pPr>
            <w:r/>
            <w:r>
              <w:rPr>
                <w:b w:val="0"/>
                <w:i w:val="0"/>
                <w:sz w:val="17"/>
              </w:rPr>
              <w:t>20</w:t>
            </w:r>
          </w:p>
        </w:tc>
      </w:tr>
      <w:tr>
        <w:tc>
          <w:tcPr>
            <w:tcW w:type="dxa" w:w="1872"/>
          </w:tcPr>
          <w:p>
            <w:pPr>
              <w:spacing w:after="20"/>
            </w:pPr>
            <w:r/>
            <w:r>
              <w:rPr>
                <w:b/>
                <w:i w:val="0"/>
                <w:sz w:val="17"/>
              </w:rPr>
              <w:t>Material Condemnation</w:t>
            </w:r>
          </w:p>
        </w:tc>
        <w:tc>
          <w:tcPr>
            <w:tcW w:type="dxa" w:w="1080"/>
          </w:tcPr>
          <w:p>
            <w:pPr>
              <w:spacing w:after="20"/>
            </w:pPr>
            <w:r/>
            <w:r>
              <w:rPr>
                <w:b w:val="0"/>
                <w:i w:val="0"/>
                <w:sz w:val="17"/>
              </w:rPr>
              <w:t>§11.2(a)</w:t>
            </w:r>
          </w:p>
        </w:tc>
        <w:tc>
          <w:tcPr>
            <w:tcW w:type="dxa" w:w="5760"/>
          </w:tcPr>
          <w:p>
            <w:pPr>
              <w:spacing w:after="20"/>
            </w:pPr>
            <w:r/>
            <w:r>
              <w:rPr>
                <w:b w:val="0"/>
                <w:i w:val="0"/>
                <w:sz w:val="17"/>
              </w:rPr>
              <w:t>Taking of &gt;5% of land (1.14 ac), &gt;5% of building area (15,600 RSF), material impairment of access or loss of a “material number” of parking spaces: within 15 days Buyer may terminate (full Deposit refund within 5 BD) or close with assignment of awards.</w:t>
            </w:r>
          </w:p>
        </w:tc>
        <w:tc>
          <w:tcPr>
            <w:tcW w:type="dxa" w:w="936"/>
          </w:tcPr>
          <w:p>
            <w:pPr>
              <w:spacing w:after="20"/>
            </w:pPr>
            <w:r/>
            <w:r>
              <w:rPr>
                <w:b w:val="0"/>
                <w:i w:val="0"/>
                <w:sz w:val="17"/>
              </w:rPr>
              <w:t>19, 20</w:t>
            </w:r>
          </w:p>
        </w:tc>
      </w:tr>
      <w:tr>
        <w:tc>
          <w:tcPr>
            <w:tcW w:type="dxa" w:w="1872"/>
            <w:shd w:val="clear" w:color="auto" w:fill="EEF2F8"/>
          </w:tcPr>
          <w:p>
            <w:pPr>
              <w:spacing w:after="20"/>
            </w:pPr>
            <w:r/>
            <w:r>
              <w:rPr>
                <w:b/>
                <w:i w:val="0"/>
                <w:sz w:val="17"/>
              </w:rPr>
              <w:t>Non-Material Condemnation</w:t>
            </w:r>
          </w:p>
        </w:tc>
        <w:tc>
          <w:tcPr>
            <w:tcW w:type="dxa" w:w="1080"/>
            <w:shd w:val="clear" w:color="auto" w:fill="EEF2F8"/>
          </w:tcPr>
          <w:p>
            <w:pPr>
              <w:spacing w:after="20"/>
            </w:pPr>
            <w:r/>
            <w:r>
              <w:rPr>
                <w:b w:val="0"/>
                <w:i w:val="0"/>
                <w:sz w:val="17"/>
              </w:rPr>
              <w:t>§11.2(b)</w:t>
            </w:r>
          </w:p>
        </w:tc>
        <w:tc>
          <w:tcPr>
            <w:tcW w:type="dxa" w:w="5760"/>
            <w:shd w:val="clear" w:color="auto" w:fill="EEF2F8"/>
          </w:tcPr>
          <w:p>
            <w:pPr>
              <w:spacing w:after="20"/>
            </w:pPr>
            <w:r/>
            <w:r>
              <w:rPr>
                <w:b w:val="0"/>
                <w:i w:val="0"/>
                <w:sz w:val="17"/>
              </w:rPr>
              <w:t>Buyer must close with assignment of awards.</w:t>
            </w:r>
          </w:p>
        </w:tc>
        <w:tc>
          <w:tcPr>
            <w:tcW w:type="dxa" w:w="936"/>
            <w:shd w:val="clear" w:color="auto" w:fill="EEF2F8"/>
          </w:tcPr>
          <w:p>
            <w:pPr>
              <w:spacing w:after="20"/>
            </w:pPr>
            <w:r/>
            <w:r>
              <w:rPr>
                <w:b w:val="0"/>
                <w:i w:val="0"/>
                <w:sz w:val="17"/>
              </w:rPr>
              <w:t>19</w:t>
            </w:r>
          </w:p>
        </w:tc>
      </w:tr>
    </w:tbl>
    <w:p>
      <w:pPr>
        <w:spacing w:after="40"/>
      </w:pPr>
    </w:p>
    <w:p>
      <w:pPr>
        <w:pStyle w:val="Heading2"/>
      </w:pPr>
      <w:r>
        <w:t>4.13 Default and Remedies</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Buyer default</w:t>
            </w:r>
          </w:p>
        </w:tc>
        <w:tc>
          <w:tcPr>
            <w:tcW w:type="dxa" w:w="1080"/>
          </w:tcPr>
          <w:p>
            <w:pPr>
              <w:spacing w:after="20"/>
            </w:pPr>
            <w:r/>
            <w:r>
              <w:rPr>
                <w:b w:val="0"/>
                <w:i w:val="0"/>
                <w:sz w:val="17"/>
              </w:rPr>
              <w:t>§12.1</w:t>
            </w:r>
          </w:p>
        </w:tc>
        <w:tc>
          <w:tcPr>
            <w:tcW w:type="dxa" w:w="5760"/>
          </w:tcPr>
          <w:p>
            <w:pPr>
              <w:spacing w:after="20"/>
            </w:pPr>
            <w:r/>
            <w:r>
              <w:rPr>
                <w:b w:val="0"/>
                <w:i w:val="0"/>
                <w:sz w:val="17"/>
              </w:rPr>
              <w:t>Material default continuing 5 BD after Seller’s notice: Seller’s sole remedy is to terminate and retain the Deposit ($3,500,000) as liquidated damages; Seller waives specific performance and actual damages (except surviving §4.3 indemnity and §15.8 confidentiality). If Buyer defaults before the Additional Deposit is made, liquidated damages are limited to the Initial Deposit then held.</w:t>
            </w:r>
          </w:p>
        </w:tc>
        <w:tc>
          <w:tcPr>
            <w:tcW w:type="dxa" w:w="936"/>
          </w:tcPr>
          <w:p>
            <w:pPr>
              <w:spacing w:after="20"/>
            </w:pPr>
            <w:r/>
            <w:r>
              <w:rPr>
                <w:b w:val="0"/>
                <w:i w:val="0"/>
                <w:sz w:val="17"/>
              </w:rPr>
              <w:t>34</w:t>
            </w:r>
          </w:p>
        </w:tc>
      </w:tr>
      <w:tr>
        <w:tc>
          <w:tcPr>
            <w:tcW w:type="dxa" w:w="1872"/>
            <w:shd w:val="clear" w:color="auto" w:fill="EEF2F8"/>
          </w:tcPr>
          <w:p>
            <w:pPr>
              <w:spacing w:after="20"/>
            </w:pPr>
            <w:r/>
            <w:r>
              <w:rPr>
                <w:b/>
                <w:i w:val="0"/>
                <w:sz w:val="17"/>
              </w:rPr>
              <w:t>Seller default</w:t>
            </w:r>
          </w:p>
        </w:tc>
        <w:tc>
          <w:tcPr>
            <w:tcW w:type="dxa" w:w="1080"/>
            <w:shd w:val="clear" w:color="auto" w:fill="EEF2F8"/>
          </w:tcPr>
          <w:p>
            <w:pPr>
              <w:spacing w:after="20"/>
            </w:pPr>
            <w:r/>
            <w:r>
              <w:rPr>
                <w:b w:val="0"/>
                <w:i w:val="0"/>
                <w:sz w:val="17"/>
              </w:rPr>
              <w:t>§12.2</w:t>
            </w:r>
          </w:p>
        </w:tc>
        <w:tc>
          <w:tcPr>
            <w:tcW w:type="dxa" w:w="5760"/>
            <w:shd w:val="clear" w:color="auto" w:fill="EEF2F8"/>
          </w:tcPr>
          <w:p>
            <w:pPr>
              <w:spacing w:after="20"/>
            </w:pPr>
            <w:r/>
            <w:r>
              <w:rPr>
                <w:b w:val="0"/>
                <w:i w:val="0"/>
                <w:sz w:val="17"/>
              </w:rPr>
              <w:t>Material default continuing 10 BD after Buyer’s notice: Buyer’s sole remedies are (a) specific performance — action must be commenced within 60 days after the scheduled Closing Date (as extended), failing which Buyer is deemed to elect (b); or (b) termination with full Deposit refund within 5 BD plus reimbursement of documented out-of-pocket costs (legal, inspection, survey, title, financing) up to $500,000. If Seller’s default is willful, Buyer may also pursue actual damages without limitation.</w:t>
            </w:r>
          </w:p>
        </w:tc>
        <w:tc>
          <w:tcPr>
            <w:tcW w:type="dxa" w:w="936"/>
            <w:shd w:val="clear" w:color="auto" w:fill="EEF2F8"/>
          </w:tcPr>
          <w:p>
            <w:pPr>
              <w:spacing w:after="20"/>
            </w:pPr>
            <w:r/>
            <w:r>
              <w:rPr>
                <w:b w:val="0"/>
                <w:i w:val="0"/>
                <w:sz w:val="17"/>
              </w:rPr>
              <w:t>10, 32</w:t>
            </w:r>
          </w:p>
        </w:tc>
      </w:tr>
    </w:tbl>
    <w:p>
      <w:pPr>
        <w:spacing w:after="40"/>
      </w:pPr>
    </w:p>
    <w:p>
      <w:pPr>
        <w:pStyle w:val="Heading2"/>
      </w:pPr>
      <w:r>
        <w:t>4.14 Closing Mechanics, Deliverables, Costs and Extensions</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Closing</w:t>
            </w:r>
          </w:p>
        </w:tc>
        <w:tc>
          <w:tcPr>
            <w:tcW w:type="dxa" w:w="1080"/>
          </w:tcPr>
          <w:p>
            <w:pPr>
              <w:spacing w:after="20"/>
            </w:pPr>
            <w:r/>
            <w:r>
              <w:rPr>
                <w:b w:val="0"/>
                <w:i w:val="0"/>
                <w:sz w:val="17"/>
              </w:rPr>
              <w:t>§§1.1, 13.1</w:t>
            </w:r>
          </w:p>
        </w:tc>
        <w:tc>
          <w:tcPr>
            <w:tcW w:type="dxa" w:w="5760"/>
          </w:tcPr>
          <w:p>
            <w:pPr>
              <w:spacing w:after="20"/>
            </w:pPr>
            <w:r/>
            <w:r>
              <w:rPr>
                <w:b w:val="0"/>
                <w:i w:val="0"/>
                <w:sz w:val="17"/>
              </w:rPr>
              <w:t>January 15, 2025 at Commonwealth Title &amp; Escrow offices (or mail-away/escrow by agreement); time is of the essence, subject to express extensions.</w:t>
            </w:r>
          </w:p>
        </w:tc>
        <w:tc>
          <w:tcPr>
            <w:tcW w:type="dxa" w:w="936"/>
          </w:tcPr>
          <w:p>
            <w:pPr>
              <w:spacing w:after="20"/>
            </w:pPr>
            <w:r/>
            <w:r>
              <w:rPr>
                <w:b w:val="0"/>
                <w:i w:val="0"/>
                <w:sz w:val="17"/>
              </w:rPr>
              <w:t>11</w:t>
            </w:r>
          </w:p>
        </w:tc>
      </w:tr>
      <w:tr>
        <w:tc>
          <w:tcPr>
            <w:tcW w:type="dxa" w:w="1872"/>
            <w:shd w:val="clear" w:color="auto" w:fill="EEF2F8"/>
          </w:tcPr>
          <w:p>
            <w:pPr>
              <w:spacing w:after="20"/>
            </w:pPr>
            <w:r/>
            <w:r>
              <w:rPr>
                <w:b/>
                <w:i w:val="0"/>
                <w:sz w:val="17"/>
              </w:rPr>
              <w:t>Extensions</w:t>
            </w:r>
          </w:p>
        </w:tc>
        <w:tc>
          <w:tcPr>
            <w:tcW w:type="dxa" w:w="1080"/>
            <w:shd w:val="clear" w:color="auto" w:fill="EEF2F8"/>
          </w:tcPr>
          <w:p>
            <w:pPr>
              <w:spacing w:after="20"/>
            </w:pPr>
            <w:r/>
            <w:r>
              <w:rPr>
                <w:b w:val="0"/>
                <w:i w:val="0"/>
                <w:sz w:val="17"/>
              </w:rPr>
              <w:t>§§1.1, 13.5</w:t>
            </w:r>
          </w:p>
        </w:tc>
        <w:tc>
          <w:tcPr>
            <w:tcW w:type="dxa" w:w="5760"/>
            <w:shd w:val="clear" w:color="auto" w:fill="EEF2F8"/>
          </w:tcPr>
          <w:p>
            <w:pPr>
              <w:spacing w:after="20"/>
            </w:pPr>
            <w:r/>
            <w:r>
              <w:rPr>
                <w:b w:val="0"/>
                <w:i w:val="0"/>
                <w:sz w:val="17"/>
              </w:rPr>
              <w:t xml:space="preserve">If Closing does not occur on Jan 15, 2025, either party may extend to the Outside Closing Date of </w:t>
            </w:r>
            <w:r>
              <w:rPr>
                <w:b/>
                <w:i w:val="0"/>
                <w:sz w:val="17"/>
              </w:rPr>
              <w:t>February 14, 2025</w:t>
            </w:r>
            <w:r>
              <w:rPr>
                <w:b w:val="0"/>
                <w:i w:val="0"/>
                <w:sz w:val="17"/>
              </w:rPr>
              <w:t xml:space="preserve"> by written notice; either party may further extend once by 15 days (to </w:t>
            </w:r>
            <w:r>
              <w:rPr>
                <w:b/>
                <w:i w:val="0"/>
                <w:sz w:val="17"/>
              </w:rPr>
              <w:t>March 1, 2025</w:t>
            </w:r>
            <w:r>
              <w:rPr>
                <w:b w:val="0"/>
                <w:i w:val="0"/>
                <w:sz w:val="17"/>
              </w:rPr>
              <w:t>) by notice ≥5 BD before the then-applicable closing date. No extension beyond March 1, 2025. Buyer may also extend up to 15 days for missing estoppels (§9.3).</w:t>
            </w:r>
          </w:p>
        </w:tc>
        <w:tc>
          <w:tcPr>
            <w:tcW w:type="dxa" w:w="936"/>
            <w:shd w:val="clear" w:color="auto" w:fill="EEF2F8"/>
          </w:tcPr>
          <w:p>
            <w:pPr>
              <w:spacing w:after="20"/>
            </w:pPr>
            <w:r/>
            <w:r>
              <w:rPr>
                <w:b w:val="0"/>
                <w:i w:val="0"/>
                <w:sz w:val="17"/>
              </w:rPr>
              <w:t>11</w:t>
            </w:r>
          </w:p>
        </w:tc>
      </w:tr>
      <w:tr>
        <w:tc>
          <w:tcPr>
            <w:tcW w:type="dxa" w:w="1872"/>
          </w:tcPr>
          <w:p>
            <w:pPr>
              <w:spacing w:after="20"/>
            </w:pPr>
            <w:r/>
            <w:r>
              <w:rPr>
                <w:b/>
                <w:i w:val="0"/>
                <w:sz w:val="17"/>
              </w:rPr>
              <w:t>Seller deliverables</w:t>
            </w:r>
          </w:p>
        </w:tc>
        <w:tc>
          <w:tcPr>
            <w:tcW w:type="dxa" w:w="1080"/>
          </w:tcPr>
          <w:p>
            <w:pPr>
              <w:spacing w:after="20"/>
            </w:pPr>
            <w:r/>
            <w:r>
              <w:rPr>
                <w:b w:val="0"/>
                <w:i w:val="0"/>
                <w:sz w:val="17"/>
              </w:rPr>
              <w:t>§13.2(a)–(p)</w:t>
            </w:r>
          </w:p>
        </w:tc>
        <w:tc>
          <w:tcPr>
            <w:tcW w:type="dxa" w:w="5760"/>
          </w:tcPr>
          <w:p>
            <w:pPr>
              <w:spacing w:after="20"/>
            </w:pPr>
            <w:r/>
            <w:r>
              <w:rPr>
                <w:b w:val="0"/>
                <w:i w:val="0"/>
                <w:sz w:val="17"/>
              </w:rPr>
              <w:t>Special warranty deed (Exh. C); bill of sale (free of liens); Assignment and Assumption of Leases (Exh. D); Assignment and Assumption of Service Contracts (Exh. H) for designated Assumed Contracts; FIRPTA affidavit; owner’s affidavit acceptable to Title Company; estoppels; tenant notice letters; certified updated Rent Roll; closing statement; Seller’s Closing Certificate; evidence of authority (LP agreement excerpts, SCC good standing for Seller and Meridian GP Inc., GP resolution); keys, codes, manuals; original Leases and Service Contracts; SNDAs obtained; assignment of warranties.</w:t>
            </w:r>
          </w:p>
        </w:tc>
        <w:tc>
          <w:tcPr>
            <w:tcW w:type="dxa" w:w="936"/>
          </w:tcPr>
          <w:p>
            <w:pPr>
              <w:spacing w:after="20"/>
            </w:pPr>
            <w:r/>
            <w:r>
              <w:rPr>
                <w:b w:val="0"/>
                <w:i w:val="0"/>
                <w:sz w:val="17"/>
              </w:rPr>
              <w:t>30</w:t>
            </w:r>
          </w:p>
        </w:tc>
      </w:tr>
      <w:tr>
        <w:tc>
          <w:tcPr>
            <w:tcW w:type="dxa" w:w="1872"/>
            <w:shd w:val="clear" w:color="auto" w:fill="EEF2F8"/>
          </w:tcPr>
          <w:p>
            <w:pPr>
              <w:spacing w:after="20"/>
            </w:pPr>
            <w:r/>
            <w:r>
              <w:rPr>
                <w:b/>
                <w:i w:val="0"/>
                <w:sz w:val="17"/>
              </w:rPr>
              <w:t>Buyer deliverables</w:t>
            </w:r>
          </w:p>
        </w:tc>
        <w:tc>
          <w:tcPr>
            <w:tcW w:type="dxa" w:w="1080"/>
            <w:shd w:val="clear" w:color="auto" w:fill="EEF2F8"/>
          </w:tcPr>
          <w:p>
            <w:pPr>
              <w:spacing w:after="20"/>
            </w:pPr>
            <w:r/>
            <w:r>
              <w:rPr>
                <w:b w:val="0"/>
                <w:i w:val="0"/>
                <w:sz w:val="17"/>
              </w:rPr>
              <w:t>§13.3(a)–(f)</w:t>
            </w:r>
          </w:p>
        </w:tc>
        <w:tc>
          <w:tcPr>
            <w:tcW w:type="dxa" w:w="5760"/>
            <w:shd w:val="clear" w:color="auto" w:fill="EEF2F8"/>
          </w:tcPr>
          <w:p>
            <w:pPr>
              <w:spacing w:after="20"/>
            </w:pPr>
            <w:r/>
            <w:r>
              <w:rPr>
                <w:b w:val="0"/>
                <w:i w:val="0"/>
                <w:sz w:val="17"/>
              </w:rPr>
              <w:t>Net Purchase Price by wire; counterparts of Exh. D and Exh. H; closing statement; evidence of authority (certificate of formation, operating agreement excerpts, Delaware good standing); bring-down certificate of Buyer reps.</w:t>
            </w:r>
          </w:p>
        </w:tc>
        <w:tc>
          <w:tcPr>
            <w:tcW w:type="dxa" w:w="936"/>
            <w:shd w:val="clear" w:color="auto" w:fill="EEF2F8"/>
          </w:tcPr>
          <w:p>
            <w:pPr>
              <w:spacing w:after="20"/>
            </w:pPr>
            <w:r/>
            <w:r>
              <w:rPr>
                <w:b w:val="0"/>
                <w:i w:val="0"/>
                <w:sz w:val="17"/>
              </w:rPr>
              <w:t>—</w:t>
            </w:r>
          </w:p>
        </w:tc>
      </w:tr>
      <w:tr>
        <w:tc>
          <w:tcPr>
            <w:tcW w:type="dxa" w:w="1872"/>
          </w:tcPr>
          <w:p>
            <w:pPr>
              <w:spacing w:after="20"/>
            </w:pPr>
            <w:r/>
            <w:r>
              <w:rPr>
                <w:b/>
                <w:i w:val="0"/>
                <w:sz w:val="17"/>
              </w:rPr>
              <w:t>Seller costs</w:t>
            </w:r>
          </w:p>
        </w:tc>
        <w:tc>
          <w:tcPr>
            <w:tcW w:type="dxa" w:w="1080"/>
          </w:tcPr>
          <w:p>
            <w:pPr>
              <w:spacing w:after="20"/>
            </w:pPr>
            <w:r/>
            <w:r>
              <w:rPr>
                <w:b w:val="0"/>
                <w:i w:val="0"/>
                <w:sz w:val="17"/>
              </w:rPr>
              <w:t>§13.4(a)</w:t>
            </w:r>
          </w:p>
        </w:tc>
        <w:tc>
          <w:tcPr>
            <w:tcW w:type="dxa" w:w="5760"/>
          </w:tcPr>
          <w:p>
            <w:pPr>
              <w:spacing w:after="20"/>
            </w:pPr>
            <w:r/>
            <w:r>
              <w:rPr>
                <w:b w:val="0"/>
                <w:i w:val="0"/>
                <w:sz w:val="17"/>
              </w:rPr>
              <w:t>Virginia grantor’s tax; ½ escrow/closing fees; deed preparation; Seller’s attorneys’ fees; all brokerage commissions.</w:t>
            </w:r>
          </w:p>
        </w:tc>
        <w:tc>
          <w:tcPr>
            <w:tcW w:type="dxa" w:w="936"/>
          </w:tcPr>
          <w:p>
            <w:pPr>
              <w:spacing w:after="20"/>
            </w:pPr>
            <w:r/>
            <w:r>
              <w:rPr>
                <w:b w:val="0"/>
                <w:i w:val="0"/>
                <w:sz w:val="17"/>
              </w:rPr>
              <w:t>21</w:t>
            </w:r>
          </w:p>
        </w:tc>
      </w:tr>
      <w:tr>
        <w:tc>
          <w:tcPr>
            <w:tcW w:type="dxa" w:w="1872"/>
            <w:shd w:val="clear" w:color="auto" w:fill="EEF2F8"/>
          </w:tcPr>
          <w:p>
            <w:pPr>
              <w:spacing w:after="20"/>
            </w:pPr>
            <w:r/>
            <w:r>
              <w:rPr>
                <w:b/>
                <w:i w:val="0"/>
                <w:sz w:val="17"/>
              </w:rPr>
              <w:t>Buyer costs</w:t>
            </w:r>
          </w:p>
        </w:tc>
        <w:tc>
          <w:tcPr>
            <w:tcW w:type="dxa" w:w="1080"/>
            <w:shd w:val="clear" w:color="auto" w:fill="EEF2F8"/>
          </w:tcPr>
          <w:p>
            <w:pPr>
              <w:spacing w:after="20"/>
            </w:pPr>
            <w:r/>
            <w:r>
              <w:rPr>
                <w:b w:val="0"/>
                <w:i w:val="0"/>
                <w:sz w:val="17"/>
              </w:rPr>
              <w:t>§13.4(b)</w:t>
            </w:r>
          </w:p>
        </w:tc>
        <w:tc>
          <w:tcPr>
            <w:tcW w:type="dxa" w:w="5760"/>
            <w:shd w:val="clear" w:color="auto" w:fill="EEF2F8"/>
          </w:tcPr>
          <w:p>
            <w:pPr>
              <w:spacing w:after="20"/>
            </w:pPr>
            <w:r/>
            <w:r>
              <w:rPr>
                <w:b w:val="0"/>
                <w:i w:val="0"/>
                <w:sz w:val="17"/>
              </w:rPr>
              <w:t>All recording fees and charges; owner’s and loan title premiums and endorsements; survey; ½ escrow/closing fees; Buyer’s attorneys’ fees; all financing costs (origination, appraisal, lender’s counsel).</w:t>
            </w:r>
          </w:p>
        </w:tc>
        <w:tc>
          <w:tcPr>
            <w:tcW w:type="dxa" w:w="936"/>
            <w:shd w:val="clear" w:color="auto" w:fill="EEF2F8"/>
          </w:tcPr>
          <w:p>
            <w:pPr>
              <w:spacing w:after="20"/>
            </w:pPr>
            <w:r/>
            <w:r>
              <w:rPr>
                <w:b w:val="0"/>
                <w:i w:val="0"/>
                <w:sz w:val="17"/>
              </w:rPr>
              <w:t>21</w:t>
            </w:r>
          </w:p>
        </w:tc>
      </w:tr>
      <w:tr>
        <w:tc>
          <w:tcPr>
            <w:tcW w:type="dxa" w:w="1872"/>
          </w:tcPr>
          <w:p>
            <w:pPr>
              <w:spacing w:after="20"/>
            </w:pPr>
            <w:r/>
            <w:r>
              <w:rPr>
                <w:b/>
                <w:i w:val="0"/>
                <w:sz w:val="17"/>
              </w:rPr>
              <w:t>Other costs</w:t>
            </w:r>
          </w:p>
        </w:tc>
        <w:tc>
          <w:tcPr>
            <w:tcW w:type="dxa" w:w="1080"/>
          </w:tcPr>
          <w:p>
            <w:pPr>
              <w:spacing w:after="20"/>
            </w:pPr>
            <w:r/>
            <w:r>
              <w:rPr>
                <w:b w:val="0"/>
                <w:i w:val="0"/>
                <w:sz w:val="17"/>
              </w:rPr>
              <w:t>§13.4(c)</w:t>
            </w:r>
          </w:p>
        </w:tc>
        <w:tc>
          <w:tcPr>
            <w:tcW w:type="dxa" w:w="5760"/>
          </w:tcPr>
          <w:p>
            <w:pPr>
              <w:spacing w:after="20"/>
            </w:pPr>
            <w:r/>
            <w:r>
              <w:rPr>
                <w:b w:val="0"/>
                <w:i w:val="0"/>
                <w:sz w:val="17"/>
              </w:rPr>
              <w:t>Per Fairfax County custom.</w:t>
            </w:r>
          </w:p>
        </w:tc>
        <w:tc>
          <w:tcPr>
            <w:tcW w:type="dxa" w:w="936"/>
          </w:tcPr>
          <w:p>
            <w:pPr>
              <w:spacing w:after="20"/>
            </w:pPr>
            <w:r/>
            <w:r>
              <w:rPr>
                <w:b w:val="0"/>
                <w:i w:val="0"/>
                <w:sz w:val="17"/>
              </w:rPr>
              <w:t>—</w:t>
            </w:r>
          </w:p>
        </w:tc>
      </w:tr>
    </w:tbl>
    <w:p>
      <w:pPr>
        <w:spacing w:after="40"/>
      </w:pPr>
    </w:p>
    <w:p>
      <w:pPr>
        <w:pStyle w:val="Heading2"/>
      </w:pPr>
      <w:r>
        <w:t>4.15 Assignment</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General restriction</w:t>
            </w:r>
          </w:p>
        </w:tc>
        <w:tc>
          <w:tcPr>
            <w:tcW w:type="dxa" w:w="1080"/>
          </w:tcPr>
          <w:p>
            <w:pPr>
              <w:spacing w:after="20"/>
            </w:pPr>
            <w:r/>
            <w:r>
              <w:rPr>
                <w:b w:val="0"/>
                <w:i w:val="0"/>
                <w:sz w:val="17"/>
              </w:rPr>
              <w:t>§14.1</w:t>
            </w:r>
          </w:p>
        </w:tc>
        <w:tc>
          <w:tcPr>
            <w:tcW w:type="dxa" w:w="5760"/>
          </w:tcPr>
          <w:p>
            <w:pPr>
              <w:spacing w:after="20"/>
            </w:pPr>
            <w:r/>
            <w:r>
              <w:rPr>
                <w:b w:val="0"/>
                <w:i w:val="0"/>
                <w:sz w:val="17"/>
              </w:rPr>
              <w:t>No assignment without Seller’s prior written consent, except under §14.3.</w:t>
            </w:r>
          </w:p>
        </w:tc>
        <w:tc>
          <w:tcPr>
            <w:tcW w:type="dxa" w:w="936"/>
          </w:tcPr>
          <w:p>
            <w:pPr>
              <w:spacing w:after="20"/>
            </w:pPr>
            <w:r/>
            <w:r>
              <w:rPr>
                <w:b w:val="0"/>
                <w:i w:val="0"/>
                <w:sz w:val="17"/>
              </w:rPr>
              <w:t>9</w:t>
            </w:r>
          </w:p>
        </w:tc>
      </w:tr>
      <w:tr>
        <w:tc>
          <w:tcPr>
            <w:tcW w:type="dxa" w:w="1872"/>
            <w:shd w:val="clear" w:color="auto" w:fill="EEF2F8"/>
          </w:tcPr>
          <w:p>
            <w:pPr>
              <w:spacing w:after="20"/>
            </w:pPr>
            <w:r/>
            <w:r>
              <w:rPr>
                <w:b/>
                <w:i w:val="0"/>
                <w:sz w:val="17"/>
              </w:rPr>
              <w:t>Non-affiliates</w:t>
            </w:r>
          </w:p>
        </w:tc>
        <w:tc>
          <w:tcPr>
            <w:tcW w:type="dxa" w:w="1080"/>
            <w:shd w:val="clear" w:color="auto" w:fill="EEF2F8"/>
          </w:tcPr>
          <w:p>
            <w:pPr>
              <w:spacing w:after="20"/>
            </w:pPr>
            <w:r/>
            <w:r>
              <w:rPr>
                <w:b w:val="0"/>
                <w:i w:val="0"/>
                <w:sz w:val="17"/>
              </w:rPr>
              <w:t>§14.2</w:t>
            </w:r>
          </w:p>
        </w:tc>
        <w:tc>
          <w:tcPr>
            <w:tcW w:type="dxa" w:w="5760"/>
            <w:shd w:val="clear" w:color="auto" w:fill="EEF2F8"/>
          </w:tcPr>
          <w:p>
            <w:pPr>
              <w:spacing w:after="20"/>
            </w:pPr>
            <w:r/>
            <w:r>
              <w:rPr>
                <w:b w:val="0"/>
                <w:i w:val="0"/>
                <w:sz w:val="17"/>
              </w:rPr>
              <w:t>Seller consent required, not to be unreasonably withheld, conditioned or delayed.</w:t>
            </w:r>
          </w:p>
        </w:tc>
        <w:tc>
          <w:tcPr>
            <w:tcW w:type="dxa" w:w="936"/>
            <w:shd w:val="clear" w:color="auto" w:fill="EEF2F8"/>
          </w:tcPr>
          <w:p>
            <w:pPr>
              <w:spacing w:after="20"/>
            </w:pPr>
            <w:r/>
            <w:r>
              <w:rPr>
                <w:b w:val="0"/>
                <w:i w:val="0"/>
                <w:sz w:val="17"/>
              </w:rPr>
              <w:t>9</w:t>
            </w:r>
          </w:p>
        </w:tc>
      </w:tr>
      <w:tr>
        <w:tc>
          <w:tcPr>
            <w:tcW w:type="dxa" w:w="1872"/>
          </w:tcPr>
          <w:p>
            <w:pPr>
              <w:spacing w:after="20"/>
            </w:pPr>
            <w:r/>
            <w:r>
              <w:rPr>
                <w:b/>
                <w:i w:val="0"/>
                <w:sz w:val="17"/>
              </w:rPr>
              <w:t>Affiliate / designee</w:t>
            </w:r>
          </w:p>
        </w:tc>
        <w:tc>
          <w:tcPr>
            <w:tcW w:type="dxa" w:w="1080"/>
          </w:tcPr>
          <w:p>
            <w:pPr>
              <w:spacing w:after="20"/>
            </w:pPr>
            <w:r/>
            <w:r>
              <w:rPr>
                <w:b w:val="0"/>
                <w:i w:val="0"/>
                <w:sz w:val="17"/>
              </w:rPr>
              <w:t>§14.3</w:t>
            </w:r>
          </w:p>
        </w:tc>
        <w:tc>
          <w:tcPr>
            <w:tcW w:type="dxa" w:w="5760"/>
          </w:tcPr>
          <w:p>
            <w:pPr>
              <w:spacing w:after="20"/>
            </w:pPr>
            <w:r/>
            <w:r>
              <w:rPr>
                <w:b w:val="0"/>
                <w:i w:val="0"/>
                <w:sz w:val="17"/>
              </w:rPr>
              <w:t xml:space="preserve">Buyer may assign to “an affiliate or designee of Buyer” without consent if (a) written notice with fully executed assignment and assumption is delivered ≥10 BD before the Closing Date; (b) assignee assumes in writing all pre- and post-assignment obligations; and (c) Buyer remains </w:t>
            </w:r>
            <w:r>
              <w:rPr>
                <w:b/>
                <w:i w:val="0"/>
                <w:sz w:val="17"/>
              </w:rPr>
              <w:t>jointly and severally liable</w:t>
            </w:r>
            <w:r>
              <w:rPr>
                <w:b w:val="0"/>
                <w:i w:val="0"/>
                <w:sz w:val="17"/>
              </w:rPr>
              <w:t xml:space="preserve"> with the assignee for all obligations, before and after Closing, including indemnification, payment and surviving obligations. “Affiliate” = entity controlling, controlled by or under common control with Buyer (control = power to direct management and policies, by voting interests, contract or otherwise).</w:t>
            </w:r>
          </w:p>
        </w:tc>
        <w:tc>
          <w:tcPr>
            <w:tcW w:type="dxa" w:w="936"/>
          </w:tcPr>
          <w:p>
            <w:pPr>
              <w:spacing w:after="20"/>
            </w:pPr>
            <w:r/>
            <w:r>
              <w:rPr>
                <w:b w:val="0"/>
                <w:i w:val="0"/>
                <w:sz w:val="17"/>
              </w:rPr>
              <w:t>9</w:t>
            </w:r>
          </w:p>
        </w:tc>
      </w:tr>
      <w:tr>
        <w:tc>
          <w:tcPr>
            <w:tcW w:type="dxa" w:w="1872"/>
            <w:shd w:val="clear" w:color="auto" w:fill="EEF2F8"/>
          </w:tcPr>
          <w:p>
            <w:pPr>
              <w:spacing w:after="20"/>
            </w:pPr>
            <w:r/>
            <w:r>
              <w:rPr>
                <w:b/>
                <w:i w:val="0"/>
                <w:sz w:val="17"/>
              </w:rPr>
              <w:t>Assignee recognition</w:t>
            </w:r>
          </w:p>
        </w:tc>
        <w:tc>
          <w:tcPr>
            <w:tcW w:type="dxa" w:w="1080"/>
            <w:shd w:val="clear" w:color="auto" w:fill="EEF2F8"/>
          </w:tcPr>
          <w:p>
            <w:pPr>
              <w:spacing w:after="20"/>
            </w:pPr>
            <w:r/>
            <w:r>
              <w:rPr>
                <w:b w:val="0"/>
                <w:i w:val="0"/>
                <w:sz w:val="17"/>
              </w:rPr>
              <w:t>§§5.4, 13.2(a), 8.4</w:t>
            </w:r>
          </w:p>
        </w:tc>
        <w:tc>
          <w:tcPr>
            <w:tcW w:type="dxa" w:w="5760"/>
            <w:shd w:val="clear" w:color="auto" w:fill="EEF2F8"/>
          </w:tcPr>
          <w:p>
            <w:pPr>
              <w:spacing w:after="20"/>
            </w:pPr>
            <w:r/>
            <w:r>
              <w:rPr>
                <w:b w:val="0"/>
                <w:i w:val="0"/>
                <w:sz w:val="17"/>
              </w:rPr>
              <w:t>Title policy and deed may run to Buyer’s assignee; environmental indemnity runs to Buyer’s successors and assigns.</w:t>
            </w:r>
          </w:p>
        </w:tc>
        <w:tc>
          <w:tcPr>
            <w:tcW w:type="dxa" w:w="936"/>
            <w:shd w:val="clear" w:color="auto" w:fill="EEF2F8"/>
          </w:tcPr>
          <w:p>
            <w:pPr>
              <w:spacing w:after="20"/>
            </w:pPr>
            <w:r/>
            <w:r>
              <w:rPr>
                <w:b w:val="0"/>
                <w:i w:val="0"/>
                <w:sz w:val="17"/>
              </w:rPr>
              <w:t>9</w:t>
            </w:r>
          </w:p>
        </w:tc>
      </w:tr>
    </w:tbl>
    <w:p>
      <w:pPr>
        <w:spacing w:after="40"/>
      </w:pPr>
    </w:p>
    <w:p>
      <w:pPr>
        <w:pStyle w:val="Heading2"/>
      </w:pPr>
      <w:r>
        <w:t>4.16 Service Contracts</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Definition / inclusion</w:t>
            </w:r>
          </w:p>
        </w:tc>
        <w:tc>
          <w:tcPr>
            <w:tcW w:type="dxa" w:w="1080"/>
          </w:tcPr>
          <w:p>
            <w:pPr>
              <w:spacing w:after="20"/>
            </w:pPr>
            <w:r/>
            <w:r>
              <w:rPr>
                <w:b w:val="0"/>
                <w:i w:val="0"/>
                <w:sz w:val="17"/>
              </w:rPr>
              <w:t>§§1.1, 2.2(e)</w:t>
            </w:r>
          </w:p>
        </w:tc>
        <w:tc>
          <w:tcPr>
            <w:tcW w:type="dxa" w:w="5760"/>
          </w:tcPr>
          <w:p>
            <w:pPr>
              <w:spacing w:after="20"/>
            </w:pPr>
            <w:r/>
            <w:r>
              <w:rPr>
                <w:b w:val="0"/>
                <w:i w:val="0"/>
                <w:sz w:val="17"/>
              </w:rPr>
              <w:t>Exhibit G contracts; only those assumed by Buyer are part of the Property.</w:t>
            </w:r>
          </w:p>
        </w:tc>
        <w:tc>
          <w:tcPr>
            <w:tcW w:type="dxa" w:w="936"/>
          </w:tcPr>
          <w:p>
            <w:pPr>
              <w:spacing w:after="20"/>
            </w:pPr>
            <w:r/>
            <w:r>
              <w:rPr>
                <w:b w:val="0"/>
                <w:i w:val="0"/>
                <w:sz w:val="17"/>
              </w:rPr>
              <w:t>18</w:t>
            </w:r>
          </w:p>
        </w:tc>
      </w:tr>
      <w:tr>
        <w:tc>
          <w:tcPr>
            <w:tcW w:type="dxa" w:w="1872"/>
            <w:shd w:val="clear" w:color="auto" w:fill="EEF2F8"/>
          </w:tcPr>
          <w:p>
            <w:pPr>
              <w:spacing w:after="20"/>
            </w:pPr>
            <w:r/>
            <w:r>
              <w:rPr>
                <w:b/>
                <w:i w:val="0"/>
                <w:sz w:val="17"/>
              </w:rPr>
              <w:t>Rep</w:t>
            </w:r>
          </w:p>
        </w:tc>
        <w:tc>
          <w:tcPr>
            <w:tcW w:type="dxa" w:w="1080"/>
            <w:shd w:val="clear" w:color="auto" w:fill="EEF2F8"/>
          </w:tcPr>
          <w:p>
            <w:pPr>
              <w:spacing w:after="20"/>
            </w:pPr>
            <w:r/>
            <w:r>
              <w:rPr>
                <w:b w:val="0"/>
                <w:i w:val="0"/>
                <w:sz w:val="17"/>
              </w:rPr>
              <w:t>§7.1(h)</w:t>
            </w:r>
          </w:p>
        </w:tc>
        <w:tc>
          <w:tcPr>
            <w:tcW w:type="dxa" w:w="5760"/>
            <w:shd w:val="clear" w:color="auto" w:fill="EEF2F8"/>
          </w:tcPr>
          <w:p>
            <w:pPr>
              <w:spacing w:after="20"/>
            </w:pPr>
            <w:r/>
            <w:r>
              <w:rPr>
                <w:b w:val="0"/>
                <w:i w:val="0"/>
                <w:sz w:val="17"/>
              </w:rPr>
              <w:t>11 contracts; 3 non-terminable on change of ownership (Apex Elevator, Sentinel Fire Protection, Metro Parking Solutions).</w:t>
            </w:r>
          </w:p>
        </w:tc>
        <w:tc>
          <w:tcPr>
            <w:tcW w:type="dxa" w:w="936"/>
            <w:shd w:val="clear" w:color="auto" w:fill="EEF2F8"/>
          </w:tcPr>
          <w:p>
            <w:pPr>
              <w:spacing w:after="20"/>
            </w:pPr>
            <w:r/>
            <w:r>
              <w:rPr>
                <w:b w:val="0"/>
                <w:i w:val="0"/>
                <w:sz w:val="17"/>
              </w:rPr>
              <w:t>18</w:t>
            </w:r>
          </w:p>
        </w:tc>
      </w:tr>
      <w:tr>
        <w:tc>
          <w:tcPr>
            <w:tcW w:type="dxa" w:w="1872"/>
          </w:tcPr>
          <w:p>
            <w:pPr>
              <w:spacing w:after="20"/>
            </w:pPr>
            <w:r/>
            <w:r>
              <w:rPr>
                <w:b/>
                <w:i w:val="0"/>
                <w:sz w:val="17"/>
              </w:rPr>
              <w:t>Assignment</w:t>
            </w:r>
          </w:p>
        </w:tc>
        <w:tc>
          <w:tcPr>
            <w:tcW w:type="dxa" w:w="1080"/>
          </w:tcPr>
          <w:p>
            <w:pPr>
              <w:spacing w:after="20"/>
            </w:pPr>
            <w:r/>
            <w:r>
              <w:rPr>
                <w:b w:val="0"/>
                <w:i w:val="0"/>
                <w:sz w:val="17"/>
              </w:rPr>
              <w:t>§13.2(d); Exh. H</w:t>
            </w:r>
          </w:p>
        </w:tc>
        <w:tc>
          <w:tcPr>
            <w:tcW w:type="dxa" w:w="5760"/>
          </w:tcPr>
          <w:p>
            <w:pPr>
              <w:spacing w:after="20"/>
            </w:pPr>
            <w:r/>
            <w:r>
              <w:rPr>
                <w:b w:val="0"/>
                <w:i w:val="0"/>
                <w:sz w:val="17"/>
              </w:rPr>
              <w:t>Assumed Contracts listed on Schedule 1 “to be completed during the Due Diligence Period.” Seller remains responsible for Excluded Contracts (including termination fees) and will use commercially reasonable efforts to terminate them effective at or before Closing. Mutual pre/post-Closing indemnities.</w:t>
            </w:r>
          </w:p>
        </w:tc>
        <w:tc>
          <w:tcPr>
            <w:tcW w:type="dxa" w:w="936"/>
          </w:tcPr>
          <w:p>
            <w:pPr>
              <w:spacing w:after="20"/>
            </w:pPr>
            <w:r/>
            <w:r>
              <w:rPr>
                <w:b w:val="0"/>
                <w:i w:val="0"/>
                <w:sz w:val="17"/>
              </w:rPr>
              <w:t>18</w:t>
            </w:r>
          </w:p>
        </w:tc>
      </w:tr>
      <w:tr>
        <w:tc>
          <w:tcPr>
            <w:tcW w:type="dxa" w:w="1872"/>
            <w:shd w:val="clear" w:color="auto" w:fill="EEF2F8"/>
          </w:tcPr>
          <w:p>
            <w:pPr>
              <w:spacing w:after="20"/>
            </w:pPr>
            <w:r/>
            <w:r>
              <w:rPr>
                <w:b/>
                <w:i w:val="0"/>
                <w:sz w:val="17"/>
              </w:rPr>
              <w:t>Proration</w:t>
            </w:r>
          </w:p>
        </w:tc>
        <w:tc>
          <w:tcPr>
            <w:tcW w:type="dxa" w:w="1080"/>
            <w:shd w:val="clear" w:color="auto" w:fill="EEF2F8"/>
          </w:tcPr>
          <w:p>
            <w:pPr>
              <w:spacing w:after="20"/>
            </w:pPr>
            <w:r/>
            <w:r>
              <w:rPr>
                <w:b w:val="0"/>
                <w:i w:val="0"/>
                <w:sz w:val="17"/>
              </w:rPr>
              <w:t>§6.1(g)</w:t>
            </w:r>
          </w:p>
        </w:tc>
        <w:tc>
          <w:tcPr>
            <w:tcW w:type="dxa" w:w="5760"/>
            <w:shd w:val="clear" w:color="auto" w:fill="EEF2F8"/>
          </w:tcPr>
          <w:p>
            <w:pPr>
              <w:spacing w:after="20"/>
            </w:pPr>
            <w:r/>
            <w:r>
              <w:rPr>
                <w:b w:val="0"/>
                <w:i w:val="0"/>
                <w:sz w:val="17"/>
              </w:rPr>
              <w:t>Assumed contracts prorated.</w:t>
            </w:r>
          </w:p>
        </w:tc>
        <w:tc>
          <w:tcPr>
            <w:tcW w:type="dxa" w:w="936"/>
            <w:shd w:val="clear" w:color="auto" w:fill="EEF2F8"/>
          </w:tcPr>
          <w:p>
            <w:pPr>
              <w:spacing w:after="20"/>
            </w:pPr>
            <w:r/>
            <w:r>
              <w:rPr>
                <w:b w:val="0"/>
                <w:i w:val="0"/>
                <w:sz w:val="17"/>
              </w:rPr>
              <w:t>—</w:t>
            </w:r>
          </w:p>
        </w:tc>
      </w:tr>
    </w:tbl>
    <w:p>
      <w:pPr>
        <w:spacing w:after="40"/>
      </w:pPr>
    </w:p>
    <w:p>
      <w:pPr>
        <w:pStyle w:val="Heading2"/>
      </w:pPr>
      <w:r>
        <w:t>4.17 Brokerage</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Brokers and commission</w:t>
            </w:r>
          </w:p>
        </w:tc>
        <w:tc>
          <w:tcPr>
            <w:tcW w:type="dxa" w:w="1080"/>
          </w:tcPr>
          <w:p>
            <w:pPr>
              <w:spacing w:after="20"/>
            </w:pPr>
            <w:r/>
            <w:r>
              <w:rPr>
                <w:b w:val="0"/>
                <w:i w:val="0"/>
                <w:sz w:val="17"/>
              </w:rPr>
              <w:t>§§15.1, 13.4(a)(v)</w:t>
            </w:r>
          </w:p>
        </w:tc>
        <w:tc>
          <w:tcPr>
            <w:tcW w:type="dxa" w:w="5760"/>
          </w:tcPr>
          <w:p>
            <w:pPr>
              <w:spacing w:after="20"/>
            </w:pPr>
            <w:r/>
            <w:r>
              <w:rPr>
                <w:b w:val="0"/>
                <w:i w:val="0"/>
                <w:sz w:val="17"/>
              </w:rPr>
              <w:t>Total 1.5% of price = $1,316,250, paid by Seller at Closing under separate agreements: Greystone Realty Advisors LLC (Seller) 60% = $789,750; Keystone Commercial Partners LLC (Buyer) 40% = $526,500. Mutual indemnities for claims arising from the indemnitor’s actions.</w:t>
            </w:r>
          </w:p>
        </w:tc>
        <w:tc>
          <w:tcPr>
            <w:tcW w:type="dxa" w:w="936"/>
          </w:tcPr>
          <w:p>
            <w:pPr>
              <w:spacing w:after="20"/>
            </w:pPr>
            <w:r/>
            <w:r>
              <w:rPr>
                <w:b w:val="0"/>
                <w:i w:val="0"/>
                <w:sz w:val="17"/>
              </w:rPr>
              <w:t>—</w:t>
            </w:r>
          </w:p>
        </w:tc>
      </w:tr>
    </w:tbl>
    <w:p>
      <w:pPr>
        <w:spacing w:after="40"/>
      </w:pPr>
    </w:p>
    <w:p>
      <w:pPr>
        <w:pStyle w:val="Heading2"/>
      </w:pPr>
      <w:r>
        <w:t>4.18 Governing Law and Disputes</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Governing law</w:t>
            </w:r>
          </w:p>
        </w:tc>
        <w:tc>
          <w:tcPr>
            <w:tcW w:type="dxa" w:w="1080"/>
          </w:tcPr>
          <w:p>
            <w:pPr>
              <w:spacing w:after="20"/>
            </w:pPr>
            <w:r/>
            <w:r>
              <w:rPr>
                <w:b w:val="0"/>
                <w:i w:val="0"/>
                <w:sz w:val="17"/>
              </w:rPr>
              <w:t>§15.3</w:t>
            </w:r>
          </w:p>
        </w:tc>
        <w:tc>
          <w:tcPr>
            <w:tcW w:type="dxa" w:w="5760"/>
          </w:tcPr>
          <w:p>
            <w:pPr>
              <w:spacing w:after="20"/>
            </w:pPr>
            <w:r/>
            <w:r>
              <w:rPr>
                <w:b w:val="0"/>
                <w:i w:val="0"/>
                <w:sz w:val="17"/>
              </w:rPr>
              <w:t>Commonwealth of Virginia, without regard to conflicts principles.</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Mediation</w:t>
            </w:r>
          </w:p>
        </w:tc>
        <w:tc>
          <w:tcPr>
            <w:tcW w:type="dxa" w:w="1080"/>
            <w:shd w:val="clear" w:color="auto" w:fill="EEF2F8"/>
          </w:tcPr>
          <w:p>
            <w:pPr>
              <w:spacing w:after="20"/>
            </w:pPr>
            <w:r/>
            <w:r>
              <w:rPr>
                <w:b w:val="0"/>
                <w:i w:val="0"/>
                <w:sz w:val="17"/>
              </w:rPr>
              <w:t>§15.4(a)</w:t>
            </w:r>
          </w:p>
        </w:tc>
        <w:tc>
          <w:tcPr>
            <w:tcW w:type="dxa" w:w="5760"/>
            <w:shd w:val="clear" w:color="auto" w:fill="EEF2F8"/>
          </w:tcPr>
          <w:p>
            <w:pPr>
              <w:spacing w:after="20"/>
            </w:pPr>
            <w:r/>
            <w:r>
              <w:rPr>
                <w:b w:val="0"/>
                <w:i w:val="0"/>
                <w:sz w:val="17"/>
              </w:rPr>
              <w:t>All disputes first to mediation by Arbor Mediation Services LLC in Fairfax, VA; commence within 30 days of written demand; complete within 60 days of commencement; costs shared equally.</w:t>
            </w:r>
          </w:p>
        </w:tc>
        <w:tc>
          <w:tcPr>
            <w:tcW w:type="dxa" w:w="936"/>
            <w:shd w:val="clear" w:color="auto" w:fill="EEF2F8"/>
          </w:tcPr>
          <w:p>
            <w:pPr>
              <w:spacing w:after="20"/>
            </w:pPr>
            <w:r/>
            <w:r>
              <w:rPr>
                <w:b w:val="0"/>
                <w:i w:val="0"/>
                <w:sz w:val="17"/>
              </w:rPr>
              <w:t>10</w:t>
            </w:r>
          </w:p>
        </w:tc>
      </w:tr>
      <w:tr>
        <w:tc>
          <w:tcPr>
            <w:tcW w:type="dxa" w:w="1872"/>
          </w:tcPr>
          <w:p>
            <w:pPr>
              <w:spacing w:after="20"/>
            </w:pPr>
            <w:r/>
            <w:r>
              <w:rPr>
                <w:b/>
                <w:i w:val="0"/>
                <w:sz w:val="17"/>
              </w:rPr>
              <w:t>Arbitration</w:t>
            </w:r>
          </w:p>
        </w:tc>
        <w:tc>
          <w:tcPr>
            <w:tcW w:type="dxa" w:w="1080"/>
          </w:tcPr>
          <w:p>
            <w:pPr>
              <w:spacing w:after="20"/>
            </w:pPr>
            <w:r/>
            <w:r>
              <w:rPr>
                <w:b w:val="0"/>
                <w:i w:val="0"/>
                <w:sz w:val="17"/>
              </w:rPr>
              <w:t>§15.4(b)</w:t>
            </w:r>
          </w:p>
        </w:tc>
        <w:tc>
          <w:tcPr>
            <w:tcW w:type="dxa" w:w="5760"/>
          </w:tcPr>
          <w:p>
            <w:pPr>
              <w:spacing w:after="20"/>
            </w:pPr>
            <w:r/>
            <w:r>
              <w:rPr>
                <w:b w:val="0"/>
                <w:i w:val="0"/>
                <w:sz w:val="17"/>
              </w:rPr>
              <w:t>If mediation fails or a party refuses to participate: binding AAA Commercial Arbitration in Fairfax, VA before a single arbitrator with ≥15 years’ commercial real estate experience; arbitrator may award injunctive and equitable relief; judgment may be entered in any competent court.</w:t>
            </w:r>
          </w:p>
        </w:tc>
        <w:tc>
          <w:tcPr>
            <w:tcW w:type="dxa" w:w="936"/>
          </w:tcPr>
          <w:p>
            <w:pPr>
              <w:spacing w:after="20"/>
            </w:pPr>
            <w:r/>
            <w:r>
              <w:rPr>
                <w:b w:val="0"/>
                <w:i w:val="0"/>
                <w:sz w:val="17"/>
              </w:rPr>
              <w:t>10</w:t>
            </w:r>
          </w:p>
        </w:tc>
      </w:tr>
      <w:tr>
        <w:tc>
          <w:tcPr>
            <w:tcW w:type="dxa" w:w="1872"/>
            <w:shd w:val="clear" w:color="auto" w:fill="EEF2F8"/>
          </w:tcPr>
          <w:p>
            <w:pPr>
              <w:spacing w:after="20"/>
            </w:pPr>
            <w:r/>
            <w:r>
              <w:rPr>
                <w:b/>
                <w:i w:val="0"/>
                <w:sz w:val="17"/>
              </w:rPr>
              <w:t>Jury waiver</w:t>
            </w:r>
          </w:p>
        </w:tc>
        <w:tc>
          <w:tcPr>
            <w:tcW w:type="dxa" w:w="1080"/>
            <w:shd w:val="clear" w:color="auto" w:fill="EEF2F8"/>
          </w:tcPr>
          <w:p>
            <w:pPr>
              <w:spacing w:after="20"/>
            </w:pPr>
            <w:r/>
            <w:r>
              <w:rPr>
                <w:b w:val="0"/>
                <w:i w:val="0"/>
                <w:sz w:val="17"/>
              </w:rPr>
              <w:t>§15.4(c)</w:t>
            </w:r>
          </w:p>
        </w:tc>
        <w:tc>
          <w:tcPr>
            <w:tcW w:type="dxa" w:w="5760"/>
            <w:shd w:val="clear" w:color="auto" w:fill="EEF2F8"/>
          </w:tcPr>
          <w:p>
            <w:pPr>
              <w:spacing w:after="20"/>
            </w:pPr>
            <w:r/>
            <w:r>
              <w:rPr>
                <w:b w:val="0"/>
                <w:i w:val="0"/>
                <w:sz w:val="17"/>
              </w:rPr>
              <w:t>Mutual, irrevocable.</w:t>
            </w:r>
          </w:p>
        </w:tc>
        <w:tc>
          <w:tcPr>
            <w:tcW w:type="dxa" w:w="936"/>
            <w:shd w:val="clear" w:color="auto" w:fill="EEF2F8"/>
          </w:tcPr>
          <w:p>
            <w:pPr>
              <w:spacing w:after="20"/>
            </w:pPr>
            <w:r/>
            <w:r>
              <w:rPr>
                <w:b w:val="0"/>
                <w:i w:val="0"/>
                <w:sz w:val="17"/>
              </w:rPr>
              <w:t>—</w:t>
            </w:r>
          </w:p>
        </w:tc>
      </w:tr>
      <w:tr>
        <w:tc>
          <w:tcPr>
            <w:tcW w:type="dxa" w:w="1872"/>
          </w:tcPr>
          <w:p>
            <w:pPr>
              <w:spacing w:after="20"/>
            </w:pPr>
            <w:r/>
            <w:r>
              <w:rPr>
                <w:b/>
                <w:i w:val="0"/>
                <w:sz w:val="17"/>
              </w:rPr>
              <w:t>Attorneys’ fees</w:t>
            </w:r>
          </w:p>
        </w:tc>
        <w:tc>
          <w:tcPr>
            <w:tcW w:type="dxa" w:w="1080"/>
          </w:tcPr>
          <w:p>
            <w:pPr>
              <w:spacing w:after="20"/>
            </w:pPr>
            <w:r/>
            <w:r>
              <w:rPr>
                <w:b w:val="0"/>
                <w:i w:val="0"/>
                <w:sz w:val="17"/>
              </w:rPr>
              <w:t>§§15.4(d), 12.3</w:t>
            </w:r>
          </w:p>
        </w:tc>
        <w:tc>
          <w:tcPr>
            <w:tcW w:type="dxa" w:w="5760"/>
          </w:tcPr>
          <w:p>
            <w:pPr>
              <w:spacing w:after="20"/>
            </w:pPr>
            <w:r/>
            <w:r>
              <w:rPr>
                <w:b w:val="0"/>
                <w:i w:val="0"/>
                <w:sz w:val="17"/>
              </w:rPr>
              <w:t>Prevailing party recovers reasonable fees and costs (including escrow interpleader).</w:t>
            </w:r>
          </w:p>
        </w:tc>
        <w:tc>
          <w:tcPr>
            <w:tcW w:type="dxa" w:w="936"/>
          </w:tcPr>
          <w:p>
            <w:pPr>
              <w:spacing w:after="20"/>
            </w:pPr>
            <w:r/>
            <w:r>
              <w:rPr>
                <w:b w:val="0"/>
                <w:i w:val="0"/>
                <w:sz w:val="17"/>
              </w:rPr>
              <w:t>—</w:t>
            </w:r>
          </w:p>
        </w:tc>
      </w:tr>
    </w:tbl>
    <w:p>
      <w:pPr>
        <w:spacing w:after="40"/>
      </w:pPr>
    </w:p>
    <w:p>
      <w:pPr>
        <w:pStyle w:val="Heading2"/>
      </w:pPr>
      <w:r>
        <w:t>4.19 Other Provisions</w:t>
      </w:r>
    </w:p>
    <w:tbl>
      <w:tblPr>
        <w:tblStyle w:val="TableGrid"/>
        <w:tblW w:type="dxa" w:w="9648"/>
        <w:jc w:val="center"/>
        <w:tblLayout w:type="fixed"/>
        <w:tblLook w:firstColumn="1" w:firstRow="1" w:lastColumn="0" w:lastRow="0" w:noHBand="0" w:noVBand="1" w:val="04A0"/>
        <w:tblLayout w:type="fixed"/>
      </w:tblPr>
      <w:tblGrid>
        <w:gridCol w:w="1872"/>
        <w:gridCol w:w="1080"/>
        <w:gridCol w:w="5760"/>
        <w:gridCol w:w="936"/>
      </w:tblGrid>
      <w:tr>
        <w:trPr>
          <w:tblHeader w:val="true"/>
        </w:trPr>
        <w:tc>
          <w:tcPr>
            <w:tcW w:type="dxa" w:w="1872"/>
            <w:shd w:val="clear" w:color="auto" w:fill="1F3864"/>
          </w:tcPr>
          <w:p>
            <w:r/>
            <w:r>
              <w:rPr>
                <w:b/>
                <w:color w:val="FFFFFF"/>
                <w:sz w:val="17"/>
              </w:rPr>
              <w:t>Term</w:t>
            </w:r>
          </w:p>
        </w:tc>
        <w:tc>
          <w:tcPr>
            <w:tcW w:type="dxa" w:w="1080"/>
            <w:shd w:val="clear" w:color="auto" w:fill="1F3864"/>
          </w:tcPr>
          <w:p>
            <w:r/>
            <w:r>
              <w:rPr>
                <w:b/>
                <w:color w:val="FFFFFF"/>
                <w:sz w:val="17"/>
              </w:rPr>
              <w:t>PSA §</w:t>
            </w:r>
          </w:p>
        </w:tc>
        <w:tc>
          <w:tcPr>
            <w:tcW w:type="dxa" w:w="5760"/>
            <w:shd w:val="clear" w:color="auto" w:fill="1F3864"/>
          </w:tcPr>
          <w:p>
            <w:r/>
            <w:r>
              <w:rPr>
                <w:b/>
                <w:color w:val="FFFFFF"/>
                <w:sz w:val="17"/>
              </w:rPr>
              <w:t>Extracted Provision</w:t>
            </w:r>
          </w:p>
        </w:tc>
        <w:tc>
          <w:tcPr>
            <w:tcW w:type="dxa" w:w="936"/>
            <w:shd w:val="clear" w:color="auto" w:fill="1F3864"/>
          </w:tcPr>
          <w:p>
            <w:r/>
            <w:r>
              <w:rPr>
                <w:b/>
                <w:color w:val="FFFFFF"/>
                <w:sz w:val="17"/>
              </w:rPr>
              <w:t>Flag</w:t>
            </w:r>
          </w:p>
        </w:tc>
      </w:tr>
      <w:tr>
        <w:tc>
          <w:tcPr>
            <w:tcW w:type="dxa" w:w="1872"/>
          </w:tcPr>
          <w:p>
            <w:pPr>
              <w:spacing w:after="20"/>
            </w:pPr>
            <w:r/>
            <w:r>
              <w:rPr>
                <w:b/>
                <w:i w:val="0"/>
                <w:sz w:val="17"/>
              </w:rPr>
              <w:t>Notices</w:t>
            </w:r>
          </w:p>
        </w:tc>
        <w:tc>
          <w:tcPr>
            <w:tcW w:type="dxa" w:w="1080"/>
          </w:tcPr>
          <w:p>
            <w:pPr>
              <w:spacing w:after="20"/>
            </w:pPr>
            <w:r/>
            <w:r>
              <w:rPr>
                <w:b w:val="0"/>
                <w:i w:val="0"/>
                <w:sz w:val="17"/>
              </w:rPr>
              <w:t>§15.2</w:t>
            </w:r>
          </w:p>
        </w:tc>
        <w:tc>
          <w:tcPr>
            <w:tcW w:type="dxa" w:w="5760"/>
          </w:tcPr>
          <w:p>
            <w:pPr>
              <w:spacing w:after="20"/>
            </w:pPr>
            <w:r/>
            <w:r>
              <w:rPr>
                <w:b w:val="0"/>
                <w:i w:val="0"/>
                <w:sz w:val="17"/>
              </w:rPr>
              <w:t>Writing; personal delivery, national overnight courier, or email (email must be followed by overnight courier within 1 BD); effective on receipt or refusal. Addresses as listed in Part 4.1.</w:t>
            </w:r>
          </w:p>
        </w:tc>
        <w:tc>
          <w:tcPr>
            <w:tcW w:type="dxa" w:w="936"/>
          </w:tcPr>
          <w:p>
            <w:pPr>
              <w:spacing w:after="20"/>
            </w:pPr>
            <w:r/>
            <w:r>
              <w:rPr>
                <w:b w:val="0"/>
                <w:i w:val="0"/>
                <w:sz w:val="17"/>
              </w:rPr>
              <w:t>23</w:t>
            </w:r>
          </w:p>
        </w:tc>
      </w:tr>
      <w:tr>
        <w:tc>
          <w:tcPr>
            <w:tcW w:type="dxa" w:w="1872"/>
            <w:shd w:val="clear" w:color="auto" w:fill="EEF2F8"/>
          </w:tcPr>
          <w:p>
            <w:pPr>
              <w:spacing w:after="20"/>
            </w:pPr>
            <w:r/>
            <w:r>
              <w:rPr>
                <w:b/>
                <w:i w:val="0"/>
                <w:sz w:val="17"/>
              </w:rPr>
              <w:t>Entire agreement; amendments</w:t>
            </w:r>
          </w:p>
        </w:tc>
        <w:tc>
          <w:tcPr>
            <w:tcW w:type="dxa" w:w="1080"/>
            <w:shd w:val="clear" w:color="auto" w:fill="EEF2F8"/>
          </w:tcPr>
          <w:p>
            <w:pPr>
              <w:spacing w:after="20"/>
            </w:pPr>
            <w:r/>
            <w:r>
              <w:rPr>
                <w:b w:val="0"/>
                <w:i w:val="0"/>
                <w:sz w:val="17"/>
              </w:rPr>
              <w:t>§§15.5–15.6</w:t>
            </w:r>
          </w:p>
        </w:tc>
        <w:tc>
          <w:tcPr>
            <w:tcW w:type="dxa" w:w="5760"/>
            <w:shd w:val="clear" w:color="auto" w:fill="EEF2F8"/>
          </w:tcPr>
          <w:p>
            <w:pPr>
              <w:spacing w:after="20"/>
            </w:pPr>
            <w:r/>
            <w:r>
              <w:rPr>
                <w:b w:val="0"/>
                <w:i w:val="0"/>
                <w:sz w:val="17"/>
              </w:rPr>
              <w:t>Integration clause; amendments and waivers only by signed writing.</w:t>
            </w:r>
          </w:p>
        </w:tc>
        <w:tc>
          <w:tcPr>
            <w:tcW w:type="dxa" w:w="936"/>
            <w:shd w:val="clear" w:color="auto" w:fill="EEF2F8"/>
          </w:tcPr>
          <w:p>
            <w:pPr>
              <w:spacing w:after="20"/>
            </w:pPr>
            <w:r/>
            <w:r>
              <w:rPr>
                <w:b w:val="0"/>
                <w:i w:val="0"/>
                <w:sz w:val="17"/>
              </w:rPr>
              <w:t>—</w:t>
            </w:r>
          </w:p>
        </w:tc>
      </w:tr>
      <w:tr>
        <w:tc>
          <w:tcPr>
            <w:tcW w:type="dxa" w:w="1872"/>
          </w:tcPr>
          <w:p>
            <w:pPr>
              <w:spacing w:after="20"/>
            </w:pPr>
            <w:r/>
            <w:r>
              <w:rPr>
                <w:b/>
                <w:i w:val="0"/>
                <w:sz w:val="17"/>
              </w:rPr>
              <w:t>Counterparts; e-signatures</w:t>
            </w:r>
          </w:p>
        </w:tc>
        <w:tc>
          <w:tcPr>
            <w:tcW w:type="dxa" w:w="1080"/>
          </w:tcPr>
          <w:p>
            <w:pPr>
              <w:spacing w:after="20"/>
            </w:pPr>
            <w:r/>
            <w:r>
              <w:rPr>
                <w:b w:val="0"/>
                <w:i w:val="0"/>
                <w:sz w:val="17"/>
              </w:rPr>
              <w:t>§15.7</w:t>
            </w:r>
          </w:p>
        </w:tc>
        <w:tc>
          <w:tcPr>
            <w:tcW w:type="dxa" w:w="5760"/>
          </w:tcPr>
          <w:p>
            <w:pPr>
              <w:spacing w:after="20"/>
            </w:pPr>
            <w:r/>
            <w:r>
              <w:rPr>
                <w:b w:val="0"/>
                <w:i w:val="0"/>
                <w:sz w:val="17"/>
              </w:rPr>
              <w:t>PDF/DocuSign signatures binding.</w:t>
            </w:r>
          </w:p>
        </w:tc>
        <w:tc>
          <w:tcPr>
            <w:tcW w:type="dxa" w:w="936"/>
          </w:tcPr>
          <w:p>
            <w:pPr>
              <w:spacing w:after="20"/>
            </w:pPr>
            <w:r/>
            <w:r>
              <w:rPr>
                <w:b w:val="0"/>
                <w:i w:val="0"/>
                <w:sz w:val="17"/>
              </w:rPr>
              <w:t>29</w:t>
            </w:r>
          </w:p>
        </w:tc>
      </w:tr>
      <w:tr>
        <w:tc>
          <w:tcPr>
            <w:tcW w:type="dxa" w:w="1872"/>
            <w:shd w:val="clear" w:color="auto" w:fill="EEF2F8"/>
          </w:tcPr>
          <w:p>
            <w:pPr>
              <w:spacing w:after="20"/>
            </w:pPr>
            <w:r/>
            <w:r>
              <w:rPr>
                <w:b/>
                <w:i w:val="0"/>
                <w:sz w:val="17"/>
              </w:rPr>
              <w:t>Confidentiality</w:t>
            </w:r>
          </w:p>
        </w:tc>
        <w:tc>
          <w:tcPr>
            <w:tcW w:type="dxa" w:w="1080"/>
            <w:shd w:val="clear" w:color="auto" w:fill="EEF2F8"/>
          </w:tcPr>
          <w:p>
            <w:pPr>
              <w:spacing w:after="20"/>
            </w:pPr>
            <w:r/>
            <w:r>
              <w:rPr>
                <w:b w:val="0"/>
                <w:i w:val="0"/>
                <w:sz w:val="17"/>
              </w:rPr>
              <w:t>§15.8</w:t>
            </w:r>
          </w:p>
        </w:tc>
        <w:tc>
          <w:tcPr>
            <w:tcW w:type="dxa" w:w="5760"/>
            <w:shd w:val="clear" w:color="auto" w:fill="EEF2F8"/>
          </w:tcPr>
          <w:p>
            <w:pPr>
              <w:spacing w:after="20"/>
            </w:pPr>
            <w:r/>
            <w:r>
              <w:rPr>
                <w:b w:val="0"/>
                <w:i w:val="0"/>
                <w:sz w:val="17"/>
              </w:rPr>
              <w:t>Terms and exchanged information confidential, except disclosures to lenders, investors, partners, members, consultants and advisors (need-to-know, subject to confidentiality), as required by law, or as agreed; survives Closing or termination for 2 years.</w:t>
            </w:r>
          </w:p>
        </w:tc>
        <w:tc>
          <w:tcPr>
            <w:tcW w:type="dxa" w:w="936"/>
            <w:shd w:val="clear" w:color="auto" w:fill="EEF2F8"/>
          </w:tcPr>
          <w:p>
            <w:pPr>
              <w:spacing w:after="20"/>
            </w:pPr>
            <w:r/>
            <w:r>
              <w:rPr>
                <w:b w:val="0"/>
                <w:i w:val="0"/>
                <w:sz w:val="17"/>
              </w:rPr>
              <w:t>26</w:t>
            </w:r>
          </w:p>
        </w:tc>
      </w:tr>
      <w:tr>
        <w:tc>
          <w:tcPr>
            <w:tcW w:type="dxa" w:w="1872"/>
          </w:tcPr>
          <w:p>
            <w:pPr>
              <w:spacing w:after="20"/>
            </w:pPr>
            <w:r/>
            <w:r>
              <w:rPr>
                <w:b/>
                <w:i w:val="0"/>
                <w:sz w:val="17"/>
              </w:rPr>
              <w:t>Severability; no third-party beneficiaries</w:t>
            </w:r>
          </w:p>
        </w:tc>
        <w:tc>
          <w:tcPr>
            <w:tcW w:type="dxa" w:w="1080"/>
          </w:tcPr>
          <w:p>
            <w:pPr>
              <w:spacing w:after="20"/>
            </w:pPr>
            <w:r/>
            <w:r>
              <w:rPr>
                <w:b w:val="0"/>
                <w:i w:val="0"/>
                <w:sz w:val="17"/>
              </w:rPr>
              <w:t>§§15.9–15.10</w:t>
            </w:r>
          </w:p>
        </w:tc>
        <w:tc>
          <w:tcPr>
            <w:tcW w:type="dxa" w:w="5760"/>
          </w:tcPr>
          <w:p>
            <w:pPr>
              <w:spacing w:after="20"/>
            </w:pPr>
            <w:r/>
            <w:r>
              <w:rPr>
                <w:b w:val="0"/>
                <w:i w:val="0"/>
                <w:sz w:val="17"/>
              </w:rPr>
              <w:t>Escrow Agent is a third-party beneficiary of Article III.</w:t>
            </w:r>
          </w:p>
        </w:tc>
        <w:tc>
          <w:tcPr>
            <w:tcW w:type="dxa" w:w="936"/>
          </w:tcPr>
          <w:p>
            <w:pPr>
              <w:spacing w:after="20"/>
            </w:pPr>
            <w:r/>
            <w:r>
              <w:rPr>
                <w:b w:val="0"/>
                <w:i w:val="0"/>
                <w:sz w:val="17"/>
              </w:rPr>
              <w:t>—</w:t>
            </w:r>
          </w:p>
        </w:tc>
      </w:tr>
      <w:tr>
        <w:tc>
          <w:tcPr>
            <w:tcW w:type="dxa" w:w="1872"/>
            <w:shd w:val="clear" w:color="auto" w:fill="EEF2F8"/>
          </w:tcPr>
          <w:p>
            <w:pPr>
              <w:spacing w:after="20"/>
            </w:pPr>
            <w:r/>
            <w:r>
              <w:rPr>
                <w:b/>
                <w:i w:val="0"/>
                <w:sz w:val="17"/>
              </w:rPr>
              <w:t>Time of the essence</w:t>
            </w:r>
          </w:p>
        </w:tc>
        <w:tc>
          <w:tcPr>
            <w:tcW w:type="dxa" w:w="1080"/>
            <w:shd w:val="clear" w:color="auto" w:fill="EEF2F8"/>
          </w:tcPr>
          <w:p>
            <w:pPr>
              <w:spacing w:after="20"/>
            </w:pPr>
            <w:r/>
            <w:r>
              <w:rPr>
                <w:b w:val="0"/>
                <w:i w:val="0"/>
                <w:sz w:val="17"/>
              </w:rPr>
              <w:t>§15.11</w:t>
            </w:r>
          </w:p>
        </w:tc>
        <w:tc>
          <w:tcPr>
            <w:tcW w:type="dxa" w:w="5760"/>
            <w:shd w:val="clear" w:color="auto" w:fill="EEF2F8"/>
          </w:tcPr>
          <w:p>
            <w:pPr>
              <w:spacing w:after="20"/>
            </w:pPr>
            <w:r/>
            <w:r>
              <w:rPr>
                <w:b w:val="0"/>
                <w:i w:val="0"/>
                <w:sz w:val="17"/>
              </w:rPr>
              <w:t>Applies to all dates and periods.</w:t>
            </w:r>
          </w:p>
        </w:tc>
        <w:tc>
          <w:tcPr>
            <w:tcW w:type="dxa" w:w="936"/>
            <w:shd w:val="clear" w:color="auto" w:fill="EEF2F8"/>
          </w:tcPr>
          <w:p>
            <w:pPr>
              <w:spacing w:after="20"/>
            </w:pPr>
            <w:r/>
            <w:r>
              <w:rPr>
                <w:b w:val="0"/>
                <w:i w:val="0"/>
                <w:sz w:val="17"/>
              </w:rPr>
              <w:t>11, 24</w:t>
            </w:r>
          </w:p>
        </w:tc>
      </w:tr>
      <w:tr>
        <w:tc>
          <w:tcPr>
            <w:tcW w:type="dxa" w:w="1872"/>
          </w:tcPr>
          <w:p>
            <w:pPr>
              <w:spacing w:after="20"/>
            </w:pPr>
            <w:r/>
            <w:r>
              <w:rPr>
                <w:b/>
                <w:i w:val="0"/>
                <w:sz w:val="17"/>
              </w:rPr>
              <w:t>Post-Closing cooperation</w:t>
            </w:r>
          </w:p>
        </w:tc>
        <w:tc>
          <w:tcPr>
            <w:tcW w:type="dxa" w:w="1080"/>
          </w:tcPr>
          <w:p>
            <w:pPr>
              <w:spacing w:after="20"/>
            </w:pPr>
            <w:r/>
            <w:r>
              <w:rPr>
                <w:b w:val="0"/>
                <w:i w:val="0"/>
                <w:sz w:val="17"/>
              </w:rPr>
              <w:t>§15.12</w:t>
            </w:r>
          </w:p>
        </w:tc>
        <w:tc>
          <w:tcPr>
            <w:tcW w:type="dxa" w:w="5760"/>
          </w:tcPr>
          <w:p>
            <w:pPr>
              <w:spacing w:after="20"/>
            </w:pPr>
            <w:r/>
            <w:r>
              <w:rPr>
                <w:b w:val="0"/>
                <w:i w:val="0"/>
                <w:sz w:val="17"/>
              </w:rPr>
              <w:t>90 days (through April 15, 2025): transition cooperation, inquiries, records access and further assurances.</w:t>
            </w:r>
          </w:p>
        </w:tc>
        <w:tc>
          <w:tcPr>
            <w:tcW w:type="dxa" w:w="936"/>
          </w:tcPr>
          <w:p>
            <w:pPr>
              <w:spacing w:after="20"/>
            </w:pPr>
            <w:r/>
            <w:r>
              <w:rPr>
                <w:b w:val="0"/>
                <w:i w:val="0"/>
                <w:sz w:val="17"/>
              </w:rPr>
              <w:t>22</w:t>
            </w:r>
          </w:p>
        </w:tc>
      </w:tr>
      <w:tr>
        <w:tc>
          <w:tcPr>
            <w:tcW w:type="dxa" w:w="1872"/>
            <w:shd w:val="clear" w:color="auto" w:fill="EEF2F8"/>
          </w:tcPr>
          <w:p>
            <w:pPr>
              <w:spacing w:after="20"/>
            </w:pPr>
            <w:r/>
            <w:r>
              <w:rPr>
                <w:b/>
                <w:i w:val="0"/>
                <w:sz w:val="17"/>
              </w:rPr>
              <w:t>Exhibits / schedules</w:t>
            </w:r>
          </w:p>
        </w:tc>
        <w:tc>
          <w:tcPr>
            <w:tcW w:type="dxa" w:w="1080"/>
            <w:shd w:val="clear" w:color="auto" w:fill="EEF2F8"/>
          </w:tcPr>
          <w:p>
            <w:pPr>
              <w:spacing w:after="20"/>
            </w:pPr>
            <w:r/>
            <w:r>
              <w:rPr>
                <w:b w:val="0"/>
                <w:i w:val="0"/>
                <w:sz w:val="17"/>
              </w:rPr>
              <w:t>—</w:t>
            </w:r>
          </w:p>
        </w:tc>
        <w:tc>
          <w:tcPr>
            <w:tcW w:type="dxa" w:w="5760"/>
            <w:shd w:val="clear" w:color="auto" w:fill="EEF2F8"/>
          </w:tcPr>
          <w:p>
            <w:pPr>
              <w:spacing w:after="20"/>
            </w:pPr>
            <w:r/>
            <w:r>
              <w:rPr>
                <w:b w:val="0"/>
                <w:i w:val="0"/>
                <w:sz w:val="17"/>
              </w:rPr>
              <w:t>Sched. 7.1(e) Pending Litigation; Exh. A Legal Description; Exh. B Permitted Exceptions; Exh. C Special Warranty Deed; Exh. D Assignment of Leases; Exh. E Tenant Estoppel; Exh. F Rent Roll (9/15/2024); Exh. G Service Contracts; Exh. H Assignment of Service Contracts (Schedule 1 blank). No form of SNDA, bill of sale, Seller’s Closing Certificate, tenant notice letter or general assignment of intangibles is attached.</w:t>
            </w:r>
          </w:p>
        </w:tc>
        <w:tc>
          <w:tcPr>
            <w:tcW w:type="dxa" w:w="936"/>
            <w:shd w:val="clear" w:color="auto" w:fill="EEF2F8"/>
          </w:tcPr>
          <w:p>
            <w:pPr>
              <w:spacing w:after="20"/>
            </w:pPr>
            <w:r/>
            <w:r>
              <w:rPr>
                <w:b w:val="0"/>
                <w:i w:val="0"/>
                <w:sz w:val="17"/>
              </w:rPr>
              <w:t>30</w:t>
            </w:r>
          </w:p>
        </w:tc>
      </w:tr>
    </w:tbl>
    <w:p>
      <w:pPr>
        <w:spacing w:after="40"/>
      </w:pPr>
    </w:p>
    <w:p>
      <w:pPr>
        <w:pStyle w:val="Heading1"/>
      </w:pPr>
      <w:r>
        <w:t>Part 5 — Rent Roll Summary and Lease Analysis (Exhibit F, as of September 15, 2024)</w:t>
      </w:r>
    </w:p>
    <w:p>
      <w:pPr>
        <w:spacing w:after="80"/>
      </w:pPr>
      <w:r>
        <w:rPr>
          <w:b w:val="0"/>
          <w:i w:val="0"/>
          <w:sz w:val="19"/>
        </w:rPr>
        <w:t>HMS re-footed Exhibit F: leased RSF (258,140), monthly base rent ($725,657.67), annual base rent ($8,707,892) and security deposits ($487,320) all tie. NovaTech’s monthly rent × 12 differs from its annual rent by $0.04 (rounding). Average in-place base rent ≈ $33.73/RSF (computed).</w:t>
      </w:r>
    </w:p>
    <w:tbl>
      <w:tblPr>
        <w:tblStyle w:val="TableGrid"/>
        <w:tblW w:type="dxa" w:w="11088"/>
        <w:jc w:val="center"/>
        <w:tblLayout w:type="fixed"/>
        <w:tblLook w:firstColumn="1" w:firstRow="1" w:lastColumn="0" w:lastRow="0" w:noHBand="0" w:noVBand="1" w:val="04A0"/>
        <w:tblLayout w:type="fixed"/>
      </w:tblPr>
      <w:tblGrid>
        <w:gridCol w:w="360"/>
        <w:gridCol w:w="1728"/>
        <w:gridCol w:w="576"/>
        <w:gridCol w:w="720"/>
        <w:gridCol w:w="648"/>
        <w:gridCol w:w="1008"/>
        <w:gridCol w:w="648"/>
        <w:gridCol w:w="936"/>
        <w:gridCol w:w="1008"/>
        <w:gridCol w:w="1368"/>
        <w:gridCol w:w="720"/>
        <w:gridCol w:w="1368"/>
      </w:tblGrid>
      <w:tr>
        <w:trPr>
          <w:tblHeader w:val="true"/>
        </w:trPr>
        <w:tc>
          <w:tcPr>
            <w:tcW w:type="dxa" w:w="360"/>
            <w:shd w:val="clear" w:color="auto" w:fill="1F3864"/>
          </w:tcPr>
          <w:p>
            <w:r/>
            <w:r>
              <w:rPr>
                <w:b/>
                <w:color w:val="FFFFFF"/>
                <w:sz w:val="14"/>
              </w:rPr>
              <w:t>#</w:t>
            </w:r>
          </w:p>
        </w:tc>
        <w:tc>
          <w:tcPr>
            <w:tcW w:type="dxa" w:w="1728"/>
            <w:shd w:val="clear" w:color="auto" w:fill="1F3864"/>
          </w:tcPr>
          <w:p>
            <w:r/>
            <w:r>
              <w:rPr>
                <w:b/>
                <w:color w:val="FFFFFF"/>
                <w:sz w:val="14"/>
              </w:rPr>
              <w:t>Tenant</w:t>
            </w:r>
          </w:p>
        </w:tc>
        <w:tc>
          <w:tcPr>
            <w:tcW w:type="dxa" w:w="576"/>
            <w:shd w:val="clear" w:color="auto" w:fill="1F3864"/>
          </w:tcPr>
          <w:p>
            <w:r/>
            <w:r>
              <w:rPr>
                <w:b/>
                <w:color w:val="FFFFFF"/>
                <w:sz w:val="14"/>
              </w:rPr>
              <w:t>Suite</w:t>
            </w:r>
          </w:p>
        </w:tc>
        <w:tc>
          <w:tcPr>
            <w:tcW w:type="dxa" w:w="720"/>
            <w:shd w:val="clear" w:color="auto" w:fill="1F3864"/>
          </w:tcPr>
          <w:p>
            <w:r/>
            <w:r>
              <w:rPr>
                <w:b/>
                <w:color w:val="FFFFFF"/>
                <w:sz w:val="14"/>
              </w:rPr>
              <w:t>RSF</w:t>
            </w:r>
          </w:p>
        </w:tc>
        <w:tc>
          <w:tcPr>
            <w:tcW w:type="dxa" w:w="648"/>
            <w:shd w:val="clear" w:color="auto" w:fill="1F3864"/>
          </w:tcPr>
          <w:p>
            <w:r/>
            <w:r>
              <w:rPr>
                <w:b/>
                <w:color w:val="FFFFFF"/>
                <w:sz w:val="14"/>
              </w:rPr>
              <w:t>% Leased</w:t>
            </w:r>
          </w:p>
        </w:tc>
        <w:tc>
          <w:tcPr>
            <w:tcW w:type="dxa" w:w="1008"/>
            <w:shd w:val="clear" w:color="auto" w:fill="1F3864"/>
          </w:tcPr>
          <w:p>
            <w:r/>
            <w:r>
              <w:rPr>
                <w:b/>
                <w:color w:val="FFFFFF"/>
                <w:sz w:val="14"/>
              </w:rPr>
              <w:t>Annual Base Rent</w:t>
            </w:r>
          </w:p>
        </w:tc>
        <w:tc>
          <w:tcPr>
            <w:tcW w:type="dxa" w:w="648"/>
            <w:shd w:val="clear" w:color="auto" w:fill="1F3864"/>
          </w:tcPr>
          <w:p>
            <w:r/>
            <w:r>
              <w:rPr>
                <w:b/>
                <w:color w:val="FFFFFF"/>
                <w:sz w:val="14"/>
              </w:rPr>
              <w:t>$/RSF</w:t>
            </w:r>
          </w:p>
        </w:tc>
        <w:tc>
          <w:tcPr>
            <w:tcW w:type="dxa" w:w="936"/>
            <w:shd w:val="clear" w:color="auto" w:fill="1F3864"/>
          </w:tcPr>
          <w:p>
            <w:r/>
            <w:r>
              <w:rPr>
                <w:b/>
                <w:color w:val="FFFFFF"/>
                <w:sz w:val="14"/>
              </w:rPr>
              <w:t>Expiration</w:t>
            </w:r>
          </w:p>
        </w:tc>
        <w:tc>
          <w:tcPr>
            <w:tcW w:type="dxa" w:w="1008"/>
            <w:shd w:val="clear" w:color="auto" w:fill="1F3864"/>
          </w:tcPr>
          <w:p>
            <w:r/>
            <w:r>
              <w:rPr>
                <w:b/>
                <w:color w:val="FFFFFF"/>
                <w:sz w:val="14"/>
              </w:rPr>
              <w:t>Security Deposit</w:t>
            </w:r>
          </w:p>
        </w:tc>
        <w:tc>
          <w:tcPr>
            <w:tcW w:type="dxa" w:w="1368"/>
            <w:shd w:val="clear" w:color="auto" w:fill="1F3864"/>
          </w:tcPr>
          <w:p>
            <w:r/>
            <w:r>
              <w:rPr>
                <w:b/>
                <w:color w:val="FFFFFF"/>
                <w:sz w:val="14"/>
              </w:rPr>
              <w:t>Options / Termination</w:t>
            </w:r>
          </w:p>
        </w:tc>
        <w:tc>
          <w:tcPr>
            <w:tcW w:type="dxa" w:w="720"/>
            <w:shd w:val="clear" w:color="auto" w:fill="1F3864"/>
          </w:tcPr>
          <w:p>
            <w:r/>
            <w:r>
              <w:rPr>
                <w:b/>
                <w:color w:val="FFFFFF"/>
                <w:sz w:val="14"/>
              </w:rPr>
              <w:t>SNDA (&gt;15k RSF)</w:t>
            </w:r>
          </w:p>
        </w:tc>
        <w:tc>
          <w:tcPr>
            <w:tcW w:type="dxa" w:w="1368"/>
            <w:shd w:val="clear" w:color="auto" w:fill="1F3864"/>
          </w:tcPr>
          <w:p>
            <w:r/>
            <w:r>
              <w:rPr>
                <w:b/>
                <w:color w:val="FFFFFF"/>
                <w:sz w:val="14"/>
              </w:rPr>
              <w:t>HMS Notes</w:t>
            </w:r>
          </w:p>
        </w:tc>
      </w:tr>
      <w:tr>
        <w:tc>
          <w:tcPr>
            <w:tcW w:type="dxa" w:w="360"/>
          </w:tcPr>
          <w:p>
            <w:pPr>
              <w:spacing w:after="20"/>
            </w:pPr>
            <w:r/>
            <w:r>
              <w:rPr>
                <w:b w:val="0"/>
                <w:i w:val="0"/>
                <w:sz w:val="14"/>
              </w:rPr>
              <w:t>1</w:t>
            </w:r>
          </w:p>
        </w:tc>
        <w:tc>
          <w:tcPr>
            <w:tcW w:type="dxa" w:w="1728"/>
          </w:tcPr>
          <w:p>
            <w:pPr>
              <w:spacing w:after="20"/>
            </w:pPr>
            <w:r/>
            <w:r>
              <w:rPr>
                <w:b w:val="0"/>
                <w:i w:val="0"/>
                <w:sz w:val="14"/>
              </w:rPr>
              <w:t>Valerian Defense Systems Inc.</w:t>
            </w:r>
          </w:p>
        </w:tc>
        <w:tc>
          <w:tcPr>
            <w:tcW w:type="dxa" w:w="576"/>
          </w:tcPr>
          <w:p>
            <w:pPr>
              <w:spacing w:after="20"/>
            </w:pPr>
            <w:r/>
            <w:r>
              <w:rPr>
                <w:b w:val="0"/>
                <w:i w:val="0"/>
                <w:sz w:val="14"/>
              </w:rPr>
              <w:t>A-100</w:t>
            </w:r>
          </w:p>
        </w:tc>
        <w:tc>
          <w:tcPr>
            <w:tcW w:type="dxa" w:w="720"/>
          </w:tcPr>
          <w:p>
            <w:pPr>
              <w:spacing w:after="20"/>
            </w:pPr>
            <w:r/>
            <w:r>
              <w:rPr>
                <w:b w:val="0"/>
                <w:i w:val="0"/>
                <w:sz w:val="14"/>
              </w:rPr>
              <w:t>62,400</w:t>
            </w:r>
          </w:p>
        </w:tc>
        <w:tc>
          <w:tcPr>
            <w:tcW w:type="dxa" w:w="648"/>
          </w:tcPr>
          <w:p>
            <w:pPr>
              <w:spacing w:after="20"/>
            </w:pPr>
            <w:r/>
            <w:r>
              <w:rPr>
                <w:b w:val="0"/>
                <w:i w:val="0"/>
                <w:sz w:val="14"/>
              </w:rPr>
              <w:t>24.2%</w:t>
            </w:r>
          </w:p>
        </w:tc>
        <w:tc>
          <w:tcPr>
            <w:tcW w:type="dxa" w:w="1008"/>
          </w:tcPr>
          <w:p>
            <w:pPr>
              <w:spacing w:after="20"/>
            </w:pPr>
            <w:r/>
            <w:r>
              <w:rPr>
                <w:b w:val="0"/>
                <w:i w:val="0"/>
                <w:sz w:val="14"/>
              </w:rPr>
              <w:t>$2,246,400</w:t>
            </w:r>
          </w:p>
        </w:tc>
        <w:tc>
          <w:tcPr>
            <w:tcW w:type="dxa" w:w="648"/>
          </w:tcPr>
          <w:p>
            <w:pPr>
              <w:spacing w:after="20"/>
            </w:pPr>
            <w:r/>
            <w:r>
              <w:rPr>
                <w:b w:val="0"/>
                <w:i w:val="0"/>
                <w:sz w:val="14"/>
              </w:rPr>
              <w:t>$36.00</w:t>
            </w:r>
          </w:p>
        </w:tc>
        <w:tc>
          <w:tcPr>
            <w:tcW w:type="dxa" w:w="936"/>
          </w:tcPr>
          <w:p>
            <w:pPr>
              <w:spacing w:after="20"/>
            </w:pPr>
            <w:r/>
            <w:r>
              <w:rPr>
                <w:b w:val="0"/>
                <w:i w:val="0"/>
                <w:sz w:val="14"/>
              </w:rPr>
              <w:t>03/31/2029</w:t>
            </w:r>
          </w:p>
        </w:tc>
        <w:tc>
          <w:tcPr>
            <w:tcW w:type="dxa" w:w="1008"/>
          </w:tcPr>
          <w:p>
            <w:pPr>
              <w:spacing w:after="20"/>
            </w:pPr>
            <w:r/>
            <w:r>
              <w:rPr>
                <w:b w:val="0"/>
                <w:i w:val="0"/>
                <w:sz w:val="14"/>
              </w:rPr>
              <w:t>$168,480 (0.9 mo)</w:t>
            </w:r>
          </w:p>
        </w:tc>
        <w:tc>
          <w:tcPr>
            <w:tcW w:type="dxa" w:w="1368"/>
          </w:tcPr>
          <w:p>
            <w:pPr>
              <w:spacing w:after="20"/>
            </w:pPr>
            <w:r/>
            <w:r>
              <w:rPr>
                <w:b w:val="0"/>
                <w:i w:val="0"/>
                <w:sz w:val="14"/>
              </w:rPr>
              <w:t>Two 5-yr renewals; gov’t contractor/GSA space</w:t>
            </w:r>
          </w:p>
        </w:tc>
        <w:tc>
          <w:tcPr>
            <w:tcW w:type="dxa" w:w="720"/>
          </w:tcPr>
          <w:p>
            <w:pPr>
              <w:spacing w:after="20"/>
            </w:pPr>
            <w:r/>
            <w:r>
              <w:rPr>
                <w:b w:val="0"/>
                <w:i w:val="0"/>
                <w:sz w:val="14"/>
              </w:rPr>
              <w:t>Yes</w:t>
            </w:r>
          </w:p>
        </w:tc>
        <w:tc>
          <w:tcPr>
            <w:tcW w:type="dxa" w:w="1368"/>
          </w:tcPr>
          <w:p>
            <w:pPr>
              <w:spacing w:after="20"/>
            </w:pPr>
            <w:r/>
            <w:r>
              <w:rPr>
                <w:b w:val="0"/>
                <w:i w:val="0"/>
                <w:sz w:val="14"/>
              </w:rPr>
              <w:t>Indispensable for 80% estoppel test</w:t>
            </w:r>
          </w:p>
        </w:tc>
      </w:tr>
      <w:tr>
        <w:tc>
          <w:tcPr>
            <w:tcW w:type="dxa" w:w="360"/>
            <w:shd w:val="clear" w:color="auto" w:fill="EEF2F8"/>
          </w:tcPr>
          <w:p>
            <w:pPr>
              <w:spacing w:after="20"/>
            </w:pPr>
            <w:r/>
            <w:r>
              <w:rPr>
                <w:b w:val="0"/>
                <w:i w:val="0"/>
                <w:sz w:val="14"/>
              </w:rPr>
              <w:t>2</w:t>
            </w:r>
          </w:p>
        </w:tc>
        <w:tc>
          <w:tcPr>
            <w:tcW w:type="dxa" w:w="1728"/>
            <w:shd w:val="clear" w:color="auto" w:fill="EEF2F8"/>
          </w:tcPr>
          <w:p>
            <w:pPr>
              <w:spacing w:after="20"/>
            </w:pPr>
            <w:r/>
            <w:r>
              <w:rPr>
                <w:b w:val="0"/>
                <w:i w:val="0"/>
                <w:sz w:val="14"/>
              </w:rPr>
              <w:t>Chesapeake Financial Advisors Inc.</w:t>
            </w:r>
          </w:p>
        </w:tc>
        <w:tc>
          <w:tcPr>
            <w:tcW w:type="dxa" w:w="576"/>
            <w:shd w:val="clear" w:color="auto" w:fill="EEF2F8"/>
          </w:tcPr>
          <w:p>
            <w:pPr>
              <w:spacing w:after="20"/>
            </w:pPr>
            <w:r/>
            <w:r>
              <w:rPr>
                <w:b w:val="0"/>
                <w:i w:val="0"/>
                <w:sz w:val="14"/>
              </w:rPr>
              <w:t>A-300</w:t>
            </w:r>
          </w:p>
        </w:tc>
        <w:tc>
          <w:tcPr>
            <w:tcW w:type="dxa" w:w="720"/>
            <w:shd w:val="clear" w:color="auto" w:fill="EEF2F8"/>
          </w:tcPr>
          <w:p>
            <w:pPr>
              <w:spacing w:after="20"/>
            </w:pPr>
            <w:r/>
            <w:r>
              <w:rPr>
                <w:b w:val="0"/>
                <w:i w:val="0"/>
                <w:sz w:val="14"/>
              </w:rPr>
              <w:t>31,200</w:t>
            </w:r>
          </w:p>
        </w:tc>
        <w:tc>
          <w:tcPr>
            <w:tcW w:type="dxa" w:w="648"/>
            <w:shd w:val="clear" w:color="auto" w:fill="EEF2F8"/>
          </w:tcPr>
          <w:p>
            <w:pPr>
              <w:spacing w:after="20"/>
            </w:pPr>
            <w:r/>
            <w:r>
              <w:rPr>
                <w:b w:val="0"/>
                <w:i w:val="0"/>
                <w:sz w:val="14"/>
              </w:rPr>
              <w:t>12.1%</w:t>
            </w:r>
          </w:p>
        </w:tc>
        <w:tc>
          <w:tcPr>
            <w:tcW w:type="dxa" w:w="1008"/>
            <w:shd w:val="clear" w:color="auto" w:fill="EEF2F8"/>
          </w:tcPr>
          <w:p>
            <w:pPr>
              <w:spacing w:after="20"/>
            </w:pPr>
            <w:r/>
            <w:r>
              <w:rPr>
                <w:b w:val="0"/>
                <w:i w:val="0"/>
                <w:sz w:val="14"/>
              </w:rPr>
              <w:t>$1,060,800</w:t>
            </w:r>
          </w:p>
        </w:tc>
        <w:tc>
          <w:tcPr>
            <w:tcW w:type="dxa" w:w="648"/>
            <w:shd w:val="clear" w:color="auto" w:fill="EEF2F8"/>
          </w:tcPr>
          <w:p>
            <w:pPr>
              <w:spacing w:after="20"/>
            </w:pPr>
            <w:r/>
            <w:r>
              <w:rPr>
                <w:b w:val="0"/>
                <w:i w:val="0"/>
                <w:sz w:val="14"/>
              </w:rPr>
              <w:t>$34.00</w:t>
            </w:r>
          </w:p>
        </w:tc>
        <w:tc>
          <w:tcPr>
            <w:tcW w:type="dxa" w:w="936"/>
            <w:shd w:val="clear" w:color="auto" w:fill="EEF2F8"/>
          </w:tcPr>
          <w:p>
            <w:pPr>
              <w:spacing w:after="20"/>
            </w:pPr>
            <w:r/>
            <w:r>
              <w:rPr>
                <w:b w:val="0"/>
                <w:i w:val="0"/>
                <w:sz w:val="14"/>
              </w:rPr>
              <w:t>12/31/2026</w:t>
            </w:r>
          </w:p>
        </w:tc>
        <w:tc>
          <w:tcPr>
            <w:tcW w:type="dxa" w:w="1008"/>
            <w:shd w:val="clear" w:color="auto" w:fill="EEF2F8"/>
          </w:tcPr>
          <w:p>
            <w:pPr>
              <w:spacing w:after="20"/>
            </w:pPr>
            <w:r/>
            <w:r>
              <w:rPr>
                <w:b w:val="0"/>
                <w:i w:val="0"/>
                <w:sz w:val="14"/>
              </w:rPr>
              <w:t>$53,040</w:t>
            </w:r>
          </w:p>
        </w:tc>
        <w:tc>
          <w:tcPr>
            <w:tcW w:type="dxa" w:w="1368"/>
            <w:shd w:val="clear" w:color="auto" w:fill="EEF2F8"/>
          </w:tcPr>
          <w:p>
            <w:pPr>
              <w:spacing w:after="20"/>
            </w:pPr>
            <w:r/>
            <w:r>
              <w:rPr>
                <w:b w:val="0"/>
                <w:i w:val="0"/>
                <w:sz w:val="14"/>
              </w:rPr>
              <w:t>None; no renewal</w:t>
            </w:r>
          </w:p>
        </w:tc>
        <w:tc>
          <w:tcPr>
            <w:tcW w:type="dxa" w:w="720"/>
            <w:shd w:val="clear" w:color="auto" w:fill="EEF2F8"/>
          </w:tcPr>
          <w:p>
            <w:pPr>
              <w:spacing w:after="20"/>
            </w:pPr>
            <w:r/>
            <w:r>
              <w:rPr>
                <w:b w:val="0"/>
                <w:i w:val="0"/>
                <w:sz w:val="14"/>
              </w:rPr>
              <w:t>Yes</w:t>
            </w:r>
          </w:p>
        </w:tc>
        <w:tc>
          <w:tcPr>
            <w:tcW w:type="dxa" w:w="1368"/>
            <w:shd w:val="clear" w:color="auto" w:fill="EEF2F8"/>
          </w:tcPr>
          <w:p>
            <w:pPr>
              <w:spacing w:after="20"/>
            </w:pPr>
            <w:r/>
            <w:r>
              <w:rPr>
                <w:b w:val="0"/>
                <w:i w:val="0"/>
                <w:sz w:val="14"/>
              </w:rPr>
              <w:t>Rollover risk</w:t>
            </w:r>
          </w:p>
        </w:tc>
      </w:tr>
      <w:tr>
        <w:tc>
          <w:tcPr>
            <w:tcW w:type="dxa" w:w="360"/>
          </w:tcPr>
          <w:p>
            <w:pPr>
              <w:spacing w:after="20"/>
            </w:pPr>
            <w:r/>
            <w:r>
              <w:rPr>
                <w:b w:val="0"/>
                <w:i w:val="0"/>
                <w:sz w:val="14"/>
              </w:rPr>
              <w:t>3</w:t>
            </w:r>
          </w:p>
        </w:tc>
        <w:tc>
          <w:tcPr>
            <w:tcW w:type="dxa" w:w="1728"/>
          </w:tcPr>
          <w:p>
            <w:pPr>
              <w:spacing w:after="20"/>
            </w:pPr>
            <w:r/>
            <w:r>
              <w:rPr>
                <w:b w:val="0"/>
                <w:i w:val="0"/>
                <w:sz w:val="14"/>
              </w:rPr>
              <w:t>Pinnacle Ridge Consulting LLC</w:t>
            </w:r>
          </w:p>
        </w:tc>
        <w:tc>
          <w:tcPr>
            <w:tcW w:type="dxa" w:w="576"/>
          </w:tcPr>
          <w:p>
            <w:pPr>
              <w:spacing w:after="20"/>
            </w:pPr>
            <w:r/>
            <w:r>
              <w:rPr>
                <w:b w:val="0"/>
                <w:i w:val="0"/>
                <w:sz w:val="14"/>
              </w:rPr>
              <w:t>A-400</w:t>
            </w:r>
          </w:p>
        </w:tc>
        <w:tc>
          <w:tcPr>
            <w:tcW w:type="dxa" w:w="720"/>
          </w:tcPr>
          <w:p>
            <w:pPr>
              <w:spacing w:after="20"/>
            </w:pPr>
            <w:r/>
            <w:r>
              <w:rPr>
                <w:b w:val="0"/>
                <w:i w:val="0"/>
                <w:sz w:val="14"/>
              </w:rPr>
              <w:t>12,200</w:t>
            </w:r>
          </w:p>
        </w:tc>
        <w:tc>
          <w:tcPr>
            <w:tcW w:type="dxa" w:w="648"/>
          </w:tcPr>
          <w:p>
            <w:pPr>
              <w:spacing w:after="20"/>
            </w:pPr>
            <w:r/>
            <w:r>
              <w:rPr>
                <w:b w:val="0"/>
                <w:i w:val="0"/>
                <w:sz w:val="14"/>
              </w:rPr>
              <w:t>4.7%</w:t>
            </w:r>
          </w:p>
        </w:tc>
        <w:tc>
          <w:tcPr>
            <w:tcW w:type="dxa" w:w="1008"/>
          </w:tcPr>
          <w:p>
            <w:pPr>
              <w:spacing w:after="20"/>
            </w:pPr>
            <w:r/>
            <w:r>
              <w:rPr>
                <w:b w:val="0"/>
                <w:i w:val="0"/>
                <w:sz w:val="14"/>
              </w:rPr>
              <w:t>$380,640</w:t>
            </w:r>
          </w:p>
        </w:tc>
        <w:tc>
          <w:tcPr>
            <w:tcW w:type="dxa" w:w="648"/>
          </w:tcPr>
          <w:p>
            <w:pPr>
              <w:spacing w:after="20"/>
            </w:pPr>
            <w:r/>
            <w:r>
              <w:rPr>
                <w:b w:val="0"/>
                <w:i w:val="0"/>
                <w:sz w:val="14"/>
              </w:rPr>
              <w:t>$31.20</w:t>
            </w:r>
          </w:p>
        </w:tc>
        <w:tc>
          <w:tcPr>
            <w:tcW w:type="dxa" w:w="936"/>
          </w:tcPr>
          <w:p>
            <w:pPr>
              <w:spacing w:after="20"/>
            </w:pPr>
            <w:r/>
            <w:r>
              <w:rPr>
                <w:b w:val="0"/>
                <w:i w:val="0"/>
                <w:sz w:val="14"/>
              </w:rPr>
              <w:t>05/31/2026</w:t>
            </w:r>
          </w:p>
        </w:tc>
        <w:tc>
          <w:tcPr>
            <w:tcW w:type="dxa" w:w="1008"/>
          </w:tcPr>
          <w:p>
            <w:pPr>
              <w:spacing w:after="20"/>
            </w:pPr>
            <w:r/>
            <w:r>
              <w:rPr>
                <w:b w:val="0"/>
                <w:i w:val="0"/>
                <w:sz w:val="14"/>
              </w:rPr>
              <w:t>$19,032</w:t>
            </w:r>
          </w:p>
        </w:tc>
        <w:tc>
          <w:tcPr>
            <w:tcW w:type="dxa" w:w="1368"/>
          </w:tcPr>
          <w:p>
            <w:pPr>
              <w:spacing w:after="20"/>
            </w:pPr>
            <w:r/>
            <w:r>
              <w:rPr>
                <w:b w:val="0"/>
                <w:i w:val="0"/>
                <w:sz w:val="14"/>
              </w:rPr>
              <w:t>None</w:t>
            </w:r>
          </w:p>
        </w:tc>
        <w:tc>
          <w:tcPr>
            <w:tcW w:type="dxa" w:w="720"/>
          </w:tcPr>
          <w:p>
            <w:pPr>
              <w:spacing w:after="20"/>
            </w:pPr>
            <w:r/>
            <w:r>
              <w:rPr>
                <w:b w:val="0"/>
                <w:i w:val="0"/>
                <w:sz w:val="14"/>
              </w:rPr>
              <w:t>No</w:t>
            </w:r>
          </w:p>
        </w:tc>
        <w:tc>
          <w:tcPr>
            <w:tcW w:type="dxa" w:w="1368"/>
          </w:tcPr>
          <w:p>
            <w:pPr>
              <w:spacing w:after="20"/>
            </w:pPr>
            <w:r/>
          </w:p>
        </w:tc>
      </w:tr>
      <w:tr>
        <w:tc>
          <w:tcPr>
            <w:tcW w:type="dxa" w:w="360"/>
            <w:shd w:val="clear" w:color="auto" w:fill="EEF2F8"/>
          </w:tcPr>
          <w:p>
            <w:pPr>
              <w:spacing w:after="20"/>
            </w:pPr>
            <w:r/>
            <w:r>
              <w:rPr>
                <w:b w:val="0"/>
                <w:i w:val="0"/>
                <w:sz w:val="14"/>
              </w:rPr>
              <w:t>4</w:t>
            </w:r>
          </w:p>
        </w:tc>
        <w:tc>
          <w:tcPr>
            <w:tcW w:type="dxa" w:w="1728"/>
            <w:shd w:val="clear" w:color="auto" w:fill="EEF2F8"/>
          </w:tcPr>
          <w:p>
            <w:pPr>
              <w:spacing w:after="20"/>
            </w:pPr>
            <w:r/>
            <w:r>
              <w:rPr>
                <w:b w:val="0"/>
                <w:i w:val="0"/>
                <w:sz w:val="14"/>
              </w:rPr>
              <w:t>CrestLine Engineering LLC</w:t>
            </w:r>
          </w:p>
        </w:tc>
        <w:tc>
          <w:tcPr>
            <w:tcW w:type="dxa" w:w="576"/>
            <w:shd w:val="clear" w:color="auto" w:fill="EEF2F8"/>
          </w:tcPr>
          <w:p>
            <w:pPr>
              <w:spacing w:after="20"/>
            </w:pPr>
            <w:r/>
            <w:r>
              <w:rPr>
                <w:b w:val="0"/>
                <w:i w:val="0"/>
                <w:sz w:val="14"/>
              </w:rPr>
              <w:t>A-500</w:t>
            </w:r>
          </w:p>
        </w:tc>
        <w:tc>
          <w:tcPr>
            <w:tcW w:type="dxa" w:w="720"/>
            <w:shd w:val="clear" w:color="auto" w:fill="EEF2F8"/>
          </w:tcPr>
          <w:p>
            <w:pPr>
              <w:spacing w:after="20"/>
            </w:pPr>
            <w:r/>
            <w:r>
              <w:rPr>
                <w:b w:val="0"/>
                <w:i w:val="0"/>
                <w:sz w:val="14"/>
              </w:rPr>
              <w:t>7,140</w:t>
            </w:r>
          </w:p>
        </w:tc>
        <w:tc>
          <w:tcPr>
            <w:tcW w:type="dxa" w:w="648"/>
            <w:shd w:val="clear" w:color="auto" w:fill="EEF2F8"/>
          </w:tcPr>
          <w:p>
            <w:pPr>
              <w:spacing w:after="20"/>
            </w:pPr>
            <w:r/>
            <w:r>
              <w:rPr>
                <w:b w:val="0"/>
                <w:i w:val="0"/>
                <w:sz w:val="14"/>
              </w:rPr>
              <w:t>2.8%</w:t>
            </w:r>
          </w:p>
        </w:tc>
        <w:tc>
          <w:tcPr>
            <w:tcW w:type="dxa" w:w="1008"/>
            <w:shd w:val="clear" w:color="auto" w:fill="EEF2F8"/>
          </w:tcPr>
          <w:p>
            <w:pPr>
              <w:spacing w:after="20"/>
            </w:pPr>
            <w:r/>
            <w:r>
              <w:rPr>
                <w:b w:val="0"/>
                <w:i w:val="0"/>
                <w:sz w:val="14"/>
              </w:rPr>
              <w:t>$227,052</w:t>
            </w:r>
          </w:p>
        </w:tc>
        <w:tc>
          <w:tcPr>
            <w:tcW w:type="dxa" w:w="648"/>
            <w:shd w:val="clear" w:color="auto" w:fill="EEF2F8"/>
          </w:tcPr>
          <w:p>
            <w:pPr>
              <w:spacing w:after="20"/>
            </w:pPr>
            <w:r/>
            <w:r>
              <w:rPr>
                <w:b w:val="0"/>
                <w:i w:val="0"/>
                <w:sz w:val="14"/>
              </w:rPr>
              <w:t>$31.80</w:t>
            </w:r>
          </w:p>
        </w:tc>
        <w:tc>
          <w:tcPr>
            <w:tcW w:type="dxa" w:w="936"/>
            <w:shd w:val="clear" w:color="auto" w:fill="EEF2F8"/>
          </w:tcPr>
          <w:p>
            <w:pPr>
              <w:spacing w:after="20"/>
            </w:pPr>
            <w:r/>
            <w:r>
              <w:rPr>
                <w:b w:val="0"/>
                <w:i w:val="0"/>
                <w:sz w:val="14"/>
              </w:rPr>
              <w:t>07/31/2027</w:t>
            </w:r>
          </w:p>
        </w:tc>
        <w:tc>
          <w:tcPr>
            <w:tcW w:type="dxa" w:w="1008"/>
            <w:shd w:val="clear" w:color="auto" w:fill="EEF2F8"/>
          </w:tcPr>
          <w:p>
            <w:pPr>
              <w:spacing w:after="20"/>
            </w:pPr>
            <w:r/>
            <w:r>
              <w:rPr>
                <w:b w:val="0"/>
                <w:i w:val="0"/>
                <w:sz w:val="14"/>
              </w:rPr>
              <w:t>$11,352</w:t>
            </w:r>
          </w:p>
        </w:tc>
        <w:tc>
          <w:tcPr>
            <w:tcW w:type="dxa" w:w="1368"/>
            <w:shd w:val="clear" w:color="auto" w:fill="EEF2F8"/>
          </w:tcPr>
          <w:p>
            <w:pPr>
              <w:spacing w:after="20"/>
            </w:pPr>
            <w:r/>
            <w:r>
              <w:rPr>
                <w:b w:val="0"/>
                <w:i w:val="0"/>
                <w:sz w:val="14"/>
              </w:rPr>
              <w:t>None</w:t>
            </w:r>
          </w:p>
        </w:tc>
        <w:tc>
          <w:tcPr>
            <w:tcW w:type="dxa" w:w="720"/>
            <w:shd w:val="clear" w:color="auto" w:fill="EEF2F8"/>
          </w:tcPr>
          <w:p>
            <w:pPr>
              <w:spacing w:after="20"/>
            </w:pPr>
            <w:r/>
            <w:r>
              <w:rPr>
                <w:b w:val="0"/>
                <w:i w:val="0"/>
                <w:sz w:val="14"/>
              </w:rPr>
              <w:t>No</w:t>
            </w:r>
          </w:p>
        </w:tc>
        <w:tc>
          <w:tcPr>
            <w:tcW w:type="dxa" w:w="1368"/>
            <w:shd w:val="clear" w:color="auto" w:fill="EEF2F8"/>
          </w:tcPr>
          <w:p>
            <w:pPr>
              <w:spacing w:after="20"/>
            </w:pPr>
            <w:r/>
            <w:r>
              <w:rPr>
                <w:b w:val="0"/>
                <w:i w:val="0"/>
                <w:sz w:val="14"/>
              </w:rPr>
              <w:t>Pending TI $485,000 (≈$67.93/SF)</w:t>
            </w:r>
          </w:p>
        </w:tc>
      </w:tr>
      <w:tr>
        <w:tc>
          <w:tcPr>
            <w:tcW w:type="dxa" w:w="360"/>
          </w:tcPr>
          <w:p>
            <w:pPr>
              <w:spacing w:after="20"/>
            </w:pPr>
            <w:r/>
            <w:r>
              <w:rPr>
                <w:b w:val="0"/>
                <w:i w:val="0"/>
                <w:sz w:val="14"/>
              </w:rPr>
              <w:t>5</w:t>
            </w:r>
          </w:p>
        </w:tc>
        <w:tc>
          <w:tcPr>
            <w:tcW w:type="dxa" w:w="1728"/>
          </w:tcPr>
          <w:p>
            <w:pPr>
              <w:spacing w:after="20"/>
            </w:pPr>
            <w:r/>
            <w:r>
              <w:rPr>
                <w:b w:val="0"/>
                <w:i w:val="0"/>
                <w:sz w:val="14"/>
              </w:rPr>
              <w:t>NovaTech Solutions LLC</w:t>
            </w:r>
          </w:p>
        </w:tc>
        <w:tc>
          <w:tcPr>
            <w:tcW w:type="dxa" w:w="576"/>
          </w:tcPr>
          <w:p>
            <w:pPr>
              <w:spacing w:after="20"/>
            </w:pPr>
            <w:r/>
            <w:r>
              <w:rPr>
                <w:b w:val="0"/>
                <w:i w:val="0"/>
                <w:sz w:val="14"/>
              </w:rPr>
              <w:t>B-200</w:t>
            </w:r>
          </w:p>
        </w:tc>
        <w:tc>
          <w:tcPr>
            <w:tcW w:type="dxa" w:w="720"/>
          </w:tcPr>
          <w:p>
            <w:pPr>
              <w:spacing w:after="20"/>
            </w:pPr>
            <w:r/>
            <w:r>
              <w:rPr>
                <w:b w:val="0"/>
                <w:i w:val="0"/>
                <w:sz w:val="14"/>
              </w:rPr>
              <w:t>38,500</w:t>
            </w:r>
          </w:p>
        </w:tc>
        <w:tc>
          <w:tcPr>
            <w:tcW w:type="dxa" w:w="648"/>
          </w:tcPr>
          <w:p>
            <w:pPr>
              <w:spacing w:after="20"/>
            </w:pPr>
            <w:r/>
            <w:r>
              <w:rPr>
                <w:b w:val="0"/>
                <w:i w:val="0"/>
                <w:sz w:val="14"/>
              </w:rPr>
              <w:t>14.9%</w:t>
            </w:r>
          </w:p>
        </w:tc>
        <w:tc>
          <w:tcPr>
            <w:tcW w:type="dxa" w:w="1008"/>
          </w:tcPr>
          <w:p>
            <w:pPr>
              <w:spacing w:after="20"/>
            </w:pPr>
            <w:r/>
            <w:r>
              <w:rPr>
                <w:b w:val="0"/>
                <w:i w:val="0"/>
                <w:sz w:val="14"/>
              </w:rPr>
              <w:t>$1,347,500</w:t>
            </w:r>
          </w:p>
        </w:tc>
        <w:tc>
          <w:tcPr>
            <w:tcW w:type="dxa" w:w="648"/>
          </w:tcPr>
          <w:p>
            <w:pPr>
              <w:spacing w:after="20"/>
            </w:pPr>
            <w:r/>
            <w:r>
              <w:rPr>
                <w:b w:val="0"/>
                <w:i w:val="0"/>
                <w:sz w:val="14"/>
              </w:rPr>
              <w:t>$35.00</w:t>
            </w:r>
          </w:p>
        </w:tc>
        <w:tc>
          <w:tcPr>
            <w:tcW w:type="dxa" w:w="936"/>
          </w:tcPr>
          <w:p>
            <w:pPr>
              <w:spacing w:after="20"/>
            </w:pPr>
            <w:r/>
            <w:r>
              <w:rPr>
                <w:b w:val="0"/>
                <w:i w:val="0"/>
                <w:sz w:val="14"/>
              </w:rPr>
              <w:t>06/30/2027</w:t>
            </w:r>
          </w:p>
        </w:tc>
        <w:tc>
          <w:tcPr>
            <w:tcW w:type="dxa" w:w="1008"/>
          </w:tcPr>
          <w:p>
            <w:pPr>
              <w:spacing w:after="20"/>
            </w:pPr>
            <w:r/>
            <w:r>
              <w:rPr>
                <w:b w:val="0"/>
                <w:i w:val="0"/>
                <w:sz w:val="14"/>
              </w:rPr>
              <w:t>$67,375</w:t>
            </w:r>
          </w:p>
        </w:tc>
        <w:tc>
          <w:tcPr>
            <w:tcW w:type="dxa" w:w="1368"/>
          </w:tcPr>
          <w:p>
            <w:pPr>
              <w:spacing w:after="20"/>
            </w:pPr>
            <w:r/>
            <w:r>
              <w:rPr>
                <w:b w:val="0"/>
                <w:i w:val="0"/>
                <w:sz w:val="14"/>
              </w:rPr>
              <w:t>One 5-yr renewal</w:t>
            </w:r>
          </w:p>
        </w:tc>
        <w:tc>
          <w:tcPr>
            <w:tcW w:type="dxa" w:w="720"/>
          </w:tcPr>
          <w:p>
            <w:pPr>
              <w:spacing w:after="20"/>
            </w:pPr>
            <w:r/>
            <w:r>
              <w:rPr>
                <w:b w:val="0"/>
                <w:i w:val="0"/>
                <w:sz w:val="14"/>
              </w:rPr>
              <w:t>Yes</w:t>
            </w:r>
          </w:p>
        </w:tc>
        <w:tc>
          <w:tcPr>
            <w:tcW w:type="dxa" w:w="1368"/>
          </w:tcPr>
          <w:p>
            <w:pPr>
              <w:spacing w:after="20"/>
            </w:pPr>
            <w:r/>
          </w:p>
        </w:tc>
      </w:tr>
      <w:tr>
        <w:tc>
          <w:tcPr>
            <w:tcW w:type="dxa" w:w="360"/>
            <w:shd w:val="clear" w:color="auto" w:fill="EEF2F8"/>
          </w:tcPr>
          <w:p>
            <w:pPr>
              <w:spacing w:after="20"/>
            </w:pPr>
            <w:r/>
            <w:r>
              <w:rPr>
                <w:b w:val="0"/>
                <w:i w:val="0"/>
                <w:sz w:val="14"/>
              </w:rPr>
              <w:t>6</w:t>
            </w:r>
          </w:p>
        </w:tc>
        <w:tc>
          <w:tcPr>
            <w:tcW w:type="dxa" w:w="1728"/>
            <w:shd w:val="clear" w:color="auto" w:fill="EEF2F8"/>
          </w:tcPr>
          <w:p>
            <w:pPr>
              <w:spacing w:after="20"/>
            </w:pPr>
            <w:r/>
            <w:r>
              <w:rPr>
                <w:b w:val="0"/>
                <w:i w:val="0"/>
                <w:sz w:val="14"/>
              </w:rPr>
              <w:t>RedPoint Marketing Inc.</w:t>
            </w:r>
          </w:p>
        </w:tc>
        <w:tc>
          <w:tcPr>
            <w:tcW w:type="dxa" w:w="576"/>
            <w:shd w:val="clear" w:color="auto" w:fill="EEF2F8"/>
          </w:tcPr>
          <w:p>
            <w:pPr>
              <w:spacing w:after="20"/>
            </w:pPr>
            <w:r/>
            <w:r>
              <w:rPr>
                <w:b w:val="0"/>
                <w:i w:val="0"/>
                <w:sz w:val="14"/>
              </w:rPr>
              <w:t>B-300</w:t>
            </w:r>
          </w:p>
        </w:tc>
        <w:tc>
          <w:tcPr>
            <w:tcW w:type="dxa" w:w="720"/>
            <w:shd w:val="clear" w:color="auto" w:fill="EEF2F8"/>
          </w:tcPr>
          <w:p>
            <w:pPr>
              <w:spacing w:after="20"/>
            </w:pPr>
            <w:r/>
            <w:r>
              <w:rPr>
                <w:b w:val="0"/>
                <w:i w:val="0"/>
                <w:sz w:val="14"/>
              </w:rPr>
              <w:t>22,500</w:t>
            </w:r>
          </w:p>
        </w:tc>
        <w:tc>
          <w:tcPr>
            <w:tcW w:type="dxa" w:w="648"/>
            <w:shd w:val="clear" w:color="auto" w:fill="EEF2F8"/>
          </w:tcPr>
          <w:p>
            <w:pPr>
              <w:spacing w:after="20"/>
            </w:pPr>
            <w:r/>
            <w:r>
              <w:rPr>
                <w:b w:val="0"/>
                <w:i w:val="0"/>
                <w:sz w:val="14"/>
              </w:rPr>
              <w:t>8.7%</w:t>
            </w:r>
          </w:p>
        </w:tc>
        <w:tc>
          <w:tcPr>
            <w:tcW w:type="dxa" w:w="1008"/>
            <w:shd w:val="clear" w:color="auto" w:fill="EEF2F8"/>
          </w:tcPr>
          <w:p>
            <w:pPr>
              <w:spacing w:after="20"/>
            </w:pPr>
            <w:r/>
            <w:r>
              <w:rPr>
                <w:b w:val="0"/>
                <w:i w:val="0"/>
                <w:sz w:val="14"/>
              </w:rPr>
              <w:t>$742,500</w:t>
            </w:r>
          </w:p>
        </w:tc>
        <w:tc>
          <w:tcPr>
            <w:tcW w:type="dxa" w:w="648"/>
            <w:shd w:val="clear" w:color="auto" w:fill="EEF2F8"/>
          </w:tcPr>
          <w:p>
            <w:pPr>
              <w:spacing w:after="20"/>
            </w:pPr>
            <w:r/>
            <w:r>
              <w:rPr>
                <w:b w:val="0"/>
                <w:i w:val="0"/>
                <w:sz w:val="14"/>
              </w:rPr>
              <w:t>$33.00</w:t>
            </w:r>
          </w:p>
        </w:tc>
        <w:tc>
          <w:tcPr>
            <w:tcW w:type="dxa" w:w="936"/>
            <w:shd w:val="clear" w:color="auto" w:fill="EEF2F8"/>
          </w:tcPr>
          <w:p>
            <w:pPr>
              <w:spacing w:after="20"/>
            </w:pPr>
            <w:r/>
            <w:r>
              <w:rPr>
                <w:b w:val="0"/>
                <w:i w:val="0"/>
                <w:sz w:val="14"/>
              </w:rPr>
              <w:t>08/31/2025</w:t>
            </w:r>
          </w:p>
        </w:tc>
        <w:tc>
          <w:tcPr>
            <w:tcW w:type="dxa" w:w="1008"/>
            <w:shd w:val="clear" w:color="auto" w:fill="EEF2F8"/>
          </w:tcPr>
          <w:p>
            <w:pPr>
              <w:spacing w:after="20"/>
            </w:pPr>
            <w:r/>
            <w:r>
              <w:rPr>
                <w:b w:val="0"/>
                <w:i w:val="0"/>
                <w:sz w:val="14"/>
              </w:rPr>
              <w:t>$37,125</w:t>
            </w:r>
          </w:p>
        </w:tc>
        <w:tc>
          <w:tcPr>
            <w:tcW w:type="dxa" w:w="1368"/>
            <w:shd w:val="clear" w:color="auto" w:fill="EEF2F8"/>
          </w:tcPr>
          <w:p>
            <w:pPr>
              <w:spacing w:after="20"/>
            </w:pPr>
            <w:r/>
            <w:r>
              <w:rPr>
                <w:b w:val="0"/>
                <w:i w:val="0"/>
                <w:sz w:val="14"/>
              </w:rPr>
              <w:t>Early termination on 90 days’ notice</w:t>
            </w:r>
          </w:p>
        </w:tc>
        <w:tc>
          <w:tcPr>
            <w:tcW w:type="dxa" w:w="720"/>
            <w:shd w:val="clear" w:color="auto" w:fill="EEF2F8"/>
          </w:tcPr>
          <w:p>
            <w:pPr>
              <w:spacing w:after="20"/>
            </w:pPr>
            <w:r/>
            <w:r>
              <w:rPr>
                <w:b w:val="0"/>
                <w:i w:val="0"/>
                <w:sz w:val="14"/>
              </w:rPr>
              <w:t>Yes</w:t>
            </w:r>
          </w:p>
        </w:tc>
        <w:tc>
          <w:tcPr>
            <w:tcW w:type="dxa" w:w="1368"/>
            <w:shd w:val="clear" w:color="auto" w:fill="EEF2F8"/>
          </w:tcPr>
          <w:p>
            <w:pPr>
              <w:spacing w:after="20"/>
            </w:pPr>
            <w:r/>
            <w:r>
              <w:rPr>
                <w:b w:val="0"/>
                <w:i w:val="0"/>
                <w:sz w:val="14"/>
              </w:rPr>
              <w:t>Expires ≈7.5 mo post-Closing</w:t>
            </w:r>
          </w:p>
        </w:tc>
      </w:tr>
      <w:tr>
        <w:tc>
          <w:tcPr>
            <w:tcW w:type="dxa" w:w="360"/>
          </w:tcPr>
          <w:p>
            <w:pPr>
              <w:spacing w:after="20"/>
            </w:pPr>
            <w:r/>
            <w:r>
              <w:rPr>
                <w:b w:val="0"/>
                <w:i w:val="0"/>
                <w:sz w:val="14"/>
              </w:rPr>
              <w:t>7</w:t>
            </w:r>
          </w:p>
        </w:tc>
        <w:tc>
          <w:tcPr>
            <w:tcW w:type="dxa" w:w="1728"/>
          </w:tcPr>
          <w:p>
            <w:pPr>
              <w:spacing w:after="20"/>
            </w:pPr>
            <w:r/>
            <w:r>
              <w:rPr>
                <w:b w:val="0"/>
                <w:i w:val="0"/>
                <w:sz w:val="14"/>
              </w:rPr>
              <w:t>Harborview Wealth Management Inc.</w:t>
            </w:r>
          </w:p>
        </w:tc>
        <w:tc>
          <w:tcPr>
            <w:tcW w:type="dxa" w:w="576"/>
          </w:tcPr>
          <w:p>
            <w:pPr>
              <w:spacing w:after="20"/>
            </w:pPr>
            <w:r/>
            <w:r>
              <w:rPr>
                <w:b w:val="0"/>
                <w:i w:val="0"/>
                <w:sz w:val="14"/>
              </w:rPr>
              <w:t>B-400</w:t>
            </w:r>
          </w:p>
        </w:tc>
        <w:tc>
          <w:tcPr>
            <w:tcW w:type="dxa" w:w="720"/>
          </w:tcPr>
          <w:p>
            <w:pPr>
              <w:spacing w:after="20"/>
            </w:pPr>
            <w:r/>
            <w:r>
              <w:rPr>
                <w:b w:val="0"/>
                <w:i w:val="0"/>
                <w:sz w:val="14"/>
              </w:rPr>
              <w:t>10,500</w:t>
            </w:r>
          </w:p>
        </w:tc>
        <w:tc>
          <w:tcPr>
            <w:tcW w:type="dxa" w:w="648"/>
          </w:tcPr>
          <w:p>
            <w:pPr>
              <w:spacing w:after="20"/>
            </w:pPr>
            <w:r/>
            <w:r>
              <w:rPr>
                <w:b w:val="0"/>
                <w:i w:val="0"/>
                <w:sz w:val="14"/>
              </w:rPr>
              <w:t>4.1%</w:t>
            </w:r>
          </w:p>
        </w:tc>
        <w:tc>
          <w:tcPr>
            <w:tcW w:type="dxa" w:w="1008"/>
          </w:tcPr>
          <w:p>
            <w:pPr>
              <w:spacing w:after="20"/>
            </w:pPr>
            <w:r/>
            <w:r>
              <w:rPr>
                <w:b w:val="0"/>
                <w:i w:val="0"/>
                <w:sz w:val="14"/>
              </w:rPr>
              <w:t>$327,600</w:t>
            </w:r>
          </w:p>
        </w:tc>
        <w:tc>
          <w:tcPr>
            <w:tcW w:type="dxa" w:w="648"/>
          </w:tcPr>
          <w:p>
            <w:pPr>
              <w:spacing w:after="20"/>
            </w:pPr>
            <w:r/>
            <w:r>
              <w:rPr>
                <w:b w:val="0"/>
                <w:i w:val="0"/>
                <w:sz w:val="14"/>
              </w:rPr>
              <w:t>$31.20</w:t>
            </w:r>
          </w:p>
        </w:tc>
        <w:tc>
          <w:tcPr>
            <w:tcW w:type="dxa" w:w="936"/>
          </w:tcPr>
          <w:p>
            <w:pPr>
              <w:spacing w:after="20"/>
            </w:pPr>
            <w:r/>
            <w:r>
              <w:rPr>
                <w:b w:val="0"/>
                <w:i w:val="0"/>
                <w:sz w:val="14"/>
              </w:rPr>
              <w:t>10/31/2026</w:t>
            </w:r>
          </w:p>
        </w:tc>
        <w:tc>
          <w:tcPr>
            <w:tcW w:type="dxa" w:w="1008"/>
          </w:tcPr>
          <w:p>
            <w:pPr>
              <w:spacing w:after="20"/>
            </w:pPr>
            <w:r/>
            <w:r>
              <w:rPr>
                <w:b w:val="0"/>
                <w:i w:val="0"/>
                <w:sz w:val="14"/>
              </w:rPr>
              <w:t>$16,380</w:t>
            </w:r>
          </w:p>
        </w:tc>
        <w:tc>
          <w:tcPr>
            <w:tcW w:type="dxa" w:w="1368"/>
          </w:tcPr>
          <w:p>
            <w:pPr>
              <w:spacing w:after="20"/>
            </w:pPr>
            <w:r/>
            <w:r>
              <w:rPr>
                <w:b w:val="0"/>
                <w:i w:val="0"/>
                <w:sz w:val="14"/>
              </w:rPr>
              <w:t>One 3-yr renewal</w:t>
            </w:r>
          </w:p>
        </w:tc>
        <w:tc>
          <w:tcPr>
            <w:tcW w:type="dxa" w:w="720"/>
          </w:tcPr>
          <w:p>
            <w:pPr>
              <w:spacing w:after="20"/>
            </w:pPr>
            <w:r/>
            <w:r>
              <w:rPr>
                <w:b w:val="0"/>
                <w:i w:val="0"/>
                <w:sz w:val="14"/>
              </w:rPr>
              <w:t>No</w:t>
            </w:r>
          </w:p>
        </w:tc>
        <w:tc>
          <w:tcPr>
            <w:tcW w:type="dxa" w:w="1368"/>
          </w:tcPr>
          <w:p>
            <w:pPr>
              <w:spacing w:after="20"/>
            </w:pPr>
            <w:r/>
          </w:p>
        </w:tc>
      </w:tr>
      <w:tr>
        <w:tc>
          <w:tcPr>
            <w:tcW w:type="dxa" w:w="360"/>
            <w:shd w:val="clear" w:color="auto" w:fill="EEF2F8"/>
          </w:tcPr>
          <w:p>
            <w:pPr>
              <w:spacing w:after="20"/>
            </w:pPr>
            <w:r/>
            <w:r>
              <w:rPr>
                <w:b w:val="0"/>
                <w:i w:val="0"/>
                <w:sz w:val="14"/>
              </w:rPr>
              <w:t>8</w:t>
            </w:r>
          </w:p>
        </w:tc>
        <w:tc>
          <w:tcPr>
            <w:tcW w:type="dxa" w:w="1728"/>
            <w:shd w:val="clear" w:color="auto" w:fill="EEF2F8"/>
          </w:tcPr>
          <w:p>
            <w:pPr>
              <w:spacing w:after="20"/>
            </w:pPr>
            <w:r/>
            <w:r>
              <w:rPr>
                <w:b w:val="0"/>
                <w:i w:val="0"/>
                <w:sz w:val="14"/>
              </w:rPr>
              <w:t>Quantum Staffing Solutions Inc.</w:t>
            </w:r>
          </w:p>
        </w:tc>
        <w:tc>
          <w:tcPr>
            <w:tcW w:type="dxa" w:w="576"/>
            <w:shd w:val="clear" w:color="auto" w:fill="EEF2F8"/>
          </w:tcPr>
          <w:p>
            <w:pPr>
              <w:spacing w:after="20"/>
            </w:pPr>
            <w:r/>
            <w:r>
              <w:rPr>
                <w:b w:val="0"/>
                <w:i w:val="0"/>
                <w:sz w:val="14"/>
              </w:rPr>
              <w:t>B-500</w:t>
            </w:r>
          </w:p>
        </w:tc>
        <w:tc>
          <w:tcPr>
            <w:tcW w:type="dxa" w:w="720"/>
            <w:shd w:val="clear" w:color="auto" w:fill="EEF2F8"/>
          </w:tcPr>
          <w:p>
            <w:pPr>
              <w:spacing w:after="20"/>
            </w:pPr>
            <w:r/>
            <w:r>
              <w:rPr>
                <w:b w:val="0"/>
                <w:i w:val="0"/>
                <w:sz w:val="14"/>
              </w:rPr>
              <w:t>8,600</w:t>
            </w:r>
          </w:p>
        </w:tc>
        <w:tc>
          <w:tcPr>
            <w:tcW w:type="dxa" w:w="648"/>
            <w:shd w:val="clear" w:color="auto" w:fill="EEF2F8"/>
          </w:tcPr>
          <w:p>
            <w:pPr>
              <w:spacing w:after="20"/>
            </w:pPr>
            <w:r/>
            <w:r>
              <w:rPr>
                <w:b w:val="0"/>
                <w:i w:val="0"/>
                <w:sz w:val="14"/>
              </w:rPr>
              <w:t>3.3%</w:t>
            </w:r>
          </w:p>
        </w:tc>
        <w:tc>
          <w:tcPr>
            <w:tcW w:type="dxa" w:w="1008"/>
            <w:shd w:val="clear" w:color="auto" w:fill="EEF2F8"/>
          </w:tcPr>
          <w:p>
            <w:pPr>
              <w:spacing w:after="20"/>
            </w:pPr>
            <w:r/>
            <w:r>
              <w:rPr>
                <w:b w:val="0"/>
                <w:i w:val="0"/>
                <w:sz w:val="14"/>
              </w:rPr>
              <w:t>$268,320</w:t>
            </w:r>
          </w:p>
        </w:tc>
        <w:tc>
          <w:tcPr>
            <w:tcW w:type="dxa" w:w="648"/>
            <w:shd w:val="clear" w:color="auto" w:fill="EEF2F8"/>
          </w:tcPr>
          <w:p>
            <w:pPr>
              <w:spacing w:after="20"/>
            </w:pPr>
            <w:r/>
            <w:r>
              <w:rPr>
                <w:b w:val="0"/>
                <w:i w:val="0"/>
                <w:sz w:val="14"/>
              </w:rPr>
              <w:t>$31.20</w:t>
            </w:r>
          </w:p>
        </w:tc>
        <w:tc>
          <w:tcPr>
            <w:tcW w:type="dxa" w:w="936"/>
            <w:shd w:val="clear" w:color="auto" w:fill="EEF2F8"/>
          </w:tcPr>
          <w:p>
            <w:pPr>
              <w:spacing w:after="20"/>
            </w:pPr>
            <w:r/>
            <w:r>
              <w:rPr>
                <w:b w:val="0"/>
                <w:i w:val="0"/>
                <w:sz w:val="14"/>
              </w:rPr>
              <w:t>03/31/2027</w:t>
            </w:r>
          </w:p>
        </w:tc>
        <w:tc>
          <w:tcPr>
            <w:tcW w:type="dxa" w:w="1008"/>
            <w:shd w:val="clear" w:color="auto" w:fill="EEF2F8"/>
          </w:tcPr>
          <w:p>
            <w:pPr>
              <w:spacing w:after="20"/>
            </w:pPr>
            <w:r/>
            <w:r>
              <w:rPr>
                <w:b w:val="0"/>
                <w:i w:val="0"/>
                <w:sz w:val="14"/>
              </w:rPr>
              <w:t>$13,416</w:t>
            </w:r>
          </w:p>
        </w:tc>
        <w:tc>
          <w:tcPr>
            <w:tcW w:type="dxa" w:w="1368"/>
            <w:shd w:val="clear" w:color="auto" w:fill="EEF2F8"/>
          </w:tcPr>
          <w:p>
            <w:pPr>
              <w:spacing w:after="20"/>
            </w:pPr>
            <w:r/>
            <w:r>
              <w:rPr>
                <w:b w:val="0"/>
                <w:i w:val="0"/>
                <w:sz w:val="14"/>
              </w:rPr>
              <w:t>None</w:t>
            </w:r>
          </w:p>
        </w:tc>
        <w:tc>
          <w:tcPr>
            <w:tcW w:type="dxa" w:w="720"/>
            <w:shd w:val="clear" w:color="auto" w:fill="EEF2F8"/>
          </w:tcPr>
          <w:p>
            <w:pPr>
              <w:spacing w:after="20"/>
            </w:pPr>
            <w:r/>
            <w:r>
              <w:rPr>
                <w:b w:val="0"/>
                <w:i w:val="0"/>
                <w:sz w:val="14"/>
              </w:rPr>
              <w:t>No</w:t>
            </w:r>
          </w:p>
        </w:tc>
        <w:tc>
          <w:tcPr>
            <w:tcW w:type="dxa" w:w="1368"/>
            <w:shd w:val="clear" w:color="auto" w:fill="EEF2F8"/>
          </w:tcPr>
          <w:p>
            <w:pPr>
              <w:spacing w:after="20"/>
            </w:pPr>
            <w:r/>
          </w:p>
        </w:tc>
      </w:tr>
      <w:tr>
        <w:tc>
          <w:tcPr>
            <w:tcW w:type="dxa" w:w="360"/>
          </w:tcPr>
          <w:p>
            <w:pPr>
              <w:spacing w:after="20"/>
            </w:pPr>
            <w:r/>
            <w:r>
              <w:rPr>
                <w:b w:val="0"/>
                <w:i w:val="0"/>
                <w:sz w:val="14"/>
              </w:rPr>
              <w:t>9</w:t>
            </w:r>
          </w:p>
        </w:tc>
        <w:tc>
          <w:tcPr>
            <w:tcW w:type="dxa" w:w="1728"/>
          </w:tcPr>
          <w:p>
            <w:pPr>
              <w:spacing w:after="20"/>
            </w:pPr>
            <w:r/>
            <w:r>
              <w:rPr>
                <w:b w:val="0"/>
                <w:i w:val="0"/>
                <w:sz w:val="14"/>
              </w:rPr>
              <w:t>Clearview Insurance Agency LLC</w:t>
            </w:r>
          </w:p>
        </w:tc>
        <w:tc>
          <w:tcPr>
            <w:tcW w:type="dxa" w:w="576"/>
          </w:tcPr>
          <w:p>
            <w:pPr>
              <w:spacing w:after="20"/>
            </w:pPr>
            <w:r/>
            <w:r>
              <w:rPr>
                <w:b w:val="0"/>
                <w:i w:val="0"/>
                <w:sz w:val="14"/>
              </w:rPr>
              <w:t>B-600</w:t>
            </w:r>
          </w:p>
        </w:tc>
        <w:tc>
          <w:tcPr>
            <w:tcW w:type="dxa" w:w="720"/>
          </w:tcPr>
          <w:p>
            <w:pPr>
              <w:spacing w:after="20"/>
            </w:pPr>
            <w:r/>
            <w:r>
              <w:rPr>
                <w:b w:val="0"/>
                <w:i w:val="0"/>
                <w:sz w:val="14"/>
              </w:rPr>
              <w:t>4,400</w:t>
            </w:r>
          </w:p>
        </w:tc>
        <w:tc>
          <w:tcPr>
            <w:tcW w:type="dxa" w:w="648"/>
          </w:tcPr>
          <w:p>
            <w:pPr>
              <w:spacing w:after="20"/>
            </w:pPr>
            <w:r/>
            <w:r>
              <w:rPr>
                <w:b w:val="0"/>
                <w:i w:val="0"/>
                <w:sz w:val="14"/>
              </w:rPr>
              <w:t>1.7%</w:t>
            </w:r>
          </w:p>
        </w:tc>
        <w:tc>
          <w:tcPr>
            <w:tcW w:type="dxa" w:w="1008"/>
          </w:tcPr>
          <w:p>
            <w:pPr>
              <w:spacing w:after="20"/>
            </w:pPr>
            <w:r/>
            <w:r>
              <w:rPr>
                <w:b w:val="0"/>
                <w:i w:val="0"/>
                <w:sz w:val="14"/>
              </w:rPr>
              <w:t>$142,560</w:t>
            </w:r>
          </w:p>
        </w:tc>
        <w:tc>
          <w:tcPr>
            <w:tcW w:type="dxa" w:w="648"/>
          </w:tcPr>
          <w:p>
            <w:pPr>
              <w:spacing w:after="20"/>
            </w:pPr>
            <w:r/>
            <w:r>
              <w:rPr>
                <w:b w:val="0"/>
                <w:i w:val="0"/>
                <w:sz w:val="14"/>
              </w:rPr>
              <w:t>$32.40</w:t>
            </w:r>
          </w:p>
        </w:tc>
        <w:tc>
          <w:tcPr>
            <w:tcW w:type="dxa" w:w="936"/>
          </w:tcPr>
          <w:p>
            <w:pPr>
              <w:spacing w:after="20"/>
            </w:pPr>
            <w:r/>
            <w:r>
              <w:rPr>
                <w:b w:val="0"/>
                <w:i w:val="0"/>
                <w:sz w:val="14"/>
              </w:rPr>
              <w:t>04/30/2028</w:t>
            </w:r>
          </w:p>
        </w:tc>
        <w:tc>
          <w:tcPr>
            <w:tcW w:type="dxa" w:w="1008"/>
          </w:tcPr>
          <w:p>
            <w:pPr>
              <w:spacing w:after="20"/>
            </w:pPr>
            <w:r/>
            <w:r>
              <w:rPr>
                <w:b w:val="0"/>
                <w:i w:val="0"/>
                <w:sz w:val="14"/>
              </w:rPr>
              <w:t>$5,712 (0.48 mo)</w:t>
            </w:r>
          </w:p>
        </w:tc>
        <w:tc>
          <w:tcPr>
            <w:tcW w:type="dxa" w:w="1368"/>
          </w:tcPr>
          <w:p>
            <w:pPr>
              <w:spacing w:after="20"/>
            </w:pPr>
            <w:r/>
            <w:r>
              <w:rPr>
                <w:b w:val="0"/>
                <w:i w:val="0"/>
                <w:sz w:val="14"/>
              </w:rPr>
              <w:t>None</w:t>
            </w:r>
          </w:p>
        </w:tc>
        <w:tc>
          <w:tcPr>
            <w:tcW w:type="dxa" w:w="720"/>
          </w:tcPr>
          <w:p>
            <w:pPr>
              <w:spacing w:after="20"/>
            </w:pPr>
            <w:r/>
            <w:r>
              <w:rPr>
                <w:b w:val="0"/>
                <w:i w:val="0"/>
                <w:sz w:val="14"/>
              </w:rPr>
              <w:t>No</w:t>
            </w:r>
          </w:p>
        </w:tc>
        <w:tc>
          <w:tcPr>
            <w:tcW w:type="dxa" w:w="1368"/>
          </w:tcPr>
          <w:p>
            <w:pPr>
              <w:spacing w:after="20"/>
            </w:pPr>
            <w:r/>
            <w:r>
              <w:rPr>
                <w:b w:val="0"/>
                <w:i w:val="0"/>
                <w:sz w:val="14"/>
              </w:rPr>
              <w:t>Pending TI+LC $396,000 (≈$90.00/SF)</w:t>
            </w:r>
          </w:p>
        </w:tc>
      </w:tr>
      <w:tr>
        <w:tc>
          <w:tcPr>
            <w:tcW w:type="dxa" w:w="360"/>
            <w:shd w:val="clear" w:color="auto" w:fill="EEF2F8"/>
          </w:tcPr>
          <w:p>
            <w:pPr>
              <w:spacing w:after="20"/>
            </w:pPr>
            <w:r/>
            <w:r>
              <w:rPr>
                <w:b w:val="0"/>
                <w:i w:val="0"/>
                <w:sz w:val="14"/>
              </w:rPr>
              <w:t>10</w:t>
            </w:r>
          </w:p>
        </w:tc>
        <w:tc>
          <w:tcPr>
            <w:tcW w:type="dxa" w:w="1728"/>
            <w:shd w:val="clear" w:color="auto" w:fill="EEF2F8"/>
          </w:tcPr>
          <w:p>
            <w:pPr>
              <w:spacing w:after="20"/>
            </w:pPr>
            <w:r/>
            <w:r>
              <w:rPr>
                <w:b w:val="0"/>
                <w:i w:val="0"/>
                <w:sz w:val="14"/>
              </w:rPr>
              <w:t>Athena Consulting Group LLC</w:t>
            </w:r>
          </w:p>
        </w:tc>
        <w:tc>
          <w:tcPr>
            <w:tcW w:type="dxa" w:w="576"/>
            <w:shd w:val="clear" w:color="auto" w:fill="EEF2F8"/>
          </w:tcPr>
          <w:p>
            <w:pPr>
              <w:spacing w:after="20"/>
            </w:pPr>
            <w:r/>
            <w:r>
              <w:rPr>
                <w:b w:val="0"/>
                <w:i w:val="0"/>
                <w:sz w:val="14"/>
              </w:rPr>
              <w:t>C-100</w:t>
            </w:r>
          </w:p>
        </w:tc>
        <w:tc>
          <w:tcPr>
            <w:tcW w:type="dxa" w:w="720"/>
            <w:shd w:val="clear" w:color="auto" w:fill="EEF2F8"/>
          </w:tcPr>
          <w:p>
            <w:pPr>
              <w:spacing w:after="20"/>
            </w:pPr>
            <w:r/>
            <w:r>
              <w:rPr>
                <w:b w:val="0"/>
                <w:i w:val="0"/>
                <w:sz w:val="14"/>
              </w:rPr>
              <w:t>27,000</w:t>
            </w:r>
          </w:p>
        </w:tc>
        <w:tc>
          <w:tcPr>
            <w:tcW w:type="dxa" w:w="648"/>
            <w:shd w:val="clear" w:color="auto" w:fill="EEF2F8"/>
          </w:tcPr>
          <w:p>
            <w:pPr>
              <w:spacing w:after="20"/>
            </w:pPr>
            <w:r/>
            <w:r>
              <w:rPr>
                <w:b w:val="0"/>
                <w:i w:val="0"/>
                <w:sz w:val="14"/>
              </w:rPr>
              <w:t>10.5%</w:t>
            </w:r>
          </w:p>
        </w:tc>
        <w:tc>
          <w:tcPr>
            <w:tcW w:type="dxa" w:w="1008"/>
            <w:shd w:val="clear" w:color="auto" w:fill="EEF2F8"/>
          </w:tcPr>
          <w:p>
            <w:pPr>
              <w:spacing w:after="20"/>
            </w:pPr>
            <w:r/>
            <w:r>
              <w:rPr>
                <w:b w:val="0"/>
                <w:i w:val="0"/>
                <w:sz w:val="14"/>
              </w:rPr>
              <w:t>$918,000</w:t>
            </w:r>
          </w:p>
        </w:tc>
        <w:tc>
          <w:tcPr>
            <w:tcW w:type="dxa" w:w="648"/>
            <w:shd w:val="clear" w:color="auto" w:fill="EEF2F8"/>
          </w:tcPr>
          <w:p>
            <w:pPr>
              <w:spacing w:after="20"/>
            </w:pPr>
            <w:r/>
            <w:r>
              <w:rPr>
                <w:b w:val="0"/>
                <w:i w:val="0"/>
                <w:sz w:val="14"/>
              </w:rPr>
              <w:t>$34.00</w:t>
            </w:r>
          </w:p>
        </w:tc>
        <w:tc>
          <w:tcPr>
            <w:tcW w:type="dxa" w:w="936"/>
            <w:shd w:val="clear" w:color="auto" w:fill="EEF2F8"/>
          </w:tcPr>
          <w:p>
            <w:pPr>
              <w:spacing w:after="20"/>
            </w:pPr>
            <w:r/>
            <w:r>
              <w:rPr>
                <w:b w:val="0"/>
                <w:i w:val="0"/>
                <w:sz w:val="14"/>
              </w:rPr>
              <w:t>09/30/2028</w:t>
            </w:r>
          </w:p>
        </w:tc>
        <w:tc>
          <w:tcPr>
            <w:tcW w:type="dxa" w:w="1008"/>
            <w:shd w:val="clear" w:color="auto" w:fill="EEF2F8"/>
          </w:tcPr>
          <w:p>
            <w:pPr>
              <w:spacing w:after="20"/>
            </w:pPr>
            <w:r/>
            <w:r>
              <w:rPr>
                <w:b w:val="0"/>
                <w:i w:val="0"/>
                <w:sz w:val="14"/>
              </w:rPr>
              <w:t>$45,900</w:t>
            </w:r>
          </w:p>
        </w:tc>
        <w:tc>
          <w:tcPr>
            <w:tcW w:type="dxa" w:w="1368"/>
            <w:shd w:val="clear" w:color="auto" w:fill="EEF2F8"/>
          </w:tcPr>
          <w:p>
            <w:pPr>
              <w:spacing w:after="20"/>
            </w:pPr>
            <w:r/>
            <w:r>
              <w:rPr>
                <w:b w:val="0"/>
                <w:i w:val="0"/>
                <w:sz w:val="14"/>
              </w:rPr>
              <w:t>One 3-yr renewal</w:t>
            </w:r>
          </w:p>
        </w:tc>
        <w:tc>
          <w:tcPr>
            <w:tcW w:type="dxa" w:w="720"/>
            <w:shd w:val="clear" w:color="auto" w:fill="EEF2F8"/>
          </w:tcPr>
          <w:p>
            <w:pPr>
              <w:spacing w:after="20"/>
            </w:pPr>
            <w:r/>
            <w:r>
              <w:rPr>
                <w:b w:val="0"/>
                <w:i w:val="0"/>
                <w:sz w:val="14"/>
              </w:rPr>
              <w:t>Yes</w:t>
            </w:r>
          </w:p>
        </w:tc>
        <w:tc>
          <w:tcPr>
            <w:tcW w:type="dxa" w:w="1368"/>
            <w:shd w:val="clear" w:color="auto" w:fill="EEF2F8"/>
          </w:tcPr>
          <w:p>
            <w:pPr>
              <w:spacing w:after="20"/>
            </w:pPr>
            <w:r/>
            <w:r>
              <w:rPr>
                <w:b w:val="0"/>
                <w:i w:val="0"/>
                <w:sz w:val="14"/>
              </w:rPr>
              <w:t>Building C (REC-1)</w:t>
            </w:r>
          </w:p>
        </w:tc>
      </w:tr>
      <w:tr>
        <w:tc>
          <w:tcPr>
            <w:tcW w:type="dxa" w:w="360"/>
          </w:tcPr>
          <w:p>
            <w:pPr>
              <w:spacing w:after="20"/>
            </w:pPr>
            <w:r/>
            <w:r>
              <w:rPr>
                <w:b w:val="0"/>
                <w:i w:val="0"/>
                <w:sz w:val="14"/>
              </w:rPr>
              <w:t>11</w:t>
            </w:r>
          </w:p>
        </w:tc>
        <w:tc>
          <w:tcPr>
            <w:tcW w:type="dxa" w:w="1728"/>
          </w:tcPr>
          <w:p>
            <w:pPr>
              <w:spacing w:after="20"/>
            </w:pPr>
            <w:r/>
            <w:r>
              <w:rPr>
                <w:b w:val="0"/>
                <w:i w:val="0"/>
                <w:sz w:val="14"/>
              </w:rPr>
              <w:t>Ironclad Data Services Inc.</w:t>
            </w:r>
          </w:p>
        </w:tc>
        <w:tc>
          <w:tcPr>
            <w:tcW w:type="dxa" w:w="576"/>
          </w:tcPr>
          <w:p>
            <w:pPr>
              <w:spacing w:after="20"/>
            </w:pPr>
            <w:r/>
            <w:r>
              <w:rPr>
                <w:b w:val="0"/>
                <w:i w:val="0"/>
                <w:sz w:val="14"/>
              </w:rPr>
              <w:t>C-200</w:t>
            </w:r>
          </w:p>
        </w:tc>
        <w:tc>
          <w:tcPr>
            <w:tcW w:type="dxa" w:w="720"/>
          </w:tcPr>
          <w:p>
            <w:pPr>
              <w:spacing w:after="20"/>
            </w:pPr>
            <w:r/>
            <w:r>
              <w:rPr>
                <w:b w:val="0"/>
                <w:i w:val="0"/>
                <w:sz w:val="14"/>
              </w:rPr>
              <w:t>14,800</w:t>
            </w:r>
          </w:p>
        </w:tc>
        <w:tc>
          <w:tcPr>
            <w:tcW w:type="dxa" w:w="648"/>
          </w:tcPr>
          <w:p>
            <w:pPr>
              <w:spacing w:after="20"/>
            </w:pPr>
            <w:r/>
            <w:r>
              <w:rPr>
                <w:b w:val="0"/>
                <w:i w:val="0"/>
                <w:sz w:val="14"/>
              </w:rPr>
              <w:t>5.7%</w:t>
            </w:r>
          </w:p>
        </w:tc>
        <w:tc>
          <w:tcPr>
            <w:tcW w:type="dxa" w:w="1008"/>
          </w:tcPr>
          <w:p>
            <w:pPr>
              <w:spacing w:after="20"/>
            </w:pPr>
            <w:r/>
            <w:r>
              <w:rPr>
                <w:b w:val="0"/>
                <w:i w:val="0"/>
                <w:sz w:val="14"/>
              </w:rPr>
              <w:t>$452,880</w:t>
            </w:r>
          </w:p>
        </w:tc>
        <w:tc>
          <w:tcPr>
            <w:tcW w:type="dxa" w:w="648"/>
          </w:tcPr>
          <w:p>
            <w:pPr>
              <w:spacing w:after="20"/>
            </w:pPr>
            <w:r/>
            <w:r>
              <w:rPr>
                <w:b w:val="0"/>
                <w:i w:val="0"/>
                <w:sz w:val="14"/>
              </w:rPr>
              <w:t>$30.60</w:t>
            </w:r>
          </w:p>
        </w:tc>
        <w:tc>
          <w:tcPr>
            <w:tcW w:type="dxa" w:w="936"/>
          </w:tcPr>
          <w:p>
            <w:pPr>
              <w:spacing w:after="20"/>
            </w:pPr>
            <w:r/>
            <w:r>
              <w:rPr>
                <w:b w:val="0"/>
                <w:i w:val="0"/>
                <w:sz w:val="14"/>
              </w:rPr>
              <w:t>02/28/2027</w:t>
            </w:r>
          </w:p>
        </w:tc>
        <w:tc>
          <w:tcPr>
            <w:tcW w:type="dxa" w:w="1008"/>
          </w:tcPr>
          <w:p>
            <w:pPr>
              <w:spacing w:after="20"/>
            </w:pPr>
            <w:r/>
            <w:r>
              <w:rPr>
                <w:b w:val="0"/>
                <w:i w:val="0"/>
                <w:sz w:val="14"/>
              </w:rPr>
              <w:t>$22,644</w:t>
            </w:r>
          </w:p>
        </w:tc>
        <w:tc>
          <w:tcPr>
            <w:tcW w:type="dxa" w:w="1368"/>
          </w:tcPr>
          <w:p>
            <w:pPr>
              <w:spacing w:after="20"/>
            </w:pPr>
            <w:r/>
            <w:r>
              <w:rPr>
                <w:b w:val="0"/>
                <w:i w:val="0"/>
                <w:sz w:val="14"/>
              </w:rPr>
              <w:t>None</w:t>
            </w:r>
          </w:p>
        </w:tc>
        <w:tc>
          <w:tcPr>
            <w:tcW w:type="dxa" w:w="720"/>
          </w:tcPr>
          <w:p>
            <w:pPr>
              <w:spacing w:after="20"/>
            </w:pPr>
            <w:r/>
            <w:r>
              <w:rPr>
                <w:b w:val="0"/>
                <w:i w:val="0"/>
                <w:sz w:val="14"/>
              </w:rPr>
              <w:t>No (just below 15,000)</w:t>
            </w:r>
          </w:p>
        </w:tc>
        <w:tc>
          <w:tcPr>
            <w:tcW w:type="dxa" w:w="1368"/>
          </w:tcPr>
          <w:p>
            <w:pPr>
              <w:spacing w:after="20"/>
            </w:pPr>
            <w:r/>
            <w:r>
              <w:rPr>
                <w:b w:val="0"/>
                <w:i w:val="0"/>
                <w:sz w:val="14"/>
              </w:rPr>
              <w:t>Building C</w:t>
            </w:r>
          </w:p>
        </w:tc>
      </w:tr>
      <w:tr>
        <w:tc>
          <w:tcPr>
            <w:tcW w:type="dxa" w:w="360"/>
            <w:shd w:val="clear" w:color="auto" w:fill="EEF2F8"/>
          </w:tcPr>
          <w:p>
            <w:pPr>
              <w:spacing w:after="20"/>
            </w:pPr>
            <w:r/>
            <w:r>
              <w:rPr>
                <w:b w:val="0"/>
                <w:i w:val="0"/>
                <w:sz w:val="14"/>
              </w:rPr>
              <w:t>12</w:t>
            </w:r>
          </w:p>
        </w:tc>
        <w:tc>
          <w:tcPr>
            <w:tcW w:type="dxa" w:w="1728"/>
            <w:shd w:val="clear" w:color="auto" w:fill="EEF2F8"/>
          </w:tcPr>
          <w:p>
            <w:pPr>
              <w:spacing w:after="20"/>
            </w:pPr>
            <w:r/>
            <w:r>
              <w:rPr>
                <w:b w:val="0"/>
                <w:i w:val="0"/>
                <w:sz w:val="14"/>
              </w:rPr>
              <w:t>Evergreen Policy Advisors LLC</w:t>
            </w:r>
          </w:p>
        </w:tc>
        <w:tc>
          <w:tcPr>
            <w:tcW w:type="dxa" w:w="576"/>
            <w:shd w:val="clear" w:color="auto" w:fill="EEF2F8"/>
          </w:tcPr>
          <w:p>
            <w:pPr>
              <w:spacing w:after="20"/>
            </w:pPr>
            <w:r/>
            <w:r>
              <w:rPr>
                <w:b w:val="0"/>
                <w:i w:val="0"/>
                <w:sz w:val="14"/>
              </w:rPr>
              <w:t>C-300</w:t>
            </w:r>
          </w:p>
        </w:tc>
        <w:tc>
          <w:tcPr>
            <w:tcW w:type="dxa" w:w="720"/>
            <w:shd w:val="clear" w:color="auto" w:fill="EEF2F8"/>
          </w:tcPr>
          <w:p>
            <w:pPr>
              <w:spacing w:after="20"/>
            </w:pPr>
            <w:r/>
            <w:r>
              <w:rPr>
                <w:b w:val="0"/>
                <w:i w:val="0"/>
                <w:sz w:val="14"/>
              </w:rPr>
              <w:t>9,800</w:t>
            </w:r>
          </w:p>
        </w:tc>
        <w:tc>
          <w:tcPr>
            <w:tcW w:type="dxa" w:w="648"/>
            <w:shd w:val="clear" w:color="auto" w:fill="EEF2F8"/>
          </w:tcPr>
          <w:p>
            <w:pPr>
              <w:spacing w:after="20"/>
            </w:pPr>
            <w:r/>
            <w:r>
              <w:rPr>
                <w:b w:val="0"/>
                <w:i w:val="0"/>
                <w:sz w:val="14"/>
              </w:rPr>
              <w:t>3.8%</w:t>
            </w:r>
          </w:p>
        </w:tc>
        <w:tc>
          <w:tcPr>
            <w:tcW w:type="dxa" w:w="1008"/>
            <w:shd w:val="clear" w:color="auto" w:fill="EEF2F8"/>
          </w:tcPr>
          <w:p>
            <w:pPr>
              <w:spacing w:after="20"/>
            </w:pPr>
            <w:r/>
            <w:r>
              <w:rPr>
                <w:b w:val="0"/>
                <w:i w:val="0"/>
                <w:sz w:val="14"/>
              </w:rPr>
              <w:t>$305,760</w:t>
            </w:r>
          </w:p>
        </w:tc>
        <w:tc>
          <w:tcPr>
            <w:tcW w:type="dxa" w:w="648"/>
            <w:shd w:val="clear" w:color="auto" w:fill="EEF2F8"/>
          </w:tcPr>
          <w:p>
            <w:pPr>
              <w:spacing w:after="20"/>
            </w:pPr>
            <w:r/>
            <w:r>
              <w:rPr>
                <w:b w:val="0"/>
                <w:i w:val="0"/>
                <w:sz w:val="14"/>
              </w:rPr>
              <w:t>$31.20</w:t>
            </w:r>
          </w:p>
        </w:tc>
        <w:tc>
          <w:tcPr>
            <w:tcW w:type="dxa" w:w="936"/>
            <w:shd w:val="clear" w:color="auto" w:fill="EEF2F8"/>
          </w:tcPr>
          <w:p>
            <w:pPr>
              <w:spacing w:after="20"/>
            </w:pPr>
            <w:r/>
            <w:r>
              <w:rPr>
                <w:b w:val="0"/>
                <w:i w:val="0"/>
                <w:sz w:val="14"/>
              </w:rPr>
              <w:t>12/31/2026</w:t>
            </w:r>
          </w:p>
        </w:tc>
        <w:tc>
          <w:tcPr>
            <w:tcW w:type="dxa" w:w="1008"/>
            <w:shd w:val="clear" w:color="auto" w:fill="EEF2F8"/>
          </w:tcPr>
          <w:p>
            <w:pPr>
              <w:spacing w:after="20"/>
            </w:pPr>
            <w:r/>
            <w:r>
              <w:rPr>
                <w:b w:val="0"/>
                <w:i w:val="0"/>
                <w:sz w:val="14"/>
              </w:rPr>
              <w:t>$15,288</w:t>
            </w:r>
          </w:p>
        </w:tc>
        <w:tc>
          <w:tcPr>
            <w:tcW w:type="dxa" w:w="1368"/>
            <w:shd w:val="clear" w:color="auto" w:fill="EEF2F8"/>
          </w:tcPr>
          <w:p>
            <w:pPr>
              <w:spacing w:after="20"/>
            </w:pPr>
            <w:r/>
            <w:r>
              <w:rPr>
                <w:b w:val="0"/>
                <w:i w:val="0"/>
                <w:sz w:val="14"/>
              </w:rPr>
              <w:t>None</w:t>
            </w:r>
          </w:p>
        </w:tc>
        <w:tc>
          <w:tcPr>
            <w:tcW w:type="dxa" w:w="720"/>
            <w:shd w:val="clear" w:color="auto" w:fill="EEF2F8"/>
          </w:tcPr>
          <w:p>
            <w:pPr>
              <w:spacing w:after="20"/>
            </w:pPr>
            <w:r/>
            <w:r>
              <w:rPr>
                <w:b w:val="0"/>
                <w:i w:val="0"/>
                <w:sz w:val="14"/>
              </w:rPr>
              <w:t>No</w:t>
            </w:r>
          </w:p>
        </w:tc>
        <w:tc>
          <w:tcPr>
            <w:tcW w:type="dxa" w:w="1368"/>
            <w:shd w:val="clear" w:color="auto" w:fill="EEF2F8"/>
          </w:tcPr>
          <w:p>
            <w:pPr>
              <w:spacing w:after="20"/>
            </w:pPr>
            <w:r/>
            <w:r>
              <w:rPr>
                <w:b w:val="0"/>
                <w:i w:val="0"/>
                <w:sz w:val="14"/>
              </w:rPr>
              <w:t>Building C</w:t>
            </w:r>
          </w:p>
        </w:tc>
      </w:tr>
      <w:tr>
        <w:tc>
          <w:tcPr>
            <w:tcW w:type="dxa" w:w="360"/>
          </w:tcPr>
          <w:p>
            <w:pPr>
              <w:spacing w:after="20"/>
            </w:pPr>
            <w:r/>
            <w:r>
              <w:rPr>
                <w:b w:val="0"/>
                <w:i w:val="0"/>
                <w:sz w:val="14"/>
              </w:rPr>
              <w:t>13</w:t>
            </w:r>
          </w:p>
        </w:tc>
        <w:tc>
          <w:tcPr>
            <w:tcW w:type="dxa" w:w="1728"/>
          </w:tcPr>
          <w:p>
            <w:pPr>
              <w:spacing w:after="20"/>
            </w:pPr>
            <w:r/>
            <w:r>
              <w:rPr>
                <w:b w:val="0"/>
                <w:i w:val="0"/>
                <w:sz w:val="14"/>
              </w:rPr>
              <w:t>Blue Ridge Behavioral Health PC</w:t>
            </w:r>
          </w:p>
        </w:tc>
        <w:tc>
          <w:tcPr>
            <w:tcW w:type="dxa" w:w="576"/>
          </w:tcPr>
          <w:p>
            <w:pPr>
              <w:spacing w:after="20"/>
            </w:pPr>
            <w:r/>
            <w:r>
              <w:rPr>
                <w:b w:val="0"/>
                <w:i w:val="0"/>
                <w:sz w:val="14"/>
              </w:rPr>
              <w:t>C-400</w:t>
            </w:r>
          </w:p>
        </w:tc>
        <w:tc>
          <w:tcPr>
            <w:tcW w:type="dxa" w:w="720"/>
          </w:tcPr>
          <w:p>
            <w:pPr>
              <w:spacing w:after="20"/>
            </w:pPr>
            <w:r/>
            <w:r>
              <w:rPr>
                <w:b w:val="0"/>
                <w:i w:val="0"/>
                <w:sz w:val="14"/>
              </w:rPr>
              <w:t>5,800</w:t>
            </w:r>
          </w:p>
        </w:tc>
        <w:tc>
          <w:tcPr>
            <w:tcW w:type="dxa" w:w="648"/>
          </w:tcPr>
          <w:p>
            <w:pPr>
              <w:spacing w:after="20"/>
            </w:pPr>
            <w:r/>
            <w:r>
              <w:rPr>
                <w:b w:val="0"/>
                <w:i w:val="0"/>
                <w:sz w:val="14"/>
              </w:rPr>
              <w:t>2.2%</w:t>
            </w:r>
          </w:p>
        </w:tc>
        <w:tc>
          <w:tcPr>
            <w:tcW w:type="dxa" w:w="1008"/>
          </w:tcPr>
          <w:p>
            <w:pPr>
              <w:spacing w:after="20"/>
            </w:pPr>
            <w:r/>
            <w:r>
              <w:rPr>
                <w:b w:val="0"/>
                <w:i w:val="0"/>
                <w:sz w:val="14"/>
              </w:rPr>
              <w:t>$180,960</w:t>
            </w:r>
          </w:p>
        </w:tc>
        <w:tc>
          <w:tcPr>
            <w:tcW w:type="dxa" w:w="648"/>
          </w:tcPr>
          <w:p>
            <w:pPr>
              <w:spacing w:after="20"/>
            </w:pPr>
            <w:r/>
            <w:r>
              <w:rPr>
                <w:b w:val="0"/>
                <w:i w:val="0"/>
                <w:sz w:val="14"/>
              </w:rPr>
              <w:t>$31.20</w:t>
            </w:r>
          </w:p>
        </w:tc>
        <w:tc>
          <w:tcPr>
            <w:tcW w:type="dxa" w:w="936"/>
          </w:tcPr>
          <w:p>
            <w:pPr>
              <w:spacing w:after="20"/>
            </w:pPr>
            <w:r/>
            <w:r>
              <w:rPr>
                <w:b w:val="0"/>
                <w:i w:val="0"/>
                <w:sz w:val="14"/>
              </w:rPr>
              <w:t>01/31/2028</w:t>
            </w:r>
          </w:p>
        </w:tc>
        <w:tc>
          <w:tcPr>
            <w:tcW w:type="dxa" w:w="1008"/>
          </w:tcPr>
          <w:p>
            <w:pPr>
              <w:spacing w:after="20"/>
            </w:pPr>
            <w:r/>
            <w:r>
              <w:rPr>
                <w:b w:val="0"/>
                <w:i w:val="0"/>
                <w:sz w:val="14"/>
              </w:rPr>
              <w:t>$9,048</w:t>
            </w:r>
          </w:p>
        </w:tc>
        <w:tc>
          <w:tcPr>
            <w:tcW w:type="dxa" w:w="1368"/>
          </w:tcPr>
          <w:p>
            <w:pPr>
              <w:spacing w:after="20"/>
            </w:pPr>
            <w:r/>
            <w:r>
              <w:rPr>
                <w:b w:val="0"/>
                <w:i w:val="0"/>
                <w:sz w:val="14"/>
              </w:rPr>
              <w:t>None</w:t>
            </w:r>
          </w:p>
        </w:tc>
        <w:tc>
          <w:tcPr>
            <w:tcW w:type="dxa" w:w="720"/>
          </w:tcPr>
          <w:p>
            <w:pPr>
              <w:spacing w:after="20"/>
            </w:pPr>
            <w:r/>
            <w:r>
              <w:rPr>
                <w:b w:val="0"/>
                <w:i w:val="0"/>
                <w:sz w:val="14"/>
              </w:rPr>
              <w:t>No</w:t>
            </w:r>
          </w:p>
        </w:tc>
        <w:tc>
          <w:tcPr>
            <w:tcW w:type="dxa" w:w="1368"/>
          </w:tcPr>
          <w:p>
            <w:pPr>
              <w:spacing w:after="20"/>
            </w:pPr>
            <w:r/>
            <w:r>
              <w:rPr>
                <w:b w:val="0"/>
                <w:i w:val="0"/>
                <w:sz w:val="14"/>
              </w:rPr>
              <w:t>Building C; health-care use (Flag 33)</w:t>
            </w:r>
          </w:p>
        </w:tc>
      </w:tr>
      <w:tr>
        <w:tc>
          <w:tcPr>
            <w:tcW w:type="dxa" w:w="360"/>
            <w:shd w:val="clear" w:color="auto" w:fill="EEF2F8"/>
          </w:tcPr>
          <w:p>
            <w:pPr>
              <w:spacing w:after="20"/>
            </w:pPr>
            <w:r/>
            <w:r>
              <w:rPr>
                <w:b w:val="0"/>
                <w:i w:val="0"/>
                <w:sz w:val="14"/>
              </w:rPr>
              <w:t>14</w:t>
            </w:r>
          </w:p>
        </w:tc>
        <w:tc>
          <w:tcPr>
            <w:tcW w:type="dxa" w:w="1728"/>
            <w:shd w:val="clear" w:color="auto" w:fill="EEF2F8"/>
          </w:tcPr>
          <w:p>
            <w:pPr>
              <w:spacing w:after="20"/>
            </w:pPr>
            <w:r/>
            <w:r>
              <w:rPr>
                <w:b w:val="0"/>
                <w:i w:val="0"/>
                <w:sz w:val="14"/>
              </w:rPr>
              <w:t>Garrison &amp; Holt Architects LLP</w:t>
            </w:r>
          </w:p>
        </w:tc>
        <w:tc>
          <w:tcPr>
            <w:tcW w:type="dxa" w:w="576"/>
            <w:shd w:val="clear" w:color="auto" w:fill="EEF2F8"/>
          </w:tcPr>
          <w:p>
            <w:pPr>
              <w:spacing w:after="20"/>
            </w:pPr>
            <w:r/>
            <w:r>
              <w:rPr>
                <w:b w:val="0"/>
                <w:i w:val="0"/>
                <w:sz w:val="14"/>
              </w:rPr>
              <w:t>C-500</w:t>
            </w:r>
          </w:p>
        </w:tc>
        <w:tc>
          <w:tcPr>
            <w:tcW w:type="dxa" w:w="720"/>
            <w:shd w:val="clear" w:color="auto" w:fill="EEF2F8"/>
          </w:tcPr>
          <w:p>
            <w:pPr>
              <w:spacing w:after="20"/>
            </w:pPr>
            <w:r/>
            <w:r>
              <w:rPr>
                <w:b w:val="0"/>
                <w:i w:val="0"/>
                <w:sz w:val="14"/>
              </w:rPr>
              <w:t>3,300</w:t>
            </w:r>
          </w:p>
        </w:tc>
        <w:tc>
          <w:tcPr>
            <w:tcW w:type="dxa" w:w="648"/>
            <w:shd w:val="clear" w:color="auto" w:fill="EEF2F8"/>
          </w:tcPr>
          <w:p>
            <w:pPr>
              <w:spacing w:after="20"/>
            </w:pPr>
            <w:r/>
            <w:r>
              <w:rPr>
                <w:b w:val="0"/>
                <w:i w:val="0"/>
                <w:sz w:val="14"/>
              </w:rPr>
              <w:t>1.3%</w:t>
            </w:r>
          </w:p>
        </w:tc>
        <w:tc>
          <w:tcPr>
            <w:tcW w:type="dxa" w:w="1008"/>
            <w:shd w:val="clear" w:color="auto" w:fill="EEF2F8"/>
          </w:tcPr>
          <w:p>
            <w:pPr>
              <w:spacing w:after="20"/>
            </w:pPr>
            <w:r/>
            <w:r>
              <w:rPr>
                <w:b w:val="0"/>
                <w:i w:val="0"/>
                <w:sz w:val="14"/>
              </w:rPr>
              <w:t>$106,920</w:t>
            </w:r>
          </w:p>
        </w:tc>
        <w:tc>
          <w:tcPr>
            <w:tcW w:type="dxa" w:w="648"/>
            <w:shd w:val="clear" w:color="auto" w:fill="EEF2F8"/>
          </w:tcPr>
          <w:p>
            <w:pPr>
              <w:spacing w:after="20"/>
            </w:pPr>
            <w:r/>
            <w:r>
              <w:rPr>
                <w:b w:val="0"/>
                <w:i w:val="0"/>
                <w:sz w:val="14"/>
              </w:rPr>
              <w:t>$32.40</w:t>
            </w:r>
          </w:p>
        </w:tc>
        <w:tc>
          <w:tcPr>
            <w:tcW w:type="dxa" w:w="936"/>
            <w:shd w:val="clear" w:color="auto" w:fill="EEF2F8"/>
          </w:tcPr>
          <w:p>
            <w:pPr>
              <w:spacing w:after="20"/>
            </w:pPr>
            <w:r/>
            <w:r>
              <w:rPr>
                <w:b w:val="0"/>
                <w:i w:val="0"/>
                <w:sz w:val="14"/>
              </w:rPr>
              <w:t>08/31/2028</w:t>
            </w:r>
          </w:p>
        </w:tc>
        <w:tc>
          <w:tcPr>
            <w:tcW w:type="dxa" w:w="1008"/>
            <w:shd w:val="clear" w:color="auto" w:fill="EEF2F8"/>
          </w:tcPr>
          <w:p>
            <w:pPr>
              <w:spacing w:after="20"/>
            </w:pPr>
            <w:r/>
            <w:r>
              <w:rPr>
                <w:b w:val="0"/>
                <w:i w:val="0"/>
                <w:sz w:val="14"/>
              </w:rPr>
              <w:t>$2,528 (0.28 mo)</w:t>
            </w:r>
          </w:p>
        </w:tc>
        <w:tc>
          <w:tcPr>
            <w:tcW w:type="dxa" w:w="1368"/>
            <w:shd w:val="clear" w:color="auto" w:fill="EEF2F8"/>
          </w:tcPr>
          <w:p>
            <w:pPr>
              <w:spacing w:after="20"/>
            </w:pPr>
            <w:r/>
            <w:r>
              <w:rPr>
                <w:b w:val="0"/>
                <w:i w:val="0"/>
                <w:sz w:val="14"/>
              </w:rPr>
              <w:t>None</w:t>
            </w:r>
          </w:p>
        </w:tc>
        <w:tc>
          <w:tcPr>
            <w:tcW w:type="dxa" w:w="720"/>
            <w:shd w:val="clear" w:color="auto" w:fill="EEF2F8"/>
          </w:tcPr>
          <w:p>
            <w:pPr>
              <w:spacing w:after="20"/>
            </w:pPr>
            <w:r/>
            <w:r>
              <w:rPr>
                <w:b w:val="0"/>
                <w:i w:val="0"/>
                <w:sz w:val="14"/>
              </w:rPr>
              <w:t>No</w:t>
            </w:r>
          </w:p>
        </w:tc>
        <w:tc>
          <w:tcPr>
            <w:tcW w:type="dxa" w:w="1368"/>
            <w:shd w:val="clear" w:color="auto" w:fill="EEF2F8"/>
          </w:tcPr>
          <w:p>
            <w:pPr>
              <w:spacing w:after="20"/>
            </w:pPr>
            <w:r/>
            <w:r>
              <w:rPr>
                <w:b w:val="0"/>
                <w:i w:val="0"/>
                <w:sz w:val="14"/>
              </w:rPr>
              <w:t>Pending TI+LC $354,000 (≈$107.27/SF); est. rent commencement 01/01/2025</w:t>
            </w:r>
          </w:p>
        </w:tc>
      </w:tr>
    </w:tbl>
    <w:p>
      <w:pPr>
        <w:spacing w:after="40"/>
      </w:pPr>
    </w:p>
    <w:p>
      <w:pPr>
        <w:pStyle w:val="Heading3"/>
      </w:pPr>
      <w:r>
        <w:t>Key lease metrics (computed by HMS)</w:t>
      </w:r>
    </w:p>
    <w:p>
      <w:pPr>
        <w:pStyle w:val="ListBullet"/>
        <w:spacing w:after="40"/>
      </w:pPr>
      <w:r>
        <w:rPr>
          <w:b/>
          <w:i w:val="0"/>
          <w:sz w:val="19"/>
        </w:rPr>
        <w:t>Building summary:</w:t>
      </w:r>
      <w:r>
        <w:rPr>
          <w:b w:val="0"/>
          <w:i w:val="0"/>
          <w:sz w:val="19"/>
        </w:rPr>
        <w:t xml:space="preserve"> A — 112,940 SF leased (95.7%), $3,914,892 annual base rent; B — 84,500 SF (81.3%), $2,828,480; C — 60,700 SF (67.4%), $1,964,520 (22.6% of total base rent sits in Building C, the building nearest REC-1).</w:t>
      </w:r>
    </w:p>
    <w:p>
      <w:pPr>
        <w:pStyle w:val="ListBullet"/>
        <w:spacing w:after="40"/>
      </w:pPr>
      <w:r>
        <w:rPr>
          <w:b/>
          <w:i w:val="0"/>
          <w:sz w:val="19"/>
        </w:rPr>
        <w:t>Concentration:</w:t>
      </w:r>
      <w:r>
        <w:rPr>
          <w:b w:val="0"/>
          <w:i w:val="0"/>
          <w:sz w:val="19"/>
        </w:rPr>
        <w:t xml:space="preserve"> Valerian = 24.2% of leased SF and 25.8% of base rent; top five tenants (Valerian, NovaTech, Chesapeake, Athena, RedPoint) = 70.3% of leased SF.</w:t>
      </w:r>
    </w:p>
    <w:p>
      <w:pPr>
        <w:pStyle w:val="ListBullet"/>
        <w:spacing w:after="40"/>
      </w:pPr>
      <w:r>
        <w:rPr>
          <w:b/>
          <w:i w:val="0"/>
          <w:sz w:val="19"/>
        </w:rPr>
        <w:t>Rollover (cumulative leased SF / base rent expiring):</w:t>
      </w:r>
      <w:r>
        <w:rPr>
          <w:b w:val="0"/>
          <w:i w:val="0"/>
          <w:sz w:val="19"/>
        </w:rPr>
        <w:t xml:space="preserve"> through 2025 — 22,500 SF (8.7%) / $742,500 (8.5%); through 2026 — 86,200 SF (33.4%) / $2,817,300 (32.4%); through 2027 — 155,240 SF (60.1%) / $5,113,052 (58.7%); through 2028 — 195,740 SF (75.8%) / $6,461,492 (74.2%). Only Valerian extends beyond 2028.</w:t>
      </w:r>
    </w:p>
    <w:p>
      <w:pPr>
        <w:pStyle w:val="ListBullet"/>
        <w:spacing w:after="40"/>
      </w:pPr>
      <w:r>
        <w:rPr>
          <w:b/>
          <w:i w:val="0"/>
          <w:sz w:val="19"/>
        </w:rPr>
        <w:t>Estoppel threshold (§9.3):</w:t>
      </w:r>
      <w:r>
        <w:rPr>
          <w:b w:val="0"/>
          <w:i w:val="0"/>
          <w:sz w:val="19"/>
        </w:rPr>
        <w:t xml:space="preserve"> 80% × 258,140 = </w:t>
      </w:r>
      <w:r>
        <w:rPr>
          <w:b/>
          <w:i w:val="0"/>
          <w:sz w:val="19"/>
        </w:rPr>
        <w:t>206,512 SF</w:t>
      </w:r>
      <w:r>
        <w:rPr>
          <w:b w:val="0"/>
          <w:i w:val="0"/>
          <w:sz w:val="19"/>
        </w:rPr>
        <w:t>. Permitted shortfall = 51,628 SF. Without Valerian, all other tenants total 195,740 SF (75.8%) — the condition cannot be met without Valerian. Missing NovaTech + Ironclad (53,300 SF) or Chesapeake + RedPoint (53,700 SF) also fails the test.</w:t>
      </w:r>
    </w:p>
    <w:p>
      <w:pPr>
        <w:pStyle w:val="ListBullet"/>
        <w:spacing w:after="40"/>
      </w:pPr>
      <w:r>
        <w:rPr>
          <w:b/>
          <w:i w:val="0"/>
          <w:sz w:val="19"/>
        </w:rPr>
        <w:t>SNDA tenants (§9.4, &gt;15,000 RSF):</w:t>
      </w:r>
      <w:r>
        <w:rPr>
          <w:b w:val="0"/>
          <w:i w:val="0"/>
          <w:sz w:val="19"/>
        </w:rPr>
        <w:t xml:space="preserve"> Valerian, NovaTech, Chesapeake, Athena, RedPoint = 181,600 SF (70.3% of leased SF). Ironclad (14,800 RSF) falls just below the threshold.</w:t>
      </w:r>
    </w:p>
    <w:p>
      <w:pPr>
        <w:pStyle w:val="ListBullet"/>
        <w:spacing w:after="40"/>
      </w:pPr>
      <w:r>
        <w:rPr>
          <w:b/>
          <w:i w:val="0"/>
          <w:sz w:val="19"/>
        </w:rPr>
        <w:t>Security deposits:</w:t>
      </w:r>
      <w:r>
        <w:rPr>
          <w:b w:val="0"/>
          <w:i w:val="0"/>
          <w:sz w:val="19"/>
        </w:rPr>
        <w:t xml:space="preserve"> 11 of 14 tenants hold ≈0.6 months’ base rent; Valerian (0.9 mo), Clearview (0.48 mo) and Garrison &amp; Holt (0.28 mo) deviate — confirm against Leases and whether any deposits are letters of credit (which need transfer documentation, not a cash credit).</w:t>
      </w:r>
    </w:p>
    <w:p>
      <w:pPr>
        <w:pStyle w:val="ListBullet"/>
        <w:spacing w:after="40"/>
      </w:pPr>
      <w:r>
        <w:rPr>
          <w:b/>
          <w:i w:val="0"/>
          <w:sz w:val="19"/>
        </w:rPr>
        <w:t>No arrears data:</w:t>
      </w:r>
      <w:r>
        <w:rPr>
          <w:b w:val="0"/>
          <w:i w:val="0"/>
          <w:sz w:val="19"/>
        </w:rPr>
        <w:t xml:space="preserve"> Exhibit F has no aging/delinquency, free-rent or paid-through columns; obtain a current aged receivables report and confirm Garrison &amp; Holt’s abatement/rent commencement terms (lease dated 9/1/2023; estimated rent commencement 1/1/2025).</w:t>
      </w:r>
    </w:p>
    <w:p>
      <w:pPr>
        <w:pStyle w:val="Heading1"/>
      </w:pPr>
      <w:r>
        <w:t>Part 6 — Service Contracts Summary (Exhibit G)</w:t>
      </w:r>
    </w:p>
    <w:tbl>
      <w:tblPr>
        <w:tblStyle w:val="TableGrid"/>
        <w:tblW w:type="dxa" w:w="10080"/>
        <w:jc w:val="center"/>
        <w:tblLayout w:type="fixed"/>
        <w:tblLook w:firstColumn="1" w:firstRow="1" w:lastColumn="0" w:lastRow="0" w:noHBand="0" w:noVBand="1" w:val="04A0"/>
        <w:tblLayout w:type="fixed"/>
      </w:tblPr>
      <w:tblGrid>
        <w:gridCol w:w="432"/>
        <w:gridCol w:w="2304"/>
        <w:gridCol w:w="3312"/>
        <w:gridCol w:w="1296"/>
        <w:gridCol w:w="1152"/>
        <w:gridCol w:w="1584"/>
      </w:tblGrid>
      <w:tr>
        <w:trPr>
          <w:tblHeader w:val="true"/>
        </w:trPr>
        <w:tc>
          <w:tcPr>
            <w:tcW w:type="dxa" w:w="432"/>
            <w:shd w:val="clear" w:color="auto" w:fill="1F3864"/>
          </w:tcPr>
          <w:p>
            <w:r/>
            <w:r>
              <w:rPr>
                <w:b/>
                <w:color w:val="FFFFFF"/>
                <w:sz w:val="16"/>
              </w:rPr>
              <w:t>#</w:t>
            </w:r>
          </w:p>
        </w:tc>
        <w:tc>
          <w:tcPr>
            <w:tcW w:type="dxa" w:w="2304"/>
            <w:shd w:val="clear" w:color="auto" w:fill="1F3864"/>
          </w:tcPr>
          <w:p>
            <w:r/>
            <w:r>
              <w:rPr>
                <w:b/>
                <w:color w:val="FFFFFF"/>
                <w:sz w:val="16"/>
              </w:rPr>
              <w:t>Contractor</w:t>
            </w:r>
          </w:p>
        </w:tc>
        <w:tc>
          <w:tcPr>
            <w:tcW w:type="dxa" w:w="3312"/>
            <w:shd w:val="clear" w:color="auto" w:fill="1F3864"/>
          </w:tcPr>
          <w:p>
            <w:r/>
            <w:r>
              <w:rPr>
                <w:b/>
                <w:color w:val="FFFFFF"/>
                <w:sz w:val="16"/>
              </w:rPr>
              <w:t>Services</w:t>
            </w:r>
          </w:p>
        </w:tc>
        <w:tc>
          <w:tcPr>
            <w:tcW w:type="dxa" w:w="1296"/>
            <w:shd w:val="clear" w:color="auto" w:fill="1F3864"/>
          </w:tcPr>
          <w:p>
            <w:r/>
            <w:r>
              <w:rPr>
                <w:b/>
                <w:color w:val="FFFFFF"/>
                <w:sz w:val="16"/>
              </w:rPr>
              <w:t>Expiration</w:t>
            </w:r>
          </w:p>
        </w:tc>
        <w:tc>
          <w:tcPr>
            <w:tcW w:type="dxa" w:w="1152"/>
            <w:shd w:val="clear" w:color="auto" w:fill="1F3864"/>
          </w:tcPr>
          <w:p>
            <w:r/>
            <w:r>
              <w:rPr>
                <w:b/>
                <w:color w:val="FFFFFF"/>
                <w:sz w:val="16"/>
              </w:rPr>
              <w:t>Annual Fee</w:t>
            </w:r>
          </w:p>
        </w:tc>
        <w:tc>
          <w:tcPr>
            <w:tcW w:type="dxa" w:w="1584"/>
            <w:shd w:val="clear" w:color="auto" w:fill="1F3864"/>
          </w:tcPr>
          <w:p>
            <w:r/>
            <w:r>
              <w:rPr>
                <w:b/>
                <w:color w:val="FFFFFF"/>
                <w:sz w:val="16"/>
              </w:rPr>
              <w:t>Termination</w:t>
            </w:r>
          </w:p>
        </w:tc>
      </w:tr>
      <w:tr>
        <w:tc>
          <w:tcPr>
            <w:tcW w:type="dxa" w:w="432"/>
          </w:tcPr>
          <w:p>
            <w:pPr>
              <w:spacing w:after="20"/>
            </w:pPr>
            <w:r/>
            <w:r>
              <w:rPr>
                <w:b w:val="0"/>
                <w:i w:val="0"/>
                <w:sz w:val="16"/>
              </w:rPr>
              <w:t>1</w:t>
            </w:r>
          </w:p>
        </w:tc>
        <w:tc>
          <w:tcPr>
            <w:tcW w:type="dxa" w:w="2304"/>
          </w:tcPr>
          <w:p>
            <w:pPr>
              <w:spacing w:after="20"/>
            </w:pPr>
            <w:r/>
            <w:r>
              <w:rPr>
                <w:b w:val="0"/>
                <w:i w:val="0"/>
                <w:sz w:val="16"/>
              </w:rPr>
              <w:t>Apex Elevator Corp.</w:t>
            </w:r>
          </w:p>
        </w:tc>
        <w:tc>
          <w:tcPr>
            <w:tcW w:type="dxa" w:w="3312"/>
          </w:tcPr>
          <w:p>
            <w:pPr>
              <w:spacing w:after="20"/>
            </w:pPr>
            <w:r/>
            <w:r>
              <w:rPr>
                <w:b w:val="0"/>
                <w:i w:val="0"/>
                <w:sz w:val="16"/>
              </w:rPr>
              <w:t>Elevator maintenance (8 passenger, 2 freight)</w:t>
            </w:r>
          </w:p>
        </w:tc>
        <w:tc>
          <w:tcPr>
            <w:tcW w:type="dxa" w:w="1296"/>
          </w:tcPr>
          <w:p>
            <w:pPr>
              <w:spacing w:after="20"/>
            </w:pPr>
            <w:r/>
            <w:r>
              <w:rPr>
                <w:b w:val="0"/>
                <w:i w:val="0"/>
                <w:sz w:val="16"/>
              </w:rPr>
              <w:t>06/30/2026</w:t>
            </w:r>
          </w:p>
        </w:tc>
        <w:tc>
          <w:tcPr>
            <w:tcW w:type="dxa" w:w="1152"/>
          </w:tcPr>
          <w:p>
            <w:pPr>
              <w:spacing w:after="20"/>
            </w:pPr>
            <w:r/>
            <w:r>
              <w:rPr>
                <w:b w:val="0"/>
                <w:i w:val="0"/>
                <w:sz w:val="16"/>
              </w:rPr>
              <w:t>$148,800</w:t>
            </w:r>
          </w:p>
        </w:tc>
        <w:tc>
          <w:tcPr>
            <w:tcW w:type="dxa" w:w="1584"/>
          </w:tcPr>
          <w:p>
            <w:pPr>
              <w:spacing w:after="20"/>
            </w:pPr>
            <w:r/>
            <w:r>
              <w:rPr>
                <w:b w:val="0"/>
                <w:i w:val="0"/>
                <w:sz w:val="16"/>
              </w:rPr>
              <w:t>NON-TERMINABLE</w:t>
            </w:r>
          </w:p>
        </w:tc>
      </w:tr>
      <w:tr>
        <w:tc>
          <w:tcPr>
            <w:tcW w:type="dxa" w:w="432"/>
            <w:shd w:val="clear" w:color="auto" w:fill="EEF2F8"/>
          </w:tcPr>
          <w:p>
            <w:pPr>
              <w:spacing w:after="20"/>
            </w:pPr>
            <w:r/>
            <w:r>
              <w:rPr>
                <w:b w:val="0"/>
                <w:i w:val="0"/>
                <w:sz w:val="16"/>
              </w:rPr>
              <w:t>2</w:t>
            </w:r>
          </w:p>
        </w:tc>
        <w:tc>
          <w:tcPr>
            <w:tcW w:type="dxa" w:w="2304"/>
            <w:shd w:val="clear" w:color="auto" w:fill="EEF2F8"/>
          </w:tcPr>
          <w:p>
            <w:pPr>
              <w:spacing w:after="20"/>
            </w:pPr>
            <w:r/>
            <w:r>
              <w:rPr>
                <w:b w:val="0"/>
                <w:i w:val="0"/>
                <w:sz w:val="16"/>
              </w:rPr>
              <w:t>Sentinel Fire Protection LLC</w:t>
            </w:r>
          </w:p>
        </w:tc>
        <w:tc>
          <w:tcPr>
            <w:tcW w:type="dxa" w:w="3312"/>
            <w:shd w:val="clear" w:color="auto" w:fill="EEF2F8"/>
          </w:tcPr>
          <w:p>
            <w:pPr>
              <w:spacing w:after="20"/>
            </w:pPr>
            <w:r/>
            <w:r>
              <w:rPr>
                <w:b w:val="0"/>
                <w:i w:val="0"/>
                <w:sz w:val="16"/>
              </w:rPr>
              <w:t>Fire alarm monitoring, sprinkler inspection/testing</w:t>
            </w:r>
          </w:p>
        </w:tc>
        <w:tc>
          <w:tcPr>
            <w:tcW w:type="dxa" w:w="1296"/>
            <w:shd w:val="clear" w:color="auto" w:fill="EEF2F8"/>
          </w:tcPr>
          <w:p>
            <w:pPr>
              <w:spacing w:after="20"/>
            </w:pPr>
            <w:r/>
            <w:r>
              <w:rPr>
                <w:b w:val="0"/>
                <w:i w:val="0"/>
                <w:sz w:val="16"/>
              </w:rPr>
              <w:t>12/31/2025</w:t>
            </w:r>
          </w:p>
        </w:tc>
        <w:tc>
          <w:tcPr>
            <w:tcW w:type="dxa" w:w="1152"/>
            <w:shd w:val="clear" w:color="auto" w:fill="EEF2F8"/>
          </w:tcPr>
          <w:p>
            <w:pPr>
              <w:spacing w:after="20"/>
            </w:pPr>
            <w:r/>
            <w:r>
              <w:rPr>
                <w:b w:val="0"/>
                <w:i w:val="0"/>
                <w:sz w:val="16"/>
              </w:rPr>
              <w:t>$38,400</w:t>
            </w:r>
          </w:p>
        </w:tc>
        <w:tc>
          <w:tcPr>
            <w:tcW w:type="dxa" w:w="1584"/>
            <w:shd w:val="clear" w:color="auto" w:fill="EEF2F8"/>
          </w:tcPr>
          <w:p>
            <w:pPr>
              <w:spacing w:after="20"/>
            </w:pPr>
            <w:r/>
            <w:r>
              <w:rPr>
                <w:b w:val="0"/>
                <w:i w:val="0"/>
                <w:sz w:val="16"/>
              </w:rPr>
              <w:t>NON-TERMINABLE</w:t>
            </w:r>
          </w:p>
        </w:tc>
      </w:tr>
      <w:tr>
        <w:tc>
          <w:tcPr>
            <w:tcW w:type="dxa" w:w="432"/>
          </w:tcPr>
          <w:p>
            <w:pPr>
              <w:spacing w:after="20"/>
            </w:pPr>
            <w:r/>
            <w:r>
              <w:rPr>
                <w:b w:val="0"/>
                <w:i w:val="0"/>
                <w:sz w:val="16"/>
              </w:rPr>
              <w:t>3</w:t>
            </w:r>
          </w:p>
        </w:tc>
        <w:tc>
          <w:tcPr>
            <w:tcW w:type="dxa" w:w="2304"/>
          </w:tcPr>
          <w:p>
            <w:pPr>
              <w:spacing w:after="20"/>
            </w:pPr>
            <w:r/>
            <w:r>
              <w:rPr>
                <w:b w:val="0"/>
                <w:i w:val="0"/>
                <w:sz w:val="16"/>
              </w:rPr>
              <w:t>Metro Parking Solutions Inc.</w:t>
            </w:r>
          </w:p>
        </w:tc>
        <w:tc>
          <w:tcPr>
            <w:tcW w:type="dxa" w:w="3312"/>
          </w:tcPr>
          <w:p>
            <w:pPr>
              <w:spacing w:after="20"/>
            </w:pPr>
            <w:r/>
            <w:r>
              <w:rPr>
                <w:b w:val="0"/>
                <w:i w:val="0"/>
                <w:sz w:val="16"/>
              </w:rPr>
              <w:t>Garage management, attendants, maintenance (1,248 spaces)</w:t>
            </w:r>
          </w:p>
        </w:tc>
        <w:tc>
          <w:tcPr>
            <w:tcW w:type="dxa" w:w="1296"/>
          </w:tcPr>
          <w:p>
            <w:pPr>
              <w:spacing w:after="20"/>
            </w:pPr>
            <w:r/>
            <w:r>
              <w:rPr>
                <w:b w:val="0"/>
                <w:i w:val="0"/>
                <w:sz w:val="16"/>
              </w:rPr>
              <w:t>03/31/2027</w:t>
            </w:r>
          </w:p>
        </w:tc>
        <w:tc>
          <w:tcPr>
            <w:tcW w:type="dxa" w:w="1152"/>
          </w:tcPr>
          <w:p>
            <w:pPr>
              <w:spacing w:after="20"/>
            </w:pPr>
            <w:r/>
            <w:r>
              <w:rPr>
                <w:b w:val="0"/>
                <w:i w:val="0"/>
                <w:sz w:val="16"/>
              </w:rPr>
              <w:t>$222,000</w:t>
            </w:r>
          </w:p>
        </w:tc>
        <w:tc>
          <w:tcPr>
            <w:tcW w:type="dxa" w:w="1584"/>
          </w:tcPr>
          <w:p>
            <w:pPr>
              <w:spacing w:after="20"/>
            </w:pPr>
            <w:r/>
            <w:r>
              <w:rPr>
                <w:b w:val="0"/>
                <w:i w:val="0"/>
                <w:sz w:val="16"/>
              </w:rPr>
              <w:t>NON-TERMINABLE</w:t>
            </w:r>
          </w:p>
        </w:tc>
      </w:tr>
      <w:tr>
        <w:tc>
          <w:tcPr>
            <w:tcW w:type="dxa" w:w="432"/>
            <w:shd w:val="clear" w:color="auto" w:fill="EEF2F8"/>
          </w:tcPr>
          <w:p>
            <w:pPr>
              <w:spacing w:after="20"/>
            </w:pPr>
            <w:r/>
            <w:r>
              <w:rPr>
                <w:b w:val="0"/>
                <w:i w:val="0"/>
                <w:sz w:val="16"/>
              </w:rPr>
              <w:t>4</w:t>
            </w:r>
          </w:p>
        </w:tc>
        <w:tc>
          <w:tcPr>
            <w:tcW w:type="dxa" w:w="2304"/>
            <w:shd w:val="clear" w:color="auto" w:fill="EEF2F8"/>
          </w:tcPr>
          <w:p>
            <w:pPr>
              <w:spacing w:after="20"/>
            </w:pPr>
            <w:r/>
            <w:r>
              <w:rPr>
                <w:b w:val="0"/>
                <w:i w:val="0"/>
                <w:sz w:val="16"/>
              </w:rPr>
              <w:t>Greenscape Landscaping Inc.</w:t>
            </w:r>
          </w:p>
        </w:tc>
        <w:tc>
          <w:tcPr>
            <w:tcW w:type="dxa" w:w="3312"/>
            <w:shd w:val="clear" w:color="auto" w:fill="EEF2F8"/>
          </w:tcPr>
          <w:p>
            <w:pPr>
              <w:spacing w:after="20"/>
            </w:pPr>
            <w:r/>
            <w:r>
              <w:rPr>
                <w:b w:val="0"/>
                <w:i w:val="0"/>
                <w:sz w:val="16"/>
              </w:rPr>
              <w:t>Landscaping, grounds, snow removal</w:t>
            </w:r>
          </w:p>
        </w:tc>
        <w:tc>
          <w:tcPr>
            <w:tcW w:type="dxa" w:w="1296"/>
            <w:shd w:val="clear" w:color="auto" w:fill="EEF2F8"/>
          </w:tcPr>
          <w:p>
            <w:pPr>
              <w:spacing w:after="20"/>
            </w:pPr>
            <w:r/>
            <w:r>
              <w:rPr>
                <w:b w:val="0"/>
                <w:i w:val="0"/>
                <w:sz w:val="16"/>
              </w:rPr>
              <w:t>03/31/2025</w:t>
            </w:r>
          </w:p>
        </w:tc>
        <w:tc>
          <w:tcPr>
            <w:tcW w:type="dxa" w:w="1152"/>
            <w:shd w:val="clear" w:color="auto" w:fill="EEF2F8"/>
          </w:tcPr>
          <w:p>
            <w:pPr>
              <w:spacing w:after="20"/>
            </w:pPr>
            <w:r/>
            <w:r>
              <w:rPr>
                <w:b w:val="0"/>
                <w:i w:val="0"/>
                <w:sz w:val="16"/>
              </w:rPr>
              <w:t>$105,000</w:t>
            </w:r>
          </w:p>
        </w:tc>
        <w:tc>
          <w:tcPr>
            <w:tcW w:type="dxa" w:w="1584"/>
            <w:shd w:val="clear" w:color="auto" w:fill="EEF2F8"/>
          </w:tcPr>
          <w:p>
            <w:pPr>
              <w:spacing w:after="20"/>
            </w:pPr>
            <w:r/>
            <w:r>
              <w:rPr>
                <w:b w:val="0"/>
                <w:i w:val="0"/>
                <w:sz w:val="16"/>
              </w:rPr>
              <w:t>30 days</w:t>
            </w:r>
          </w:p>
        </w:tc>
      </w:tr>
      <w:tr>
        <w:tc>
          <w:tcPr>
            <w:tcW w:type="dxa" w:w="432"/>
          </w:tcPr>
          <w:p>
            <w:pPr>
              <w:spacing w:after="20"/>
            </w:pPr>
            <w:r/>
            <w:r>
              <w:rPr>
                <w:b w:val="0"/>
                <w:i w:val="0"/>
                <w:sz w:val="16"/>
              </w:rPr>
              <w:t>5</w:t>
            </w:r>
          </w:p>
        </w:tc>
        <w:tc>
          <w:tcPr>
            <w:tcW w:type="dxa" w:w="2304"/>
          </w:tcPr>
          <w:p>
            <w:pPr>
              <w:spacing w:after="20"/>
            </w:pPr>
            <w:r/>
            <w:r>
              <w:rPr>
                <w:b w:val="0"/>
                <w:i w:val="0"/>
                <w:sz w:val="16"/>
              </w:rPr>
              <w:t>ProClean Janitorial Services LLC</w:t>
            </w:r>
          </w:p>
        </w:tc>
        <w:tc>
          <w:tcPr>
            <w:tcW w:type="dxa" w:w="3312"/>
          </w:tcPr>
          <w:p>
            <w:pPr>
              <w:spacing w:after="20"/>
            </w:pPr>
            <w:r/>
            <w:r>
              <w:rPr>
                <w:b w:val="0"/>
                <w:i w:val="0"/>
                <w:sz w:val="16"/>
              </w:rPr>
              <w:t>Janitorial, day porter, window cleaning</w:t>
            </w:r>
          </w:p>
        </w:tc>
        <w:tc>
          <w:tcPr>
            <w:tcW w:type="dxa" w:w="1296"/>
          </w:tcPr>
          <w:p>
            <w:pPr>
              <w:spacing w:after="20"/>
            </w:pPr>
            <w:r/>
            <w:r>
              <w:rPr>
                <w:b w:val="0"/>
                <w:i w:val="0"/>
                <w:sz w:val="16"/>
              </w:rPr>
              <w:t>06/30/2025</w:t>
            </w:r>
          </w:p>
        </w:tc>
        <w:tc>
          <w:tcPr>
            <w:tcW w:type="dxa" w:w="1152"/>
          </w:tcPr>
          <w:p>
            <w:pPr>
              <w:spacing w:after="20"/>
            </w:pPr>
            <w:r/>
            <w:r>
              <w:rPr>
                <w:b w:val="0"/>
                <w:i w:val="0"/>
                <w:sz w:val="16"/>
              </w:rPr>
              <w:t>$271,200</w:t>
            </w:r>
          </w:p>
        </w:tc>
        <w:tc>
          <w:tcPr>
            <w:tcW w:type="dxa" w:w="1584"/>
          </w:tcPr>
          <w:p>
            <w:pPr>
              <w:spacing w:after="20"/>
            </w:pPr>
            <w:r/>
            <w:r>
              <w:rPr>
                <w:b w:val="0"/>
                <w:i w:val="0"/>
                <w:sz w:val="16"/>
              </w:rPr>
              <w:t>60 days</w:t>
            </w:r>
          </w:p>
        </w:tc>
      </w:tr>
      <w:tr>
        <w:tc>
          <w:tcPr>
            <w:tcW w:type="dxa" w:w="432"/>
            <w:shd w:val="clear" w:color="auto" w:fill="EEF2F8"/>
          </w:tcPr>
          <w:p>
            <w:pPr>
              <w:spacing w:after="20"/>
            </w:pPr>
            <w:r/>
            <w:r>
              <w:rPr>
                <w:b w:val="0"/>
                <w:i w:val="0"/>
                <w:sz w:val="16"/>
              </w:rPr>
              <w:t>6</w:t>
            </w:r>
          </w:p>
        </w:tc>
        <w:tc>
          <w:tcPr>
            <w:tcW w:type="dxa" w:w="2304"/>
            <w:shd w:val="clear" w:color="auto" w:fill="EEF2F8"/>
          </w:tcPr>
          <w:p>
            <w:pPr>
              <w:spacing w:after="20"/>
            </w:pPr>
            <w:r/>
            <w:r>
              <w:rPr>
                <w:b w:val="0"/>
                <w:i w:val="0"/>
                <w:sz w:val="16"/>
              </w:rPr>
              <w:t>AirTech Mechanical LLC</w:t>
            </w:r>
          </w:p>
        </w:tc>
        <w:tc>
          <w:tcPr>
            <w:tcW w:type="dxa" w:w="3312"/>
            <w:shd w:val="clear" w:color="auto" w:fill="EEF2F8"/>
          </w:tcPr>
          <w:p>
            <w:pPr>
              <w:spacing w:after="20"/>
            </w:pPr>
            <w:r/>
            <w:r>
              <w:rPr>
                <w:b w:val="0"/>
                <w:i w:val="0"/>
                <w:sz w:val="16"/>
              </w:rPr>
              <w:t>HVAC PM and emergency repair</w:t>
            </w:r>
          </w:p>
        </w:tc>
        <w:tc>
          <w:tcPr>
            <w:tcW w:type="dxa" w:w="1296"/>
            <w:shd w:val="clear" w:color="auto" w:fill="EEF2F8"/>
          </w:tcPr>
          <w:p>
            <w:pPr>
              <w:spacing w:after="20"/>
            </w:pPr>
            <w:r/>
            <w:r>
              <w:rPr>
                <w:b w:val="0"/>
                <w:i w:val="0"/>
                <w:sz w:val="16"/>
              </w:rPr>
              <w:t>12/31/2025</w:t>
            </w:r>
          </w:p>
        </w:tc>
        <w:tc>
          <w:tcPr>
            <w:tcW w:type="dxa" w:w="1152"/>
            <w:shd w:val="clear" w:color="auto" w:fill="EEF2F8"/>
          </w:tcPr>
          <w:p>
            <w:pPr>
              <w:spacing w:after="20"/>
            </w:pPr>
            <w:r/>
            <w:r>
              <w:rPr>
                <w:b w:val="0"/>
                <w:i w:val="0"/>
                <w:sz w:val="16"/>
              </w:rPr>
              <w:t>$81,600</w:t>
            </w:r>
          </w:p>
        </w:tc>
        <w:tc>
          <w:tcPr>
            <w:tcW w:type="dxa" w:w="1584"/>
            <w:shd w:val="clear" w:color="auto" w:fill="EEF2F8"/>
          </w:tcPr>
          <w:p>
            <w:pPr>
              <w:spacing w:after="20"/>
            </w:pPr>
            <w:r/>
            <w:r>
              <w:rPr>
                <w:b w:val="0"/>
                <w:i w:val="0"/>
                <w:sz w:val="16"/>
              </w:rPr>
              <w:t>90 days</w:t>
            </w:r>
          </w:p>
        </w:tc>
      </w:tr>
      <w:tr>
        <w:tc>
          <w:tcPr>
            <w:tcW w:type="dxa" w:w="432"/>
          </w:tcPr>
          <w:p>
            <w:pPr>
              <w:spacing w:after="20"/>
            </w:pPr>
            <w:r/>
            <w:r>
              <w:rPr>
                <w:b w:val="0"/>
                <w:i w:val="0"/>
                <w:sz w:val="16"/>
              </w:rPr>
              <w:t>7</w:t>
            </w:r>
          </w:p>
        </w:tc>
        <w:tc>
          <w:tcPr>
            <w:tcW w:type="dxa" w:w="2304"/>
          </w:tcPr>
          <w:p>
            <w:pPr>
              <w:spacing w:after="20"/>
            </w:pPr>
            <w:r/>
            <w:r>
              <w:rPr>
                <w:b w:val="0"/>
                <w:i w:val="0"/>
                <w:sz w:val="16"/>
              </w:rPr>
              <w:t>Brightline Electric Inc.</w:t>
            </w:r>
          </w:p>
        </w:tc>
        <w:tc>
          <w:tcPr>
            <w:tcW w:type="dxa" w:w="3312"/>
          </w:tcPr>
          <w:p>
            <w:pPr>
              <w:spacing w:after="20"/>
            </w:pPr>
            <w:r/>
            <w:r>
              <w:rPr>
                <w:b w:val="0"/>
                <w:i w:val="0"/>
                <w:sz w:val="16"/>
              </w:rPr>
              <w:t>Electrical maintenance</w:t>
            </w:r>
          </w:p>
        </w:tc>
        <w:tc>
          <w:tcPr>
            <w:tcW w:type="dxa" w:w="1296"/>
          </w:tcPr>
          <w:p>
            <w:pPr>
              <w:spacing w:after="20"/>
            </w:pPr>
            <w:r/>
            <w:r>
              <w:rPr>
                <w:b w:val="0"/>
                <w:i w:val="0"/>
                <w:sz w:val="16"/>
              </w:rPr>
              <w:t>01/31/2026</w:t>
            </w:r>
          </w:p>
        </w:tc>
        <w:tc>
          <w:tcPr>
            <w:tcW w:type="dxa" w:w="1152"/>
          </w:tcPr>
          <w:p>
            <w:pPr>
              <w:spacing w:after="20"/>
            </w:pPr>
            <w:r/>
            <w:r>
              <w:rPr>
                <w:b w:val="0"/>
                <w:i w:val="0"/>
                <w:sz w:val="16"/>
              </w:rPr>
              <w:t>$40,800</w:t>
            </w:r>
          </w:p>
        </w:tc>
        <w:tc>
          <w:tcPr>
            <w:tcW w:type="dxa" w:w="1584"/>
          </w:tcPr>
          <w:p>
            <w:pPr>
              <w:spacing w:after="20"/>
            </w:pPr>
            <w:r/>
            <w:r>
              <w:rPr>
                <w:b w:val="0"/>
                <w:i w:val="0"/>
                <w:sz w:val="16"/>
              </w:rPr>
              <w:t>30 days</w:t>
            </w:r>
          </w:p>
        </w:tc>
      </w:tr>
      <w:tr>
        <w:tc>
          <w:tcPr>
            <w:tcW w:type="dxa" w:w="432"/>
            <w:shd w:val="clear" w:color="auto" w:fill="EEF2F8"/>
          </w:tcPr>
          <w:p>
            <w:pPr>
              <w:spacing w:after="20"/>
            </w:pPr>
            <w:r/>
            <w:r>
              <w:rPr>
                <w:b w:val="0"/>
                <w:i w:val="0"/>
                <w:sz w:val="16"/>
              </w:rPr>
              <w:t>8</w:t>
            </w:r>
          </w:p>
        </w:tc>
        <w:tc>
          <w:tcPr>
            <w:tcW w:type="dxa" w:w="2304"/>
            <w:shd w:val="clear" w:color="auto" w:fill="EEF2F8"/>
          </w:tcPr>
          <w:p>
            <w:pPr>
              <w:spacing w:after="20"/>
            </w:pPr>
            <w:r/>
            <w:r>
              <w:rPr>
                <w:b w:val="0"/>
                <w:i w:val="0"/>
                <w:sz w:val="16"/>
              </w:rPr>
              <w:t>SecurePoint Security LLC</w:t>
            </w:r>
          </w:p>
        </w:tc>
        <w:tc>
          <w:tcPr>
            <w:tcW w:type="dxa" w:w="3312"/>
            <w:shd w:val="clear" w:color="auto" w:fill="EEF2F8"/>
          </w:tcPr>
          <w:p>
            <w:pPr>
              <w:spacing w:after="20"/>
            </w:pPr>
            <w:r/>
            <w:r>
              <w:rPr>
                <w:b w:val="0"/>
                <w:i w:val="0"/>
                <w:sz w:val="16"/>
              </w:rPr>
              <w:t>24/7 security guard and patrol</w:t>
            </w:r>
          </w:p>
        </w:tc>
        <w:tc>
          <w:tcPr>
            <w:tcW w:type="dxa" w:w="1296"/>
            <w:shd w:val="clear" w:color="auto" w:fill="EEF2F8"/>
          </w:tcPr>
          <w:p>
            <w:pPr>
              <w:spacing w:after="20"/>
            </w:pPr>
            <w:r/>
            <w:r>
              <w:rPr>
                <w:b w:val="0"/>
                <w:i w:val="0"/>
                <w:sz w:val="16"/>
              </w:rPr>
              <w:t>09/30/2025</w:t>
            </w:r>
          </w:p>
        </w:tc>
        <w:tc>
          <w:tcPr>
            <w:tcW w:type="dxa" w:w="1152"/>
            <w:shd w:val="clear" w:color="auto" w:fill="EEF2F8"/>
          </w:tcPr>
          <w:p>
            <w:pPr>
              <w:spacing w:after="20"/>
            </w:pPr>
            <w:r/>
            <w:r>
              <w:rPr>
                <w:b w:val="0"/>
                <w:i w:val="0"/>
                <w:sz w:val="16"/>
              </w:rPr>
              <w:t>$170,400</w:t>
            </w:r>
          </w:p>
        </w:tc>
        <w:tc>
          <w:tcPr>
            <w:tcW w:type="dxa" w:w="1584"/>
            <w:shd w:val="clear" w:color="auto" w:fill="EEF2F8"/>
          </w:tcPr>
          <w:p>
            <w:pPr>
              <w:spacing w:after="20"/>
            </w:pPr>
            <w:r/>
            <w:r>
              <w:rPr>
                <w:b w:val="0"/>
                <w:i w:val="0"/>
                <w:sz w:val="16"/>
              </w:rPr>
              <w:t>60 days</w:t>
            </w:r>
          </w:p>
        </w:tc>
      </w:tr>
      <w:tr>
        <w:tc>
          <w:tcPr>
            <w:tcW w:type="dxa" w:w="432"/>
          </w:tcPr>
          <w:p>
            <w:pPr>
              <w:spacing w:after="20"/>
            </w:pPr>
            <w:r/>
            <w:r>
              <w:rPr>
                <w:b w:val="0"/>
                <w:i w:val="0"/>
                <w:sz w:val="16"/>
              </w:rPr>
              <w:t>9</w:t>
            </w:r>
          </w:p>
        </w:tc>
        <w:tc>
          <w:tcPr>
            <w:tcW w:type="dxa" w:w="2304"/>
          </w:tcPr>
          <w:p>
            <w:pPr>
              <w:spacing w:after="20"/>
            </w:pPr>
            <w:r/>
            <w:r>
              <w:rPr>
                <w:b w:val="0"/>
                <w:i w:val="0"/>
                <w:sz w:val="16"/>
              </w:rPr>
              <w:t>ClearWater Plumbing LLC</w:t>
            </w:r>
          </w:p>
        </w:tc>
        <w:tc>
          <w:tcPr>
            <w:tcW w:type="dxa" w:w="3312"/>
          </w:tcPr>
          <w:p>
            <w:pPr>
              <w:spacing w:after="20"/>
            </w:pPr>
            <w:r/>
            <w:r>
              <w:rPr>
                <w:b w:val="0"/>
                <w:i w:val="0"/>
                <w:sz w:val="16"/>
              </w:rPr>
              <w:t>Plumbing maintenance</w:t>
            </w:r>
          </w:p>
        </w:tc>
        <w:tc>
          <w:tcPr>
            <w:tcW w:type="dxa" w:w="1296"/>
          </w:tcPr>
          <w:p>
            <w:pPr>
              <w:spacing w:after="20"/>
            </w:pPr>
            <w:r/>
            <w:r>
              <w:rPr>
                <w:b w:val="0"/>
                <w:i w:val="0"/>
                <w:sz w:val="16"/>
              </w:rPr>
              <w:t>02/28/2026</w:t>
            </w:r>
          </w:p>
        </w:tc>
        <w:tc>
          <w:tcPr>
            <w:tcW w:type="dxa" w:w="1152"/>
          </w:tcPr>
          <w:p>
            <w:pPr>
              <w:spacing w:after="20"/>
            </w:pPr>
            <w:r/>
            <w:r>
              <w:rPr>
                <w:b w:val="0"/>
                <w:i w:val="0"/>
                <w:sz w:val="16"/>
              </w:rPr>
              <w:t>$25,200</w:t>
            </w:r>
          </w:p>
        </w:tc>
        <w:tc>
          <w:tcPr>
            <w:tcW w:type="dxa" w:w="1584"/>
          </w:tcPr>
          <w:p>
            <w:pPr>
              <w:spacing w:after="20"/>
            </w:pPr>
            <w:r/>
            <w:r>
              <w:rPr>
                <w:b w:val="0"/>
                <w:i w:val="0"/>
                <w:sz w:val="16"/>
              </w:rPr>
              <w:t>30 days</w:t>
            </w:r>
          </w:p>
        </w:tc>
      </w:tr>
      <w:tr>
        <w:tc>
          <w:tcPr>
            <w:tcW w:type="dxa" w:w="432"/>
            <w:shd w:val="clear" w:color="auto" w:fill="EEF2F8"/>
          </w:tcPr>
          <w:p>
            <w:pPr>
              <w:spacing w:after="20"/>
            </w:pPr>
            <w:r/>
            <w:r>
              <w:rPr>
                <w:b w:val="0"/>
                <w:i w:val="0"/>
                <w:sz w:val="16"/>
              </w:rPr>
              <w:t>10</w:t>
            </w:r>
          </w:p>
        </w:tc>
        <w:tc>
          <w:tcPr>
            <w:tcW w:type="dxa" w:w="2304"/>
            <w:shd w:val="clear" w:color="auto" w:fill="EEF2F8"/>
          </w:tcPr>
          <w:p>
            <w:pPr>
              <w:spacing w:after="20"/>
            </w:pPr>
            <w:r/>
            <w:r>
              <w:rPr>
                <w:b w:val="0"/>
                <w:i w:val="0"/>
                <w:sz w:val="16"/>
              </w:rPr>
              <w:t>PeakView Window Cleaning Co.</w:t>
            </w:r>
          </w:p>
        </w:tc>
        <w:tc>
          <w:tcPr>
            <w:tcW w:type="dxa" w:w="3312"/>
            <w:shd w:val="clear" w:color="auto" w:fill="EEF2F8"/>
          </w:tcPr>
          <w:p>
            <w:pPr>
              <w:spacing w:after="20"/>
            </w:pPr>
            <w:r/>
            <w:r>
              <w:rPr>
                <w:b w:val="0"/>
                <w:i w:val="0"/>
                <w:sz w:val="16"/>
              </w:rPr>
              <w:t>Exterior window cleaning (quarterly)</w:t>
            </w:r>
          </w:p>
        </w:tc>
        <w:tc>
          <w:tcPr>
            <w:tcW w:type="dxa" w:w="1296"/>
            <w:shd w:val="clear" w:color="auto" w:fill="EEF2F8"/>
          </w:tcPr>
          <w:p>
            <w:pPr>
              <w:spacing w:after="20"/>
            </w:pPr>
            <w:r/>
            <w:r>
              <w:rPr>
                <w:b w:val="0"/>
                <w:i w:val="0"/>
                <w:sz w:val="16"/>
              </w:rPr>
              <w:t>Month-to-month</w:t>
            </w:r>
          </w:p>
        </w:tc>
        <w:tc>
          <w:tcPr>
            <w:tcW w:type="dxa" w:w="1152"/>
            <w:shd w:val="clear" w:color="auto" w:fill="EEF2F8"/>
          </w:tcPr>
          <w:p>
            <w:pPr>
              <w:spacing w:after="20"/>
            </w:pPr>
            <w:r/>
            <w:r>
              <w:rPr>
                <w:b w:val="0"/>
                <w:i w:val="0"/>
                <w:sz w:val="16"/>
              </w:rPr>
              <w:t>$19,200</w:t>
            </w:r>
          </w:p>
        </w:tc>
        <w:tc>
          <w:tcPr>
            <w:tcW w:type="dxa" w:w="1584"/>
            <w:shd w:val="clear" w:color="auto" w:fill="EEF2F8"/>
          </w:tcPr>
          <w:p>
            <w:pPr>
              <w:spacing w:after="20"/>
            </w:pPr>
            <w:r/>
            <w:r>
              <w:rPr>
                <w:b w:val="0"/>
                <w:i w:val="0"/>
                <w:sz w:val="16"/>
              </w:rPr>
              <w:t>30 days</w:t>
            </w:r>
          </w:p>
        </w:tc>
      </w:tr>
      <w:tr>
        <w:tc>
          <w:tcPr>
            <w:tcW w:type="dxa" w:w="432"/>
          </w:tcPr>
          <w:p>
            <w:pPr>
              <w:spacing w:after="20"/>
            </w:pPr>
            <w:r/>
            <w:r>
              <w:rPr>
                <w:b w:val="0"/>
                <w:i w:val="0"/>
                <w:sz w:val="16"/>
              </w:rPr>
              <w:t>11</w:t>
            </w:r>
          </w:p>
        </w:tc>
        <w:tc>
          <w:tcPr>
            <w:tcW w:type="dxa" w:w="2304"/>
          </w:tcPr>
          <w:p>
            <w:pPr>
              <w:spacing w:after="20"/>
            </w:pPr>
            <w:r/>
            <w:r>
              <w:rPr>
                <w:b w:val="0"/>
                <w:i w:val="0"/>
                <w:sz w:val="16"/>
              </w:rPr>
              <w:t>Rooftop Systems Inc.</w:t>
            </w:r>
          </w:p>
        </w:tc>
        <w:tc>
          <w:tcPr>
            <w:tcW w:type="dxa" w:w="3312"/>
          </w:tcPr>
          <w:p>
            <w:pPr>
              <w:spacing w:after="20"/>
            </w:pPr>
            <w:r/>
            <w:r>
              <w:rPr>
                <w:b w:val="0"/>
                <w:i w:val="0"/>
                <w:sz w:val="16"/>
              </w:rPr>
              <w:t>Roof inspection/minor repair (2 visits)</w:t>
            </w:r>
          </w:p>
        </w:tc>
        <w:tc>
          <w:tcPr>
            <w:tcW w:type="dxa" w:w="1296"/>
          </w:tcPr>
          <w:p>
            <w:pPr>
              <w:spacing w:after="20"/>
            </w:pPr>
            <w:r/>
            <w:r>
              <w:rPr>
                <w:b w:val="0"/>
                <w:i w:val="0"/>
                <w:sz w:val="16"/>
              </w:rPr>
              <w:t>05/31/2025</w:t>
            </w:r>
          </w:p>
        </w:tc>
        <w:tc>
          <w:tcPr>
            <w:tcW w:type="dxa" w:w="1152"/>
          </w:tcPr>
          <w:p>
            <w:pPr>
              <w:spacing w:after="20"/>
            </w:pPr>
            <w:r/>
            <w:r>
              <w:rPr>
                <w:b w:val="0"/>
                <w:i w:val="0"/>
                <w:sz w:val="16"/>
              </w:rPr>
              <w:t>$5,600</w:t>
            </w:r>
          </w:p>
        </w:tc>
        <w:tc>
          <w:tcPr>
            <w:tcW w:type="dxa" w:w="1584"/>
          </w:tcPr>
          <w:p>
            <w:pPr>
              <w:spacing w:after="20"/>
            </w:pPr>
            <w:r/>
            <w:r>
              <w:rPr>
                <w:b w:val="0"/>
                <w:i w:val="0"/>
                <w:sz w:val="16"/>
              </w:rPr>
              <w:t>30 days</w:t>
            </w:r>
          </w:p>
        </w:tc>
      </w:tr>
    </w:tbl>
    <w:p>
      <w:pPr>
        <w:spacing w:after="40"/>
      </w:pPr>
    </w:p>
    <w:p>
      <w:pPr>
        <w:spacing w:after="80"/>
      </w:pPr>
      <w:r>
        <w:rPr>
          <w:b w:val="0"/>
          <w:i w:val="0"/>
          <w:sz w:val="19"/>
        </w:rPr>
        <w:t xml:space="preserve">Total annual fees ≈ $1,128,200 (computed); the three non-terminable contracts total </w:t>
      </w:r>
      <w:r>
        <w:rPr>
          <w:b/>
          <w:i w:val="0"/>
          <w:sz w:val="19"/>
        </w:rPr>
        <w:t>$409,200 per year</w:t>
      </w:r>
      <w:r>
        <w:rPr>
          <w:b w:val="0"/>
          <w:i w:val="0"/>
          <w:sz w:val="19"/>
        </w:rPr>
        <w:t xml:space="preserve"> and run as late as March 31, 2027 (Metro Parking). Note that SecurePoint (60 days) and AirTech (90 days) require notice by approx. mid-November and mid-October 2024, respectively, to terminate effective at a January 15, 2025 Closing. Exhibit G lists no property management or leasing agreement even though §7.1 refers to Seller’s on-site property manager (Flag 18).</w:t>
      </w:r>
    </w:p>
    <w:p>
      <w:pPr>
        <w:pStyle w:val="Heading1"/>
      </w:pPr>
      <w:r>
        <w:t>Part 7 — Environmental: Phase I Findings vs. PSA Protections</w:t>
      </w:r>
    </w:p>
    <w:p>
      <w:pPr>
        <w:spacing w:after="80"/>
      </w:pPr>
      <w:r>
        <w:rPr>
          <w:b/>
          <w:i w:val="0"/>
          <w:sz w:val="19"/>
        </w:rPr>
        <w:t>Phase I key findings (Clearfield, Aug. 15, 2024; ASTM E1527-21).</w:t>
      </w:r>
      <w:r>
        <w:rPr>
          <w:b w:val="0"/>
          <w:i w:val="0"/>
          <w:sz w:val="19"/>
        </w:rPr>
        <w:t xml:space="preserve"> One REC (REC-1): potential PCE groundwater migration from the former Reston Village Cleaners (operated ≈1985–2003) on adjacent Tax Map Parcel 0264-01-0019, southwest of the Property. DEQ VRP File VRP-00487: ≈200 cy PCE soil removed (2005); Certificate of Satisfactory Completion (March 2006) covers the adjacent parcel only; groundwater PCE up to </w:t>
      </w:r>
      <w:r>
        <w:rPr>
          <w:b/>
          <w:i w:val="0"/>
          <w:sz w:val="19"/>
        </w:rPr>
        <w:t>87 µg/L vs. 5 µg/L standard (≈17.4×)</w:t>
      </w:r>
      <w:r>
        <w:rPr>
          <w:b w:val="0"/>
          <w:i w:val="0"/>
          <w:sz w:val="19"/>
        </w:rPr>
        <w:t>; DEQ closure letter warns impacts “may extend beyond the boundaries” and “further investigation of potential off-site migration may be warranted.” Building C is cross-gradient to slightly downgradient; PCE is a DNAPL and local fractured-rock aquifers favor migration. No CRECs or HRECs. Business environmental risk: vapor intrusion into Building C. No soil, groundwater or indoor-air testing has ever occurred on the Property (per Seller’s Marcus Ellison). Recommended Phase II: ≥3 monitoring wells on SW boundary, VOC analysis (EPA 8260 for PCE, TCE, cis-1,2-DCE, vinyl chloride), sub-slab soil gas under Building C, indoor air as warranted; cost $45,000–$65,000; mobilization 10–14 BD after authorization; preliminary results 4–6 weeks after fieldwork. Also recommended: FOIA for full DEQ VRP file. Remediation cost range cited: several hundred thousand dollars to over $5,000,000; can exceed $10,000,000 with extensive plumes, deep DNAPL or vapor mitigation.</w:t>
      </w:r>
    </w:p>
    <w:tbl>
      <w:tblPr>
        <w:tblStyle w:val="TableGrid"/>
        <w:tblW w:type="dxa" w:w="9648"/>
        <w:jc w:val="center"/>
        <w:tblLayout w:type="fixed"/>
        <w:tblLook w:firstColumn="1" w:firstRow="1" w:lastColumn="0" w:lastRow="0" w:noHBand="0" w:noVBand="1" w:val="04A0"/>
        <w:tblLayout w:type="fixed"/>
      </w:tblPr>
      <w:tblGrid>
        <w:gridCol w:w="1872"/>
        <w:gridCol w:w="3168"/>
        <w:gridCol w:w="4608"/>
      </w:tblGrid>
      <w:tr>
        <w:trPr>
          <w:tblHeader w:val="true"/>
        </w:trPr>
        <w:tc>
          <w:tcPr>
            <w:tcW w:type="dxa" w:w="1872"/>
            <w:shd w:val="clear" w:color="auto" w:fill="1F3864"/>
          </w:tcPr>
          <w:p>
            <w:r/>
            <w:r>
              <w:rPr>
                <w:b/>
                <w:color w:val="FFFFFF"/>
                <w:sz w:val="17"/>
              </w:rPr>
              <w:t>Issue</w:t>
            </w:r>
          </w:p>
        </w:tc>
        <w:tc>
          <w:tcPr>
            <w:tcW w:type="dxa" w:w="3168"/>
            <w:shd w:val="clear" w:color="auto" w:fill="1F3864"/>
          </w:tcPr>
          <w:p>
            <w:r/>
            <w:r>
              <w:rPr>
                <w:b/>
                <w:color w:val="FFFFFF"/>
                <w:sz w:val="17"/>
              </w:rPr>
              <w:t>PSA Provision</w:t>
            </w:r>
          </w:p>
        </w:tc>
        <w:tc>
          <w:tcPr>
            <w:tcW w:type="dxa" w:w="4608"/>
            <w:shd w:val="clear" w:color="auto" w:fill="1F3864"/>
          </w:tcPr>
          <w:p>
            <w:r/>
            <w:r>
              <w:rPr>
                <w:b/>
                <w:color w:val="FFFFFF"/>
                <w:sz w:val="17"/>
              </w:rPr>
              <w:t>Gap / Risk</w:t>
            </w:r>
          </w:p>
        </w:tc>
      </w:tr>
      <w:tr>
        <w:tc>
          <w:tcPr>
            <w:tcW w:type="dxa" w:w="1872"/>
          </w:tcPr>
          <w:p>
            <w:pPr>
              <w:spacing w:after="20"/>
            </w:pPr>
            <w:r/>
            <w:r>
              <w:rPr>
                <w:b/>
                <w:i w:val="0"/>
                <w:sz w:val="17"/>
              </w:rPr>
              <w:t>Magnitude of exposure</w:t>
            </w:r>
          </w:p>
        </w:tc>
        <w:tc>
          <w:tcPr>
            <w:tcW w:type="dxa" w:w="3168"/>
          </w:tcPr>
          <w:p>
            <w:pPr>
              <w:spacing w:after="20"/>
            </w:pPr>
            <w:r/>
            <w:r>
              <w:rPr>
                <w:b w:val="0"/>
                <w:i w:val="0"/>
                <w:sz w:val="17"/>
              </w:rPr>
              <w:t>§8.4(a) cap $3,000,000 (3.4% of price); no basket.</w:t>
            </w:r>
          </w:p>
        </w:tc>
        <w:tc>
          <w:tcPr>
            <w:tcW w:type="dxa" w:w="4608"/>
          </w:tcPr>
          <w:p>
            <w:pPr>
              <w:spacing w:after="20"/>
            </w:pPr>
            <w:r/>
            <w:r>
              <w:rPr>
                <w:b w:val="0"/>
                <w:i w:val="0"/>
                <w:sz w:val="17"/>
              </w:rPr>
              <w:t>Cap is below the Phase I’s upper ranges (&gt; $5M; &gt; $10M with vapor intrusion). Uncovered exposure could exceed the entire Deposit and Seller’s rep Cap combined.</w:t>
            </w:r>
          </w:p>
        </w:tc>
      </w:tr>
      <w:tr>
        <w:tc>
          <w:tcPr>
            <w:tcW w:type="dxa" w:w="1872"/>
            <w:shd w:val="clear" w:color="auto" w:fill="EEF2F8"/>
          </w:tcPr>
          <w:p>
            <w:pPr>
              <w:spacing w:after="20"/>
            </w:pPr>
            <w:r/>
            <w:r>
              <w:rPr>
                <w:b/>
                <w:i w:val="0"/>
                <w:sz w:val="17"/>
              </w:rPr>
              <w:t>Duration</w:t>
            </w:r>
          </w:p>
        </w:tc>
        <w:tc>
          <w:tcPr>
            <w:tcW w:type="dxa" w:w="3168"/>
            <w:shd w:val="clear" w:color="auto" w:fill="EEF2F8"/>
          </w:tcPr>
          <w:p>
            <w:pPr>
              <w:spacing w:after="20"/>
            </w:pPr>
            <w:r/>
            <w:r>
              <w:rPr>
                <w:b w:val="0"/>
                <w:i w:val="0"/>
                <w:sz w:val="17"/>
              </w:rPr>
              <w:t>§8.4(b)–(c): 36 months (to Jan 15, 2028); notice must include estimated cost.</w:t>
            </w:r>
          </w:p>
        </w:tc>
        <w:tc>
          <w:tcPr>
            <w:tcW w:type="dxa" w:w="4608"/>
            <w:shd w:val="clear" w:color="auto" w:fill="EEF2F8"/>
          </w:tcPr>
          <w:p>
            <w:pPr>
              <w:spacing w:after="20"/>
            </w:pPr>
            <w:r/>
            <w:r>
              <w:rPr>
                <w:b w:val="0"/>
                <w:i w:val="0"/>
                <w:sz w:val="17"/>
              </w:rPr>
              <w:t>PCE plumes are often discovered/characterized over years; DEQ processes and remediation (pump-and-treat, ISCO, ERD, MNA) frequently run longer than 3 years. Requirement to state an ‘estimated cost’ in the notice can be hard to meet early.</w:t>
            </w:r>
          </w:p>
        </w:tc>
      </w:tr>
      <w:tr>
        <w:tc>
          <w:tcPr>
            <w:tcW w:type="dxa" w:w="1872"/>
          </w:tcPr>
          <w:p>
            <w:pPr>
              <w:spacing w:after="20"/>
            </w:pPr>
            <w:r/>
            <w:r>
              <w:rPr>
                <w:b/>
                <w:i w:val="0"/>
                <w:sz w:val="17"/>
              </w:rPr>
              <w:t>Trigger / causation</w:t>
            </w:r>
          </w:p>
        </w:tc>
        <w:tc>
          <w:tcPr>
            <w:tcW w:type="dxa" w:w="3168"/>
          </w:tcPr>
          <w:p>
            <w:pPr>
              <w:spacing w:after="20"/>
            </w:pPr>
            <w:r/>
            <w:r>
              <w:rPr>
                <w:b w:val="0"/>
                <w:i w:val="0"/>
                <w:sz w:val="17"/>
              </w:rPr>
              <w:t>Pre-Existing Environmental Conditions = conditions existing prior to the Closing Date, including migration.</w:t>
            </w:r>
          </w:p>
        </w:tc>
        <w:tc>
          <w:tcPr>
            <w:tcW w:type="dxa" w:w="4608"/>
          </w:tcPr>
          <w:p>
            <w:pPr>
              <w:spacing w:after="20"/>
            </w:pPr>
            <w:r/>
            <w:r>
              <w:rPr>
                <w:b w:val="0"/>
                <w:i w:val="0"/>
                <w:sz w:val="17"/>
              </w:rPr>
              <w:t>Seller may argue that post-Closing continued migration from an off-site source is not ‘attributable to conditions existing prior to Closing.’ Clarify that continued migration of a pre-Closing release (including from Parcel 0264-01-0019) is covered.</w:t>
            </w:r>
          </w:p>
        </w:tc>
      </w:tr>
      <w:tr>
        <w:tc>
          <w:tcPr>
            <w:tcW w:type="dxa" w:w="1872"/>
            <w:shd w:val="clear" w:color="auto" w:fill="EEF2F8"/>
          </w:tcPr>
          <w:p>
            <w:pPr>
              <w:spacing w:after="20"/>
            </w:pPr>
            <w:r/>
            <w:r>
              <w:rPr>
                <w:b/>
                <w:i w:val="0"/>
                <w:sz w:val="17"/>
              </w:rPr>
              <w:t>Representation</w:t>
            </w:r>
          </w:p>
        </w:tc>
        <w:tc>
          <w:tcPr>
            <w:tcW w:type="dxa" w:w="3168"/>
            <w:shd w:val="clear" w:color="auto" w:fill="EEF2F8"/>
          </w:tcPr>
          <w:p>
            <w:pPr>
              <w:spacing w:after="20"/>
            </w:pPr>
            <w:r/>
            <w:r>
              <w:rPr>
                <w:b w:val="0"/>
                <w:i w:val="0"/>
                <w:sz w:val="17"/>
              </w:rPr>
              <w:t>§7.1(k): knowledge-qualified and excludes matters disclosed in the Phase I.</w:t>
            </w:r>
          </w:p>
        </w:tc>
        <w:tc>
          <w:tcPr>
            <w:tcW w:type="dxa" w:w="4608"/>
            <w:shd w:val="clear" w:color="auto" w:fill="EEF2F8"/>
          </w:tcPr>
          <w:p>
            <w:pPr>
              <w:spacing w:after="20"/>
            </w:pPr>
            <w:r/>
            <w:r>
              <w:rPr>
                <w:b w:val="0"/>
                <w:i w:val="0"/>
                <w:sz w:val="17"/>
              </w:rPr>
              <w:t>REC-1 is disclosed in the Phase I, so the rep provides essentially no protection for it. Ellison confirmed awareness of the dry cleaner and the VRP; ‘knowledge’ is limited to him.</w:t>
            </w:r>
          </w:p>
        </w:tc>
      </w:tr>
      <w:tr>
        <w:tc>
          <w:tcPr>
            <w:tcW w:type="dxa" w:w="1872"/>
          </w:tcPr>
          <w:p>
            <w:pPr>
              <w:spacing w:after="20"/>
            </w:pPr>
            <w:r/>
            <w:r>
              <w:rPr>
                <w:b/>
                <w:i w:val="0"/>
                <w:sz w:val="17"/>
              </w:rPr>
              <w:t>Release / as-is</w:t>
            </w:r>
          </w:p>
        </w:tc>
        <w:tc>
          <w:tcPr>
            <w:tcW w:type="dxa" w:w="3168"/>
          </w:tcPr>
          <w:p>
            <w:pPr>
              <w:spacing w:after="20"/>
            </w:pPr>
            <w:r/>
            <w:r>
              <w:rPr>
                <w:b w:val="0"/>
                <w:i w:val="0"/>
                <w:sz w:val="17"/>
              </w:rPr>
              <w:t>§§8.1, 8.3: as-is and broad release of environmental claims (incl. statutory) except §8.4 and Article VII.</w:t>
            </w:r>
          </w:p>
        </w:tc>
        <w:tc>
          <w:tcPr>
            <w:tcW w:type="dxa" w:w="4608"/>
          </w:tcPr>
          <w:p>
            <w:pPr>
              <w:spacing w:after="20"/>
            </w:pPr>
            <w:r/>
            <w:r>
              <w:rPr>
                <w:b w:val="0"/>
                <w:i w:val="0"/>
                <w:sz w:val="17"/>
              </w:rPr>
              <w:t>Buyer releases CERCLA cost-recovery/contribution and Virginia statutory claims against Seller beyond the $3M cap. Consider carving out claims for REC-1 or third-party/governmental claims.</w:t>
            </w:r>
          </w:p>
        </w:tc>
      </w:tr>
      <w:tr>
        <w:tc>
          <w:tcPr>
            <w:tcW w:type="dxa" w:w="1872"/>
            <w:shd w:val="clear" w:color="auto" w:fill="EEF2F8"/>
          </w:tcPr>
          <w:p>
            <w:pPr>
              <w:spacing w:after="20"/>
            </w:pPr>
            <w:r/>
            <w:r>
              <w:rPr>
                <w:b/>
                <w:i w:val="0"/>
                <w:sz w:val="17"/>
              </w:rPr>
              <w:t>Credit support</w:t>
            </w:r>
          </w:p>
        </w:tc>
        <w:tc>
          <w:tcPr>
            <w:tcW w:type="dxa" w:w="3168"/>
            <w:shd w:val="clear" w:color="auto" w:fill="EEF2F8"/>
          </w:tcPr>
          <w:p>
            <w:pPr>
              <w:spacing w:after="20"/>
            </w:pPr>
            <w:r/>
            <w:r>
              <w:rPr>
                <w:b w:val="0"/>
                <w:i w:val="0"/>
                <w:sz w:val="17"/>
              </w:rPr>
              <w:t>None.</w:t>
            </w:r>
          </w:p>
        </w:tc>
        <w:tc>
          <w:tcPr>
            <w:tcW w:type="dxa" w:w="4608"/>
            <w:shd w:val="clear" w:color="auto" w:fill="EEF2F8"/>
          </w:tcPr>
          <w:p>
            <w:pPr>
              <w:spacing w:after="20"/>
            </w:pPr>
            <w:r/>
            <w:r>
              <w:rPr>
                <w:b w:val="0"/>
                <w:i w:val="0"/>
                <w:sz w:val="17"/>
              </w:rPr>
              <w:t>Seller is a single-asset LP that will likely distribute proceeds after Closing; no escrow, holdback, parent guaranty or insurance backs the indemnity.</w:t>
            </w:r>
          </w:p>
        </w:tc>
      </w:tr>
      <w:tr>
        <w:tc>
          <w:tcPr>
            <w:tcW w:type="dxa" w:w="1872"/>
          </w:tcPr>
          <w:p>
            <w:pPr>
              <w:spacing w:after="20"/>
            </w:pPr>
            <w:r/>
            <w:r>
              <w:rPr>
                <w:b/>
                <w:i w:val="0"/>
                <w:sz w:val="17"/>
              </w:rPr>
              <w:t>Pre-Closing walk right</w:t>
            </w:r>
          </w:p>
        </w:tc>
        <w:tc>
          <w:tcPr>
            <w:tcW w:type="dxa" w:w="3168"/>
          </w:tcPr>
          <w:p>
            <w:pPr>
              <w:spacing w:after="20"/>
            </w:pPr>
            <w:r/>
            <w:r>
              <w:rPr>
                <w:b w:val="0"/>
                <w:i w:val="0"/>
                <w:sz w:val="17"/>
              </w:rPr>
              <w:t>DD termination only through Nov 21, 2024; §9.1(d) MAC limited to changes in physical condition after the Effective Date.</w:t>
            </w:r>
          </w:p>
        </w:tc>
        <w:tc>
          <w:tcPr>
            <w:tcW w:type="dxa" w:w="4608"/>
          </w:tcPr>
          <w:p>
            <w:pPr>
              <w:spacing w:after="20"/>
            </w:pPr>
            <w:r/>
            <w:r>
              <w:rPr>
                <w:b w:val="0"/>
                <w:i w:val="0"/>
                <w:sz w:val="17"/>
              </w:rPr>
              <w:t>Pre-existing contamination identified after Nov 21 would not be a ‘change’ and gives no termination right — $3.5M at risk.</w:t>
            </w:r>
          </w:p>
        </w:tc>
      </w:tr>
      <w:tr>
        <w:tc>
          <w:tcPr>
            <w:tcW w:type="dxa" w:w="1872"/>
            <w:shd w:val="clear" w:color="auto" w:fill="EEF2F8"/>
          </w:tcPr>
          <w:p>
            <w:pPr>
              <w:spacing w:after="20"/>
            </w:pPr>
            <w:r/>
            <w:r>
              <w:rPr>
                <w:b/>
                <w:i w:val="0"/>
                <w:sz w:val="17"/>
              </w:rPr>
              <w:t>Diligence access</w:t>
            </w:r>
          </w:p>
        </w:tc>
        <w:tc>
          <w:tcPr>
            <w:tcW w:type="dxa" w:w="3168"/>
            <w:shd w:val="clear" w:color="auto" w:fill="EEF2F8"/>
          </w:tcPr>
          <w:p>
            <w:pPr>
              <w:spacing w:after="20"/>
            </w:pPr>
            <w:r/>
            <w:r>
              <w:rPr>
                <w:b w:val="0"/>
                <w:i w:val="0"/>
                <w:sz w:val="17"/>
              </w:rPr>
              <w:t>§4.3 permits Phase I/II, business hours only, 24-hour notice; tenant interviews require consent.</w:t>
            </w:r>
          </w:p>
        </w:tc>
        <w:tc>
          <w:tcPr>
            <w:tcW w:type="dxa" w:w="4608"/>
            <w:shd w:val="clear" w:color="auto" w:fill="EEF2F8"/>
          </w:tcPr>
          <w:p>
            <w:pPr>
              <w:spacing w:after="20"/>
            </w:pPr>
            <w:r/>
            <w:r>
              <w:rPr>
                <w:b w:val="0"/>
                <w:i w:val="0"/>
                <w:sz w:val="17"/>
              </w:rPr>
              <w:t>Drilling and sub-slab sampling are invasive despite ‘non-invasive’ wording; indoor-air sampling requires Building C tenant cooperation (5 tenants; includes Blue Ridge Behavioral Health PC). Obtain Seller’s written access agreement now.</w:t>
            </w:r>
          </w:p>
        </w:tc>
      </w:tr>
      <w:tr>
        <w:tc>
          <w:tcPr>
            <w:tcW w:type="dxa" w:w="1872"/>
          </w:tcPr>
          <w:p>
            <w:pPr>
              <w:spacing w:after="20"/>
            </w:pPr>
            <w:r/>
            <w:r>
              <w:rPr>
                <w:b/>
                <w:i w:val="0"/>
                <w:sz w:val="17"/>
              </w:rPr>
              <w:t>CERCLA defenses</w:t>
            </w:r>
          </w:p>
        </w:tc>
        <w:tc>
          <w:tcPr>
            <w:tcW w:type="dxa" w:w="3168"/>
          </w:tcPr>
          <w:p>
            <w:pPr>
              <w:spacing w:after="20"/>
            </w:pPr>
            <w:r/>
            <w:r>
              <w:rPr>
                <w:b w:val="0"/>
                <w:i w:val="0"/>
                <w:sz w:val="17"/>
              </w:rPr>
              <w:t>—</w:t>
            </w:r>
          </w:p>
        </w:tc>
        <w:tc>
          <w:tcPr>
            <w:tcW w:type="dxa" w:w="4608"/>
          </w:tcPr>
          <w:p>
            <w:pPr>
              <w:spacing w:after="20"/>
            </w:pPr>
            <w:r/>
            <w:r>
              <w:rPr>
                <w:b w:val="0"/>
                <w:i w:val="0"/>
                <w:sz w:val="17"/>
              </w:rPr>
              <w:t>BFPP/contiguous property owner defenses require AAI components within 180 days (database 7/15/2024 lapses 1/11/2025) and post-acquisition ‘reasonable steps’ and cooperation obligations; the Phase I client is Calverley, not the PSA Buyer (Bridgewater) or the future SPE.</w:t>
            </w:r>
          </w:p>
        </w:tc>
      </w:tr>
    </w:tbl>
    <w:p>
      <w:pPr>
        <w:spacing w:after="40"/>
      </w:pPr>
    </w:p>
    <w:p>
      <w:pPr>
        <w:spacing w:after="80"/>
      </w:pPr>
      <w:r>
        <w:rPr>
          <w:b/>
          <w:i w:val="0"/>
          <w:sz w:val="19"/>
        </w:rPr>
        <w:t>Assessment.</w:t>
      </w:r>
      <w:r>
        <w:rPr>
          <w:b w:val="0"/>
          <w:i w:val="0"/>
          <w:sz w:val="19"/>
        </w:rPr>
        <w:t xml:space="preserve"> In light of REC-1, the $3,000,000 / 36-month indemnity is not adequate as drafted. Recommended package (in order of preference): (1) complete the Phase II before any money goes hard via a DD extension or environmental contingency; (2) if Phase II confirms impacts, re-price or require Seller to fund an escrow sized to a consultant’s remediation/vapor-mitigation estimate; (3) increase the §8.4 cap to at least $10,000,000 (or uncapped as to REC-1) with survival of not less than 5–10 years or until DEQ closure; (4) environmental holdback/escrow at Closing (e.g., $3–5 million) or creditworthy parent guaranty; (5) a pollution legal liability (PLL) policy with Seller cost-sharing; and (6) a release carve-out for REC-1 and third-party/governmental claims, with a cooperation covenant for claims against the adjacent owner/VRP participant.</w:t>
      </w:r>
    </w:p>
    <w:p>
      <w:pPr>
        <w:pStyle w:val="Heading1"/>
      </w:pPr>
      <w:r>
        <w:t>Part 8 — Responses to GC’s Specific Areas of Concern</w:t>
      </w:r>
    </w:p>
    <w:p>
      <w:pPr>
        <w:pStyle w:val="Heading3"/>
      </w:pPr>
      <w:r>
        <w:t>8.1 Are Calverley’s deposits fully protected if financing doesn’t come through?</w:t>
      </w:r>
    </w:p>
    <w:p>
      <w:pPr>
        <w:spacing w:after="80"/>
      </w:pPr>
      <w:r>
        <w:rPr>
          <w:b/>
          <w:i w:val="0"/>
          <w:sz w:val="19"/>
        </w:rPr>
        <w:t>No.</w:t>
      </w:r>
      <w:r>
        <w:rPr>
          <w:b w:val="0"/>
          <w:i w:val="0"/>
          <w:sz w:val="19"/>
        </w:rPr>
        <w:t xml:space="preserve"> The deposit schedule and the financing contingency are misaligned. The scenarios are:</w:t>
      </w:r>
    </w:p>
    <w:tbl>
      <w:tblPr>
        <w:tblStyle w:val="TableGrid"/>
        <w:tblW w:type="dxa" w:w="9648"/>
        <w:jc w:val="center"/>
        <w:tblLayout w:type="fixed"/>
        <w:tblLook w:firstColumn="1" w:firstRow="1" w:lastColumn="0" w:lastRow="0" w:noHBand="0" w:noVBand="1" w:val="04A0"/>
        <w:tblLayout w:type="fixed"/>
      </w:tblPr>
      <w:tblGrid>
        <w:gridCol w:w="2736"/>
        <w:gridCol w:w="1152"/>
        <w:gridCol w:w="4320"/>
        <w:gridCol w:w="1440"/>
      </w:tblGrid>
      <w:tr>
        <w:trPr>
          <w:tblHeader w:val="true"/>
        </w:trPr>
        <w:tc>
          <w:tcPr>
            <w:tcW w:type="dxa" w:w="2736"/>
            <w:shd w:val="clear" w:color="auto" w:fill="1F3864"/>
          </w:tcPr>
          <w:p>
            <w:r/>
            <w:r>
              <w:rPr>
                <w:b/>
                <w:color w:val="FFFFFF"/>
                <w:sz w:val="17"/>
              </w:rPr>
              <w:t>Scenario</w:t>
            </w:r>
          </w:p>
        </w:tc>
        <w:tc>
          <w:tcPr>
            <w:tcW w:type="dxa" w:w="1152"/>
            <w:shd w:val="clear" w:color="auto" w:fill="1F3864"/>
          </w:tcPr>
          <w:p>
            <w:r/>
            <w:r>
              <w:rPr>
                <w:b/>
                <w:color w:val="FFFFFF"/>
                <w:sz w:val="17"/>
              </w:rPr>
              <w:t>PSA §</w:t>
            </w:r>
          </w:p>
        </w:tc>
        <w:tc>
          <w:tcPr>
            <w:tcW w:type="dxa" w:w="4320"/>
            <w:shd w:val="clear" w:color="auto" w:fill="1F3864"/>
          </w:tcPr>
          <w:p>
            <w:r/>
            <w:r>
              <w:rPr>
                <w:b/>
                <w:color w:val="FFFFFF"/>
                <w:sz w:val="17"/>
              </w:rPr>
              <w:t>Outcome</w:t>
            </w:r>
          </w:p>
        </w:tc>
        <w:tc>
          <w:tcPr>
            <w:tcW w:type="dxa" w:w="1440"/>
            <w:shd w:val="clear" w:color="auto" w:fill="1F3864"/>
          </w:tcPr>
          <w:p>
            <w:r/>
            <w:r>
              <w:rPr>
                <w:b/>
                <w:color w:val="FFFFFF"/>
                <w:sz w:val="17"/>
              </w:rPr>
              <w:t>Status</w:t>
            </w:r>
          </w:p>
        </w:tc>
      </w:tr>
      <w:tr>
        <w:tc>
          <w:tcPr>
            <w:tcW w:type="dxa" w:w="2736"/>
          </w:tcPr>
          <w:p>
            <w:pPr>
              <w:spacing w:after="20"/>
            </w:pPr>
            <w:r/>
            <w:r>
              <w:rPr>
                <w:b w:val="0"/>
                <w:i w:val="0"/>
                <w:sz w:val="17"/>
              </w:rPr>
              <w:t>Terminate in DD Period (by 5:00 p.m. ET Nov 21, 2024)</w:t>
            </w:r>
          </w:p>
        </w:tc>
        <w:tc>
          <w:tcPr>
            <w:tcW w:type="dxa" w:w="1152"/>
          </w:tcPr>
          <w:p>
            <w:pPr>
              <w:spacing w:after="20"/>
            </w:pPr>
            <w:r/>
            <w:r>
              <w:rPr>
                <w:b w:val="0"/>
                <w:i w:val="0"/>
                <w:sz w:val="17"/>
              </w:rPr>
              <w:t>§§4.1, 4.4, 10.1</w:t>
            </w:r>
          </w:p>
        </w:tc>
        <w:tc>
          <w:tcPr>
            <w:tcW w:type="dxa" w:w="4320"/>
          </w:tcPr>
          <w:p>
            <w:pPr>
              <w:spacing w:after="20"/>
            </w:pPr>
            <w:r/>
            <w:r>
              <w:rPr>
                <w:b w:val="0"/>
                <w:i w:val="0"/>
                <w:sz w:val="17"/>
              </w:rPr>
              <w:t>Initial Deposit ($2.0M) refunded; Additional Deposit not yet due.</w:t>
            </w:r>
          </w:p>
        </w:tc>
        <w:tc>
          <w:tcPr>
            <w:tcW w:type="dxa" w:w="1440"/>
          </w:tcPr>
          <w:p>
            <w:pPr>
              <w:spacing w:after="20"/>
            </w:pPr>
            <w:r/>
            <w:r>
              <w:rPr>
                <w:b w:val="0"/>
                <w:i w:val="0"/>
                <w:sz w:val="17"/>
              </w:rPr>
              <w:t>Protected</w:t>
            </w:r>
          </w:p>
        </w:tc>
      </w:tr>
      <w:tr>
        <w:tc>
          <w:tcPr>
            <w:tcW w:type="dxa" w:w="2736"/>
            <w:shd w:val="clear" w:color="auto" w:fill="EEF2F8"/>
          </w:tcPr>
          <w:p>
            <w:pPr>
              <w:spacing w:after="20"/>
            </w:pPr>
            <w:r/>
            <w:r>
              <w:rPr>
                <w:b w:val="0"/>
                <w:i w:val="0"/>
                <w:sz w:val="17"/>
              </w:rPr>
              <w:t>Title objection not cured — terminate</w:t>
            </w:r>
          </w:p>
        </w:tc>
        <w:tc>
          <w:tcPr>
            <w:tcW w:type="dxa" w:w="1152"/>
            <w:shd w:val="clear" w:color="auto" w:fill="EEF2F8"/>
          </w:tcPr>
          <w:p>
            <w:pPr>
              <w:spacing w:after="20"/>
            </w:pPr>
            <w:r/>
            <w:r>
              <w:rPr>
                <w:b w:val="0"/>
                <w:i w:val="0"/>
                <w:sz w:val="17"/>
              </w:rPr>
              <w:t>§5.3</w:t>
            </w:r>
          </w:p>
        </w:tc>
        <w:tc>
          <w:tcPr>
            <w:tcW w:type="dxa" w:w="4320"/>
            <w:shd w:val="clear" w:color="auto" w:fill="EEF2F8"/>
          </w:tcPr>
          <w:p>
            <w:pPr>
              <w:spacing w:after="20"/>
            </w:pPr>
            <w:r/>
            <w:r>
              <w:rPr>
                <w:b w:val="0"/>
                <w:i w:val="0"/>
                <w:sz w:val="17"/>
              </w:rPr>
              <w:t>Full Deposit refunded.</w:t>
            </w:r>
          </w:p>
        </w:tc>
        <w:tc>
          <w:tcPr>
            <w:tcW w:type="dxa" w:w="1440"/>
            <w:shd w:val="clear" w:color="auto" w:fill="EEF2F8"/>
          </w:tcPr>
          <w:p>
            <w:pPr>
              <w:spacing w:after="20"/>
            </w:pPr>
            <w:r/>
            <w:r>
              <w:rPr>
                <w:b w:val="0"/>
                <w:i w:val="0"/>
                <w:sz w:val="17"/>
              </w:rPr>
              <w:t>Protected</w:t>
            </w:r>
          </w:p>
        </w:tc>
      </w:tr>
      <w:tr>
        <w:tc>
          <w:tcPr>
            <w:tcW w:type="dxa" w:w="2736"/>
          </w:tcPr>
          <w:p>
            <w:pPr>
              <w:spacing w:after="20"/>
            </w:pPr>
            <w:r/>
            <w:r>
              <w:rPr>
                <w:b w:val="0"/>
                <w:i w:val="0"/>
                <w:sz w:val="17"/>
              </w:rPr>
              <w:t>Financing not obtained — terminate by 5:00 p.m. ET Dec 6, 2024</w:t>
            </w:r>
          </w:p>
        </w:tc>
        <w:tc>
          <w:tcPr>
            <w:tcW w:type="dxa" w:w="1152"/>
          </w:tcPr>
          <w:p>
            <w:pPr>
              <w:spacing w:after="20"/>
            </w:pPr>
            <w:r/>
            <w:r>
              <w:rPr>
                <w:b w:val="0"/>
                <w:i w:val="0"/>
                <w:sz w:val="17"/>
              </w:rPr>
              <w:t>§10.2(b)</w:t>
            </w:r>
          </w:p>
        </w:tc>
        <w:tc>
          <w:tcPr>
            <w:tcW w:type="dxa" w:w="4320"/>
          </w:tcPr>
          <w:p>
            <w:pPr>
              <w:spacing w:after="20"/>
            </w:pPr>
            <w:r/>
            <w:r>
              <w:rPr>
                <w:b w:val="0"/>
                <w:i w:val="0"/>
                <w:sz w:val="17"/>
              </w:rPr>
              <w:t>Only the Initial Deposit ($2.0M) is refunded. The $1.5M Additional Deposit (funded Nov 29) is not addressed; under §3.4 Seller will assert retention; dispute/interpleader likely (§12.3).</w:t>
            </w:r>
          </w:p>
        </w:tc>
        <w:tc>
          <w:tcPr>
            <w:tcW w:type="dxa" w:w="1440"/>
          </w:tcPr>
          <w:p>
            <w:pPr>
              <w:spacing w:after="20"/>
            </w:pPr>
            <w:r/>
            <w:r>
              <w:rPr>
                <w:b/>
                <w:i w:val="0"/>
                <w:sz w:val="17"/>
              </w:rPr>
              <w:t>$1.5M + interest AT RISK</w:t>
            </w:r>
          </w:p>
        </w:tc>
      </w:tr>
      <w:tr>
        <w:tc>
          <w:tcPr>
            <w:tcW w:type="dxa" w:w="2736"/>
            <w:shd w:val="clear" w:color="auto" w:fill="EEF2F8"/>
          </w:tcPr>
          <w:p>
            <w:pPr>
              <w:spacing w:after="20"/>
            </w:pPr>
            <w:r/>
            <w:r>
              <w:rPr>
                <w:b w:val="0"/>
                <w:i w:val="0"/>
                <w:sz w:val="17"/>
              </w:rPr>
              <w:t>Financing fails after Dec 6 (e.g., lender conditions such as SNDAs or Phase II unmet)</w:t>
            </w:r>
          </w:p>
        </w:tc>
        <w:tc>
          <w:tcPr>
            <w:tcW w:type="dxa" w:w="1152"/>
            <w:shd w:val="clear" w:color="auto" w:fill="EEF2F8"/>
          </w:tcPr>
          <w:p>
            <w:pPr>
              <w:spacing w:after="20"/>
            </w:pPr>
            <w:r/>
            <w:r>
              <w:rPr>
                <w:b w:val="0"/>
                <w:i w:val="0"/>
                <w:sz w:val="17"/>
              </w:rPr>
              <w:t>§10.2(c)</w:t>
            </w:r>
          </w:p>
        </w:tc>
        <w:tc>
          <w:tcPr>
            <w:tcW w:type="dxa" w:w="4320"/>
            <w:shd w:val="clear" w:color="auto" w:fill="EEF2F8"/>
          </w:tcPr>
          <w:p>
            <w:pPr>
              <w:spacing w:after="20"/>
            </w:pPr>
            <w:r/>
            <w:r>
              <w:rPr>
                <w:b w:val="0"/>
                <w:i w:val="0"/>
                <w:sz w:val="17"/>
              </w:rPr>
              <w:t>Contingency irrevocably waived; failure to close is a Buyer default — Seller retains $3.5M as liquidated damages (§12.1).</w:t>
            </w:r>
          </w:p>
        </w:tc>
        <w:tc>
          <w:tcPr>
            <w:tcW w:type="dxa" w:w="1440"/>
            <w:shd w:val="clear" w:color="auto" w:fill="EEF2F8"/>
          </w:tcPr>
          <w:p>
            <w:pPr>
              <w:spacing w:after="20"/>
            </w:pPr>
            <w:r/>
            <w:r>
              <w:rPr>
                <w:b/>
                <w:i w:val="0"/>
                <w:sz w:val="17"/>
              </w:rPr>
              <w:t>$3.5M AT RISK</w:t>
            </w:r>
          </w:p>
        </w:tc>
      </w:tr>
      <w:tr>
        <w:tc>
          <w:tcPr>
            <w:tcW w:type="dxa" w:w="2736"/>
          </w:tcPr>
          <w:p>
            <w:pPr>
              <w:spacing w:after="20"/>
            </w:pPr>
            <w:r/>
            <w:r>
              <w:rPr>
                <w:b w:val="0"/>
                <w:i w:val="0"/>
                <w:sz w:val="17"/>
              </w:rPr>
              <w:t>Estoppel condition fails</w:t>
            </w:r>
          </w:p>
        </w:tc>
        <w:tc>
          <w:tcPr>
            <w:tcW w:type="dxa" w:w="1152"/>
          </w:tcPr>
          <w:p>
            <w:pPr>
              <w:spacing w:after="20"/>
            </w:pPr>
            <w:r/>
            <w:r>
              <w:rPr>
                <w:b w:val="0"/>
                <w:i w:val="0"/>
                <w:sz w:val="17"/>
              </w:rPr>
              <w:t>§9.3</w:t>
            </w:r>
          </w:p>
        </w:tc>
        <w:tc>
          <w:tcPr>
            <w:tcW w:type="dxa" w:w="4320"/>
          </w:tcPr>
          <w:p>
            <w:pPr>
              <w:spacing w:after="20"/>
            </w:pPr>
            <w:r/>
            <w:r>
              <w:rPr>
                <w:b w:val="0"/>
                <w:i w:val="0"/>
                <w:sz w:val="17"/>
              </w:rPr>
              <w:t>Full Deposit refunded (or waive / 15-day extension).</w:t>
            </w:r>
          </w:p>
        </w:tc>
        <w:tc>
          <w:tcPr>
            <w:tcW w:type="dxa" w:w="1440"/>
          </w:tcPr>
          <w:p>
            <w:pPr>
              <w:spacing w:after="20"/>
            </w:pPr>
            <w:r/>
            <w:r>
              <w:rPr>
                <w:b w:val="0"/>
                <w:i w:val="0"/>
                <w:sz w:val="17"/>
              </w:rPr>
              <w:t>Protected</w:t>
            </w:r>
          </w:p>
        </w:tc>
      </w:tr>
      <w:tr>
        <w:tc>
          <w:tcPr>
            <w:tcW w:type="dxa" w:w="2736"/>
            <w:shd w:val="clear" w:color="auto" w:fill="EEF2F8"/>
          </w:tcPr>
          <w:p>
            <w:pPr>
              <w:spacing w:after="20"/>
            </w:pPr>
            <w:r/>
            <w:r>
              <w:rPr>
                <w:b w:val="0"/>
                <w:i w:val="0"/>
                <w:sz w:val="17"/>
              </w:rPr>
              <w:t>Material adverse rep change</w:t>
            </w:r>
          </w:p>
        </w:tc>
        <w:tc>
          <w:tcPr>
            <w:tcW w:type="dxa" w:w="1152"/>
            <w:shd w:val="clear" w:color="auto" w:fill="EEF2F8"/>
          </w:tcPr>
          <w:p>
            <w:pPr>
              <w:spacing w:after="20"/>
            </w:pPr>
            <w:r/>
            <w:r>
              <w:rPr>
                <w:b w:val="0"/>
                <w:i w:val="0"/>
                <w:sz w:val="17"/>
              </w:rPr>
              <w:t>§7.2</w:t>
            </w:r>
          </w:p>
        </w:tc>
        <w:tc>
          <w:tcPr>
            <w:tcW w:type="dxa" w:w="4320"/>
            <w:shd w:val="clear" w:color="auto" w:fill="EEF2F8"/>
          </w:tcPr>
          <w:p>
            <w:pPr>
              <w:spacing w:after="20"/>
            </w:pPr>
            <w:r/>
            <w:r>
              <w:rPr>
                <w:b w:val="0"/>
                <w:i w:val="0"/>
                <w:sz w:val="17"/>
              </w:rPr>
              <w:t>Full Deposit refunded.</w:t>
            </w:r>
          </w:p>
        </w:tc>
        <w:tc>
          <w:tcPr>
            <w:tcW w:type="dxa" w:w="1440"/>
            <w:shd w:val="clear" w:color="auto" w:fill="EEF2F8"/>
          </w:tcPr>
          <w:p>
            <w:pPr>
              <w:spacing w:after="20"/>
            </w:pPr>
            <w:r/>
            <w:r>
              <w:rPr>
                <w:b w:val="0"/>
                <w:i w:val="0"/>
                <w:sz w:val="17"/>
              </w:rPr>
              <w:t>Protected</w:t>
            </w:r>
          </w:p>
        </w:tc>
      </w:tr>
      <w:tr>
        <w:tc>
          <w:tcPr>
            <w:tcW w:type="dxa" w:w="2736"/>
          </w:tcPr>
          <w:p>
            <w:pPr>
              <w:spacing w:after="20"/>
            </w:pPr>
            <w:r/>
            <w:r>
              <w:rPr>
                <w:b w:val="0"/>
                <w:i w:val="0"/>
                <w:sz w:val="17"/>
              </w:rPr>
              <w:t>Material casualty / condemnation</w:t>
            </w:r>
          </w:p>
        </w:tc>
        <w:tc>
          <w:tcPr>
            <w:tcW w:type="dxa" w:w="1152"/>
          </w:tcPr>
          <w:p>
            <w:pPr>
              <w:spacing w:after="20"/>
            </w:pPr>
            <w:r/>
            <w:r>
              <w:rPr>
                <w:b w:val="0"/>
                <w:i w:val="0"/>
                <w:sz w:val="17"/>
              </w:rPr>
              <w:t>§§11.1(a), 11.2(a)</w:t>
            </w:r>
          </w:p>
        </w:tc>
        <w:tc>
          <w:tcPr>
            <w:tcW w:type="dxa" w:w="4320"/>
          </w:tcPr>
          <w:p>
            <w:pPr>
              <w:spacing w:after="20"/>
            </w:pPr>
            <w:r/>
            <w:r>
              <w:rPr>
                <w:b w:val="0"/>
                <w:i w:val="0"/>
                <w:sz w:val="17"/>
              </w:rPr>
              <w:t>Full Deposit refunded.</w:t>
            </w:r>
          </w:p>
        </w:tc>
        <w:tc>
          <w:tcPr>
            <w:tcW w:type="dxa" w:w="1440"/>
          </w:tcPr>
          <w:p>
            <w:pPr>
              <w:spacing w:after="20"/>
            </w:pPr>
            <w:r/>
            <w:r>
              <w:rPr>
                <w:b w:val="0"/>
                <w:i w:val="0"/>
                <w:sz w:val="17"/>
              </w:rPr>
              <w:t>Protected</w:t>
            </w:r>
          </w:p>
        </w:tc>
      </w:tr>
      <w:tr>
        <w:tc>
          <w:tcPr>
            <w:tcW w:type="dxa" w:w="2736"/>
            <w:shd w:val="clear" w:color="auto" w:fill="EEF2F8"/>
          </w:tcPr>
          <w:p>
            <w:pPr>
              <w:spacing w:after="20"/>
            </w:pPr>
            <w:r/>
            <w:r>
              <w:rPr>
                <w:b w:val="0"/>
                <w:i w:val="0"/>
                <w:sz w:val="17"/>
              </w:rPr>
              <w:t>Seller default</w:t>
            </w:r>
          </w:p>
        </w:tc>
        <w:tc>
          <w:tcPr>
            <w:tcW w:type="dxa" w:w="1152"/>
            <w:shd w:val="clear" w:color="auto" w:fill="EEF2F8"/>
          </w:tcPr>
          <w:p>
            <w:pPr>
              <w:spacing w:after="20"/>
            </w:pPr>
            <w:r/>
            <w:r>
              <w:rPr>
                <w:b w:val="0"/>
                <w:i w:val="0"/>
                <w:sz w:val="17"/>
              </w:rPr>
              <w:t>§12.2</w:t>
            </w:r>
          </w:p>
        </w:tc>
        <w:tc>
          <w:tcPr>
            <w:tcW w:type="dxa" w:w="4320"/>
            <w:shd w:val="clear" w:color="auto" w:fill="EEF2F8"/>
          </w:tcPr>
          <w:p>
            <w:pPr>
              <w:spacing w:after="20"/>
            </w:pPr>
            <w:r/>
            <w:r>
              <w:rPr>
                <w:b w:val="0"/>
                <w:i w:val="0"/>
                <w:sz w:val="17"/>
              </w:rPr>
              <w:t>Full Deposit + up to $500K costs, or specific performance.</w:t>
            </w:r>
          </w:p>
        </w:tc>
        <w:tc>
          <w:tcPr>
            <w:tcW w:type="dxa" w:w="1440"/>
            <w:shd w:val="clear" w:color="auto" w:fill="EEF2F8"/>
          </w:tcPr>
          <w:p>
            <w:pPr>
              <w:spacing w:after="20"/>
            </w:pPr>
            <w:r/>
            <w:r>
              <w:rPr>
                <w:b w:val="0"/>
                <w:i w:val="0"/>
                <w:sz w:val="17"/>
              </w:rPr>
              <w:t>Protected</w:t>
            </w:r>
          </w:p>
        </w:tc>
      </w:tr>
      <w:tr>
        <w:tc>
          <w:tcPr>
            <w:tcW w:type="dxa" w:w="2736"/>
          </w:tcPr>
          <w:p>
            <w:pPr>
              <w:spacing w:after="20"/>
            </w:pPr>
            <w:r/>
            <w:r>
              <w:rPr>
                <w:b w:val="0"/>
                <w:i w:val="0"/>
                <w:sz w:val="17"/>
              </w:rPr>
              <w:t>Adverse Phase II results after Nov 21</w:t>
            </w:r>
          </w:p>
        </w:tc>
        <w:tc>
          <w:tcPr>
            <w:tcW w:type="dxa" w:w="1152"/>
          </w:tcPr>
          <w:p>
            <w:pPr>
              <w:spacing w:after="20"/>
            </w:pPr>
            <w:r/>
            <w:r>
              <w:rPr>
                <w:b w:val="0"/>
                <w:i w:val="0"/>
                <w:sz w:val="17"/>
              </w:rPr>
              <w:t>§§8.2, 9.1(d)</w:t>
            </w:r>
          </w:p>
        </w:tc>
        <w:tc>
          <w:tcPr>
            <w:tcW w:type="dxa" w:w="4320"/>
          </w:tcPr>
          <w:p>
            <w:pPr>
              <w:spacing w:after="20"/>
            </w:pPr>
            <w:r/>
            <w:r>
              <w:rPr>
                <w:b w:val="0"/>
                <w:i w:val="0"/>
                <w:sz w:val="17"/>
              </w:rPr>
              <w:t>No termination right; walking away = Buyer default.</w:t>
            </w:r>
          </w:p>
        </w:tc>
        <w:tc>
          <w:tcPr>
            <w:tcW w:type="dxa" w:w="1440"/>
          </w:tcPr>
          <w:p>
            <w:pPr>
              <w:spacing w:after="20"/>
            </w:pPr>
            <w:r/>
            <w:r>
              <w:rPr>
                <w:b/>
                <w:i w:val="0"/>
                <w:sz w:val="17"/>
              </w:rPr>
              <w:t>$3.5M AT RISK</w:t>
            </w:r>
          </w:p>
        </w:tc>
      </w:tr>
    </w:tbl>
    <w:p>
      <w:pPr>
        <w:spacing w:after="40"/>
      </w:pPr>
    </w:p>
    <w:p>
      <w:pPr>
        <w:spacing w:after="80"/>
      </w:pPr>
      <w:r>
        <w:rPr>
          <w:b/>
          <w:i w:val="0"/>
          <w:sz w:val="19"/>
        </w:rPr>
        <w:t>Fix:</w:t>
      </w:r>
      <w:r>
        <w:rPr>
          <w:b w:val="0"/>
          <w:i w:val="0"/>
          <w:sz w:val="19"/>
        </w:rPr>
        <w:t xml:space="preserve"> amend §10.2(b) to return the entire Deposit; alternatively defer the Additional Deposit to 3 BD after the Financing Contingency Deadline (or make it due on the later of Nov 29 and satisfaction/waiver of the financing contingency). Also align Pinnacle’s commitment conditions (SNDAs, estoppels, Phase II, Phase I update) with PSA closing conditions.</w:t>
      </w:r>
    </w:p>
    <w:p>
      <w:pPr>
        <w:pStyle w:val="Heading3"/>
      </w:pPr>
      <w:r>
        <w:t>8.2 Are the estoppel and SNDA thresholds clear and achievable?</w:t>
      </w:r>
    </w:p>
    <w:p>
      <w:pPr>
        <w:spacing w:after="80"/>
      </w:pPr>
      <w:r>
        <w:rPr>
          <w:b w:val="0"/>
          <w:i w:val="0"/>
          <w:sz w:val="19"/>
        </w:rPr>
        <w:t>The 80% estoppel test is reasonably clear but tight: Valerian’s estoppel is mandatory, and losing any two of the larger tenants can fail the test (Part 5). Seller’s obligation is only “commercially reasonable efforts,” the delivery deadline (Dec 31, 2024) falls in the holiday period, the form lacks lender-critical items, there is no “clean estoppel” standard, no staleness limit, no Seller-estoppel backstop, and the form names Calverley rather than the PSA Buyer. SNDAs are not a condition at all, despite Pinnacle being named in §9.4 — a gap if Pinnacle’s commitment requires them. See Flags 6–7.</w:t>
      </w:r>
    </w:p>
    <w:p>
      <w:pPr>
        <w:pStyle w:val="Heading3"/>
      </w:pPr>
      <w:r>
        <w:t>8.3 Can Calverley assign to a newly formed SPE?</w:t>
      </w:r>
    </w:p>
    <w:p>
      <w:pPr>
        <w:spacing w:after="80"/>
      </w:pPr>
      <w:r>
        <w:rPr>
          <w:b w:val="0"/>
          <w:i w:val="0"/>
          <w:sz w:val="19"/>
        </w:rPr>
        <w:t>Yes, without Seller consent, if the SPE qualifies as an affiliate (control test measured against the PSA Buyer, Bridgewater) and the §14.3 conditions are met: executed assignment and assumption delivered ≥10 BD before Closing (Dec 31, 2024 for Jan 15), assumption of all obligations, and continuing joint and several liability of the original Buyer before and after Closing. Issues: Buyer identity (Flag 1), undefined “designee,” perpetual assignor liability, and need to confirm the SPE receives the benefit of reps, the environmental indemnity, estoppels, Phase I reliance and the title policy. See Flag 9.</w:t>
      </w:r>
    </w:p>
    <w:p>
      <w:pPr>
        <w:pStyle w:val="Heading3"/>
      </w:pPr>
      <w:r>
        <w:t>8.4 Is the environmental indemnity adequate?</w:t>
      </w:r>
    </w:p>
    <w:p>
      <w:pPr>
        <w:spacing w:after="80"/>
      </w:pPr>
      <w:r>
        <w:rPr>
          <w:b w:val="0"/>
          <w:i w:val="0"/>
          <w:sz w:val="19"/>
        </w:rPr>
        <w:t>No — see Part 7 and Flags 3–5.</w:t>
      </w:r>
    </w:p>
    <w:p>
      <w:pPr>
        <w:pStyle w:val="Heading1"/>
      </w:pPr>
      <w:r>
        <w:t>Part 9 — Flags and Open Issues</w:t>
      </w:r>
    </w:p>
    <w:p>
      <w:pPr>
        <w:spacing w:after="80"/>
      </w:pPr>
      <w:r>
        <w:rPr>
          <w:b w:val="0"/>
          <w:i w:val="0"/>
          <w:sz w:val="19"/>
        </w:rPr>
        <w:t xml:space="preserve">Priority key: </w:t>
      </w:r>
      <w:r>
        <w:rPr>
          <w:b/>
          <w:i w:val="0"/>
          <w:sz w:val="19"/>
        </w:rPr>
        <w:t>Critical</w:t>
      </w:r>
      <w:r>
        <w:rPr>
          <w:b w:val="0"/>
          <w:i w:val="0"/>
          <w:sz w:val="19"/>
        </w:rPr>
        <w:t xml:space="preserve"> — resolve by PSA amendment before Nov 21, 2024 / IC condition; </w:t>
      </w:r>
      <w:r>
        <w:rPr>
          <w:b/>
          <w:i w:val="0"/>
          <w:sz w:val="19"/>
        </w:rPr>
        <w:t>High</w:t>
      </w:r>
      <w:r>
        <w:rPr>
          <w:b w:val="0"/>
          <w:i w:val="0"/>
          <w:sz w:val="19"/>
        </w:rPr>
        <w:t xml:space="preserve"> — negotiate in the same amendment; </w:t>
      </w:r>
      <w:r>
        <w:rPr>
          <w:b/>
          <w:i w:val="0"/>
          <w:sz w:val="19"/>
        </w:rPr>
        <w:t>Medium</w:t>
      </w:r>
      <w:r>
        <w:rPr>
          <w:b w:val="0"/>
          <w:i w:val="0"/>
          <w:sz w:val="19"/>
        </w:rPr>
        <w:t xml:space="preserve"> — diligence item or amendment request; </w:t>
      </w:r>
      <w:r>
        <w:rPr>
          <w:b/>
          <w:i w:val="0"/>
          <w:sz w:val="19"/>
        </w:rPr>
        <w:t>Low</w:t>
      </w:r>
      <w:r>
        <w:rPr>
          <w:b w:val="0"/>
          <w:i w:val="0"/>
          <w:sz w:val="19"/>
        </w:rPr>
        <w:t xml:space="preserve"> — clean-up or confirmatory.</w:t>
      </w:r>
    </w:p>
    <w:tbl>
      <w:tblPr>
        <w:tblStyle w:val="TableGrid"/>
        <w:tblW w:type="dxa" w:w="9648"/>
        <w:jc w:val="center"/>
        <w:tblLayout w:type="fixed"/>
        <w:tblLook w:firstColumn="1" w:firstRow="1" w:lastColumn="0" w:lastRow="0" w:noHBand="0" w:noVBand="1" w:val="04A0"/>
        <w:tblLayout w:type="fixed"/>
      </w:tblPr>
      <w:tblGrid>
        <w:gridCol w:w="432"/>
        <w:gridCol w:w="864"/>
        <w:gridCol w:w="1800"/>
        <w:gridCol w:w="3816"/>
        <w:gridCol w:w="2736"/>
      </w:tblGrid>
      <w:tr>
        <w:trPr>
          <w:tblHeader w:val="true"/>
        </w:trPr>
        <w:tc>
          <w:tcPr>
            <w:tcW w:type="dxa" w:w="432"/>
            <w:shd w:val="clear" w:color="auto" w:fill="1F3864"/>
          </w:tcPr>
          <w:p>
            <w:r/>
            <w:r>
              <w:rPr>
                <w:b/>
                <w:color w:val="FFFFFF"/>
                <w:sz w:val="15"/>
              </w:rPr>
              <w:t>#</w:t>
            </w:r>
          </w:p>
        </w:tc>
        <w:tc>
          <w:tcPr>
            <w:tcW w:type="dxa" w:w="864"/>
            <w:shd w:val="clear" w:color="auto" w:fill="1F3864"/>
          </w:tcPr>
          <w:p>
            <w:r/>
            <w:r>
              <w:rPr>
                <w:b/>
                <w:color w:val="FFFFFF"/>
                <w:sz w:val="15"/>
              </w:rPr>
              <w:t>Priority</w:t>
            </w:r>
          </w:p>
        </w:tc>
        <w:tc>
          <w:tcPr>
            <w:tcW w:type="dxa" w:w="1800"/>
            <w:shd w:val="clear" w:color="auto" w:fill="1F3864"/>
          </w:tcPr>
          <w:p>
            <w:r/>
            <w:r>
              <w:rPr>
                <w:b/>
                <w:color w:val="FFFFFF"/>
                <w:sz w:val="15"/>
              </w:rPr>
              <w:t>Issue / PSA §</w:t>
            </w:r>
          </w:p>
        </w:tc>
        <w:tc>
          <w:tcPr>
            <w:tcW w:type="dxa" w:w="3816"/>
            <w:shd w:val="clear" w:color="auto" w:fill="1F3864"/>
          </w:tcPr>
          <w:p>
            <w:r/>
            <w:r>
              <w:rPr>
                <w:b/>
                <w:color w:val="FFFFFF"/>
                <w:sz w:val="15"/>
              </w:rPr>
              <w:t>Analysis</w:t>
            </w:r>
          </w:p>
        </w:tc>
        <w:tc>
          <w:tcPr>
            <w:tcW w:type="dxa" w:w="2736"/>
            <w:shd w:val="clear" w:color="auto" w:fill="1F3864"/>
          </w:tcPr>
          <w:p>
            <w:r/>
            <w:r>
              <w:rPr>
                <w:b/>
                <w:color w:val="FFFFFF"/>
                <w:sz w:val="15"/>
              </w:rPr>
              <w:t>Recommended Action</w:t>
            </w:r>
          </w:p>
        </w:tc>
      </w:tr>
      <w:tr>
        <w:tc>
          <w:tcPr>
            <w:tcW w:type="dxa" w:w="432"/>
          </w:tcPr>
          <w:p>
            <w:pPr>
              <w:spacing w:after="20"/>
            </w:pPr>
            <w:r/>
            <w:r>
              <w:rPr>
                <w:b w:val="0"/>
                <w:i w:val="0"/>
                <w:sz w:val="15"/>
              </w:rPr>
              <w:t>1</w:t>
            </w:r>
          </w:p>
        </w:tc>
        <w:tc>
          <w:tcPr>
            <w:tcW w:type="dxa" w:w="864"/>
          </w:tcPr>
          <w:p>
            <w:pPr>
              <w:spacing w:after="20"/>
            </w:pPr>
            <w:r/>
            <w:r>
              <w:rPr>
                <w:b w:val="0"/>
                <w:i w:val="0"/>
                <w:sz w:val="15"/>
              </w:rPr>
              <w:t>Critical</w:t>
            </w:r>
          </w:p>
        </w:tc>
        <w:tc>
          <w:tcPr>
            <w:tcW w:type="dxa" w:w="1800"/>
          </w:tcPr>
          <w:p>
            <w:pPr>
              <w:spacing w:after="20"/>
            </w:pPr>
            <w:r/>
            <w:r>
              <w:rPr>
                <w:b w:val="0"/>
                <w:i w:val="0"/>
                <w:sz w:val="15"/>
              </w:rPr>
              <w:t>Buyer entity mismatch</w:t>
            </w:r>
          </w:p>
          <w:p>
            <w:pPr>
              <w:spacing w:after="20"/>
            </w:pPr>
            <w:r>
              <w:rPr>
                <w:b w:val="0"/>
                <w:i w:val="0"/>
                <w:sz w:val="15"/>
              </w:rPr>
              <w:t>§Preamble, §7.5(a), signature page, Exhs. C, D, H vs. §15.2, Exh. E, Phase I</w:t>
            </w:r>
          </w:p>
        </w:tc>
        <w:tc>
          <w:tcPr>
            <w:tcW w:type="dxa" w:w="3816"/>
          </w:tcPr>
          <w:p>
            <w:pPr>
              <w:spacing w:after="20"/>
            </w:pPr>
            <w:r/>
            <w:r>
              <w:rPr>
                <w:b w:val="0"/>
                <w:i w:val="0"/>
                <w:sz w:val="15"/>
              </w:rPr>
              <w:t>The contracting Buyer is Bridgewater Capital Partners LLC (DE, formed 3/14/2019), signed by Kowalski and Venkataraman as Managing Members. The Buyer notice party (§15.2), the estoppel addressee/“Buyer” in Exh. E, the Phase I client/user and the instruction email all name Calverley Capital Partners LLC (the GC’s email domain is bridgewatercap.com, suggesting a rebrand or affiliate). Consequences: (i) Phase I reliance and AAI ‘user’ status may not run to the PSA Buyer; (ii) estoppels in the Exh. E form would certify to an entity that is not the Buyer; (iii) §14.3 affiliate test is measured against Bridgewater; (iv) lender loan documents and title insurance must name the correct vesting entity.</w:t>
            </w:r>
          </w:p>
        </w:tc>
        <w:tc>
          <w:tcPr>
            <w:tcW w:type="dxa" w:w="2736"/>
          </w:tcPr>
          <w:p>
            <w:pPr>
              <w:spacing w:after="20"/>
            </w:pPr>
            <w:r/>
            <w:r>
              <w:rPr>
                <w:b w:val="0"/>
                <w:i w:val="0"/>
                <w:sz w:val="15"/>
              </w:rPr>
              <w:t>Confirm the legal relationship (name change, affiliate, or error) with organizational documents. Amend PSA to correct/confirm the Buyer (or document a §14.3 assignment); conform §15.2 and Exhs. C–E and H; obtain a Clearfield reliance letter running to the PSA Buyer, the SPE and Pinnacle.</w:t>
            </w:r>
          </w:p>
        </w:tc>
      </w:tr>
      <w:tr>
        <w:tc>
          <w:tcPr>
            <w:tcW w:type="dxa" w:w="432"/>
            <w:shd w:val="clear" w:color="auto" w:fill="EEF2F8"/>
          </w:tcPr>
          <w:p>
            <w:pPr>
              <w:spacing w:after="20"/>
            </w:pPr>
            <w:r/>
            <w:r>
              <w:rPr>
                <w:b w:val="0"/>
                <w:i w:val="0"/>
                <w:sz w:val="15"/>
              </w:rPr>
              <w:t>2</w:t>
            </w:r>
          </w:p>
        </w:tc>
        <w:tc>
          <w:tcPr>
            <w:tcW w:type="dxa" w:w="864"/>
            <w:shd w:val="clear" w:color="auto" w:fill="EEF2F8"/>
          </w:tcPr>
          <w:p>
            <w:pPr>
              <w:spacing w:after="20"/>
            </w:pPr>
            <w:r/>
            <w:r>
              <w:rPr>
                <w:b w:val="0"/>
                <w:i w:val="0"/>
                <w:sz w:val="15"/>
              </w:rPr>
              <w:t>Critical</w:t>
            </w:r>
          </w:p>
        </w:tc>
        <w:tc>
          <w:tcPr>
            <w:tcW w:type="dxa" w:w="1800"/>
            <w:shd w:val="clear" w:color="auto" w:fill="EEF2F8"/>
          </w:tcPr>
          <w:p>
            <w:pPr>
              <w:spacing w:after="20"/>
            </w:pPr>
            <w:r/>
            <w:r>
              <w:rPr>
                <w:b w:val="0"/>
                <w:i w:val="0"/>
                <w:sz w:val="15"/>
              </w:rPr>
              <w:t>Additional Deposit goes hard before financing contingency expires</w:t>
            </w:r>
          </w:p>
          <w:p>
            <w:pPr>
              <w:spacing w:after="20"/>
            </w:pPr>
            <w:r>
              <w:rPr>
                <w:b w:val="0"/>
                <w:i w:val="0"/>
                <w:sz w:val="15"/>
              </w:rPr>
              <w:t>§§3.3, 3.4, 10.2(b)–(c)</w:t>
            </w:r>
          </w:p>
        </w:tc>
        <w:tc>
          <w:tcPr>
            <w:tcW w:type="dxa" w:w="3816"/>
            <w:shd w:val="clear" w:color="auto" w:fill="EEF2F8"/>
          </w:tcPr>
          <w:p>
            <w:pPr>
              <w:spacing w:after="20"/>
            </w:pPr>
            <w:r/>
            <w:r>
              <w:rPr>
                <w:b w:val="0"/>
                <w:i w:val="0"/>
                <w:sz w:val="15"/>
              </w:rPr>
              <w:t>Additional Deposit ($1.5M) due Nov 29, 2024; financing deadline Dec 6, 2024. §10.2(b) refunds only the Initial Deposit; §3.4 makes the termination provision control. All other termination rights refund the full Deposit, so the omission will be read as deliberate. Also, §10.2(c) waiver on Dec 6 leaves Buyer exposed to the full $3.5M if Pinnacle later declines to fund (e.g., unsatisfied SNDA/estoppel/environmental conditions). ‘Commercially reasonable and diligent efforts’ invites Seller challenge.</w:t>
            </w:r>
          </w:p>
        </w:tc>
        <w:tc>
          <w:tcPr>
            <w:tcW w:type="dxa" w:w="2736"/>
            <w:shd w:val="clear" w:color="auto" w:fill="EEF2F8"/>
          </w:tcPr>
          <w:p>
            <w:pPr>
              <w:spacing w:after="20"/>
            </w:pPr>
            <w:r/>
            <w:r>
              <w:rPr>
                <w:b w:val="0"/>
                <w:i w:val="0"/>
                <w:sz w:val="15"/>
              </w:rPr>
              <w:t>Amend §10.2(b) to refund the entire Deposit; or defer the Additional Deposit to 3 BD after the Financing Contingency Deadline; consider extending the deadline to align with Phase II results; obtain Pinnacle commitment with conditions mirrored in PSA §9.1.</w:t>
            </w:r>
          </w:p>
        </w:tc>
      </w:tr>
      <w:tr>
        <w:tc>
          <w:tcPr>
            <w:tcW w:type="dxa" w:w="432"/>
          </w:tcPr>
          <w:p>
            <w:pPr>
              <w:spacing w:after="20"/>
            </w:pPr>
            <w:r/>
            <w:r>
              <w:rPr>
                <w:b w:val="0"/>
                <w:i w:val="0"/>
                <w:sz w:val="15"/>
              </w:rPr>
              <w:t>3</w:t>
            </w:r>
          </w:p>
        </w:tc>
        <w:tc>
          <w:tcPr>
            <w:tcW w:type="dxa" w:w="864"/>
          </w:tcPr>
          <w:p>
            <w:pPr>
              <w:spacing w:after="20"/>
            </w:pPr>
            <w:r/>
            <w:r>
              <w:rPr>
                <w:b w:val="0"/>
                <w:i w:val="0"/>
                <w:sz w:val="15"/>
              </w:rPr>
              <w:t>Critical</w:t>
            </w:r>
          </w:p>
        </w:tc>
        <w:tc>
          <w:tcPr>
            <w:tcW w:type="dxa" w:w="1800"/>
          </w:tcPr>
          <w:p>
            <w:pPr>
              <w:spacing w:after="20"/>
            </w:pPr>
            <w:r/>
            <w:r>
              <w:rPr>
                <w:b w:val="0"/>
                <w:i w:val="0"/>
                <w:sz w:val="15"/>
              </w:rPr>
              <w:t>Environmental indemnity inadequate for REC-1</w:t>
            </w:r>
          </w:p>
          <w:p>
            <w:pPr>
              <w:spacing w:after="20"/>
            </w:pPr>
            <w:r>
              <w:rPr>
                <w:b w:val="0"/>
                <w:i w:val="0"/>
                <w:sz w:val="15"/>
              </w:rPr>
              <w:t>§§7.1(k), 8.1, 8.3, 8.4</w:t>
            </w:r>
          </w:p>
        </w:tc>
        <w:tc>
          <w:tcPr>
            <w:tcW w:type="dxa" w:w="3816"/>
          </w:tcPr>
          <w:p>
            <w:pPr>
              <w:spacing w:after="20"/>
            </w:pPr>
            <w:r/>
            <w:r>
              <w:rPr>
                <w:b w:val="0"/>
                <w:i w:val="0"/>
                <w:sz w:val="15"/>
              </w:rPr>
              <w:t>$3.0M cap vs. Phase I range up to &gt;$5M (&gt;$10M with vapor intrusion); 36-month survival; notice must estimate cost; ‘attributable to conditions existing prior to Closing’ creates a continuing-migration argument; rep excludes all Phase I-disclosed matters; release waives all other environmental claims; no escrow/guaranty from single-asset Seller.</w:t>
            </w:r>
          </w:p>
        </w:tc>
        <w:tc>
          <w:tcPr>
            <w:tcW w:type="dxa" w:w="2736"/>
          </w:tcPr>
          <w:p>
            <w:pPr>
              <w:spacing w:after="20"/>
            </w:pPr>
            <w:r/>
            <w:r>
              <w:rPr>
                <w:b w:val="0"/>
                <w:i w:val="0"/>
                <w:sz w:val="15"/>
              </w:rPr>
              <w:t>See Part 7 package: higher cap (≥$10M or uncapped for REC-1), 5–10 yr survival or until DEQ closure, escrow/holdback or guaranty, PLL insurance, clarify migration coverage, carve REC-1 out of §8.3 release, include vapor mitigation, tenant claims, lost rent and diminution in value; add Buyer control of remediation to commercial standards.</w:t>
            </w:r>
          </w:p>
        </w:tc>
      </w:tr>
      <w:tr>
        <w:tc>
          <w:tcPr>
            <w:tcW w:type="dxa" w:w="432"/>
            <w:shd w:val="clear" w:color="auto" w:fill="EEF2F8"/>
          </w:tcPr>
          <w:p>
            <w:pPr>
              <w:spacing w:after="20"/>
            </w:pPr>
            <w:r/>
            <w:r>
              <w:rPr>
                <w:b w:val="0"/>
                <w:i w:val="0"/>
                <w:sz w:val="15"/>
              </w:rPr>
              <w:t>4</w:t>
            </w:r>
          </w:p>
        </w:tc>
        <w:tc>
          <w:tcPr>
            <w:tcW w:type="dxa" w:w="864"/>
            <w:shd w:val="clear" w:color="auto" w:fill="EEF2F8"/>
          </w:tcPr>
          <w:p>
            <w:pPr>
              <w:spacing w:after="20"/>
            </w:pPr>
            <w:r/>
            <w:r>
              <w:rPr>
                <w:b w:val="0"/>
                <w:i w:val="0"/>
                <w:sz w:val="15"/>
              </w:rPr>
              <w:t>Critical</w:t>
            </w:r>
          </w:p>
        </w:tc>
        <w:tc>
          <w:tcPr>
            <w:tcW w:type="dxa" w:w="1800"/>
            <w:shd w:val="clear" w:color="auto" w:fill="EEF2F8"/>
          </w:tcPr>
          <w:p>
            <w:pPr>
              <w:spacing w:after="20"/>
            </w:pPr>
            <w:r/>
            <w:r>
              <w:rPr>
                <w:b w:val="0"/>
                <w:i w:val="0"/>
                <w:sz w:val="15"/>
              </w:rPr>
              <w:t>Phase II timeline exceeds the Due Diligence Period</w:t>
            </w:r>
          </w:p>
          <w:p>
            <w:pPr>
              <w:spacing w:after="20"/>
            </w:pPr>
            <w:r>
              <w:rPr>
                <w:b w:val="0"/>
                <w:i w:val="0"/>
                <w:sz w:val="15"/>
              </w:rPr>
              <w:t>§§4.1, 4.3, 8.2</w:t>
            </w:r>
          </w:p>
        </w:tc>
        <w:tc>
          <w:tcPr>
            <w:tcW w:type="dxa" w:w="3816"/>
            <w:shd w:val="clear" w:color="auto" w:fill="EEF2F8"/>
          </w:tcPr>
          <w:p>
            <w:pPr>
              <w:spacing w:after="20"/>
            </w:pPr>
            <w:r/>
            <w:r>
              <w:rPr>
                <w:b w:val="0"/>
                <w:i w:val="0"/>
                <w:sz w:val="15"/>
              </w:rPr>
              <w:t>Even if authorized now (≈Oct 10–14), Clearfield mobilizes ≈Oct 25–31; field work plus 4–6 weeks for preliminary data puts results in early-to-mid December 2024 — after Nov 21 DD expiry and the Nov 29 Additional Deposit, and possibly after Dec 6. Post-DD discovery gives no termination right.</w:t>
            </w:r>
          </w:p>
        </w:tc>
        <w:tc>
          <w:tcPr>
            <w:tcW w:type="dxa" w:w="2736"/>
            <w:shd w:val="clear" w:color="auto" w:fill="EEF2F8"/>
          </w:tcPr>
          <w:p>
            <w:pPr>
              <w:spacing w:after="20"/>
            </w:pPr>
            <w:r/>
            <w:r>
              <w:rPr>
                <w:b w:val="0"/>
                <w:i w:val="0"/>
                <w:sz w:val="15"/>
              </w:rPr>
              <w:t>Authorize Phase II and DEQ FOIA immediately; request expedited lab turnaround. Seek a DD extension or a separate environmental contingency running to 10 BD after receipt of final Phase II results, with full Deposit refund; if Seller refuses, defer the Additional Deposit until results are in.</w:t>
            </w:r>
          </w:p>
        </w:tc>
      </w:tr>
      <w:tr>
        <w:tc>
          <w:tcPr>
            <w:tcW w:type="dxa" w:w="432"/>
          </w:tcPr>
          <w:p>
            <w:pPr>
              <w:spacing w:after="20"/>
            </w:pPr>
            <w:r/>
            <w:r>
              <w:rPr>
                <w:b w:val="0"/>
                <w:i w:val="0"/>
                <w:sz w:val="15"/>
              </w:rPr>
              <w:t>5</w:t>
            </w:r>
          </w:p>
        </w:tc>
        <w:tc>
          <w:tcPr>
            <w:tcW w:type="dxa" w:w="864"/>
          </w:tcPr>
          <w:p>
            <w:pPr>
              <w:spacing w:after="20"/>
            </w:pPr>
            <w:r/>
            <w:r>
              <w:rPr>
                <w:b w:val="0"/>
                <w:i w:val="0"/>
                <w:sz w:val="15"/>
              </w:rPr>
              <w:t>High</w:t>
            </w:r>
          </w:p>
        </w:tc>
        <w:tc>
          <w:tcPr>
            <w:tcW w:type="dxa" w:w="1800"/>
          </w:tcPr>
          <w:p>
            <w:pPr>
              <w:spacing w:after="20"/>
            </w:pPr>
            <w:r/>
            <w:r>
              <w:rPr>
                <w:b w:val="0"/>
                <w:i w:val="0"/>
                <w:sz w:val="15"/>
              </w:rPr>
              <w:t>Phase I viability, scope and reliance</w:t>
            </w:r>
          </w:p>
          <w:p>
            <w:pPr>
              <w:spacing w:after="20"/>
            </w:pPr>
            <w:r>
              <w:rPr>
                <w:b w:val="0"/>
                <w:i w:val="0"/>
                <w:sz w:val="15"/>
              </w:rPr>
              <w:t>Phase I §§1, 8; PSA §4.2(d)</w:t>
            </w:r>
          </w:p>
        </w:tc>
        <w:tc>
          <w:tcPr>
            <w:tcW w:type="dxa" w:w="3816"/>
          </w:tcPr>
          <w:p>
            <w:pPr>
              <w:spacing w:after="20"/>
            </w:pPr>
            <w:r/>
            <w:r>
              <w:rPr>
                <w:b w:val="0"/>
                <w:i w:val="0"/>
                <w:sz w:val="15"/>
              </w:rPr>
              <w:t>Phase I components must be within 180 days of acquisition for AAI/CERCLA defenses: database (7/15/2024) lapses 1/11/2025; site visit (7/29–30) lapses 1/25/2025 — before or near Closing and certainly before an extended Closing. We have only the Executive Summary; reliance is limited to Calverley, Pinnacle, HMS and Commonwealth Title (not Bridgewater or the SPE). Clearfield’s liability is capped at its fee. §4.2(d) treats the Buyer-commissioned Phase I as a Seller deliverable, reinforcing the §7.1(k) carve-out.</w:t>
            </w:r>
          </w:p>
        </w:tc>
        <w:tc>
          <w:tcPr>
            <w:tcW w:type="dxa" w:w="2736"/>
          </w:tcPr>
          <w:p>
            <w:pPr>
              <w:spacing w:after="20"/>
            </w:pPr>
            <w:r/>
            <w:r>
              <w:rPr>
                <w:b w:val="0"/>
                <w:i w:val="0"/>
                <w:sz w:val="15"/>
              </w:rPr>
              <w:t>Order Phase I update to be completed within 180 days before Closing (including user environmental lien/AUL search and user questionnaire); obtain the full report; add reliance for Bridgewater, the SPE and lender successors; plan post-closing BFPP ‘reasonable steps’ compliance.</w:t>
            </w:r>
          </w:p>
        </w:tc>
      </w:tr>
      <w:tr>
        <w:tc>
          <w:tcPr>
            <w:tcW w:type="dxa" w:w="432"/>
            <w:shd w:val="clear" w:color="auto" w:fill="EEF2F8"/>
          </w:tcPr>
          <w:p>
            <w:pPr>
              <w:spacing w:after="20"/>
            </w:pPr>
            <w:r/>
            <w:r>
              <w:rPr>
                <w:b w:val="0"/>
                <w:i w:val="0"/>
                <w:sz w:val="15"/>
              </w:rPr>
              <w:t>6</w:t>
            </w:r>
          </w:p>
        </w:tc>
        <w:tc>
          <w:tcPr>
            <w:tcW w:type="dxa" w:w="864"/>
            <w:shd w:val="clear" w:color="auto" w:fill="EEF2F8"/>
          </w:tcPr>
          <w:p>
            <w:pPr>
              <w:spacing w:after="20"/>
            </w:pPr>
            <w:r/>
            <w:r>
              <w:rPr>
                <w:b w:val="0"/>
                <w:i w:val="0"/>
                <w:sz w:val="15"/>
              </w:rPr>
              <w:t>High</w:t>
            </w:r>
          </w:p>
        </w:tc>
        <w:tc>
          <w:tcPr>
            <w:tcW w:type="dxa" w:w="1800"/>
            <w:shd w:val="clear" w:color="auto" w:fill="EEF2F8"/>
          </w:tcPr>
          <w:p>
            <w:pPr>
              <w:spacing w:after="20"/>
            </w:pPr>
            <w:r/>
            <w:r>
              <w:rPr>
                <w:b w:val="0"/>
                <w:i w:val="0"/>
                <w:sz w:val="15"/>
              </w:rPr>
              <w:t>SNDAs not a closing condition</w:t>
            </w:r>
          </w:p>
          <w:p>
            <w:pPr>
              <w:spacing w:after="20"/>
            </w:pPr>
            <w:r>
              <w:rPr>
                <w:b w:val="0"/>
                <w:i w:val="0"/>
                <w:sz w:val="15"/>
              </w:rPr>
              <w:t>§§9.1(f), 9.4</w:t>
            </w:r>
          </w:p>
        </w:tc>
        <w:tc>
          <w:tcPr>
            <w:tcW w:type="dxa" w:w="3816"/>
            <w:shd w:val="clear" w:color="auto" w:fill="EEF2F8"/>
          </w:tcPr>
          <w:p>
            <w:pPr>
              <w:spacing w:after="20"/>
            </w:pPr>
            <w:r/>
            <w:r>
              <w:rPr>
                <w:b w:val="0"/>
                <w:i w:val="0"/>
                <w:sz w:val="15"/>
              </w:rPr>
              <w:t>Five tenants &gt;15,000 RSF (Valerian, NovaTech, Chesapeake, Athena, RedPoint = 181,600 SF, 70.3% of leased SF) are targeted, but failure is excused if Seller used commercially reasonable efforts. Pinnacle will likely require SNDAs as a funding condition; the financing contingency expires Dec 6, well before SNDAs are likely to be returned. §9.1(f) (‘SNDAs required by Section 9.4’) is internally inconsistent with §9.4.</w:t>
            </w:r>
          </w:p>
        </w:tc>
        <w:tc>
          <w:tcPr>
            <w:tcW w:type="dxa" w:w="2736"/>
            <w:shd w:val="clear" w:color="auto" w:fill="EEF2F8"/>
          </w:tcPr>
          <w:p>
            <w:pPr>
              <w:spacing w:after="20"/>
            </w:pPr>
            <w:r/>
            <w:r>
              <w:rPr>
                <w:b w:val="0"/>
                <w:i w:val="0"/>
                <w:sz w:val="15"/>
              </w:rPr>
              <w:t>Obtain Pinnacle’s SNDA requirements and form now; send with estoppel requests; amend §9.4 to make SNDAs from the &gt;15,000 RSF tenants a condition (with full Deposit refund), or obtain lender confirmation that SNDAs are not a funding condition; fix §9.1(f) cross-reference.</w:t>
            </w:r>
          </w:p>
        </w:tc>
      </w:tr>
      <w:tr>
        <w:tc>
          <w:tcPr>
            <w:tcW w:type="dxa" w:w="432"/>
          </w:tcPr>
          <w:p>
            <w:pPr>
              <w:spacing w:after="20"/>
            </w:pPr>
            <w:r/>
            <w:r>
              <w:rPr>
                <w:b w:val="0"/>
                <w:i w:val="0"/>
                <w:sz w:val="15"/>
              </w:rPr>
              <w:t>7</w:t>
            </w:r>
          </w:p>
        </w:tc>
        <w:tc>
          <w:tcPr>
            <w:tcW w:type="dxa" w:w="864"/>
          </w:tcPr>
          <w:p>
            <w:pPr>
              <w:spacing w:after="20"/>
            </w:pPr>
            <w:r/>
            <w:r>
              <w:rPr>
                <w:b w:val="0"/>
                <w:i w:val="0"/>
                <w:sz w:val="15"/>
              </w:rPr>
              <w:t>High</w:t>
            </w:r>
          </w:p>
        </w:tc>
        <w:tc>
          <w:tcPr>
            <w:tcW w:type="dxa" w:w="1800"/>
          </w:tcPr>
          <w:p>
            <w:pPr>
              <w:spacing w:after="20"/>
            </w:pPr>
            <w:r/>
            <w:r>
              <w:rPr>
                <w:b w:val="0"/>
                <w:i w:val="0"/>
                <w:sz w:val="15"/>
              </w:rPr>
              <w:t>Estoppel condition — threshold, form and timing</w:t>
            </w:r>
          </w:p>
          <w:p>
            <w:pPr>
              <w:spacing w:after="20"/>
            </w:pPr>
            <w:r>
              <w:rPr>
                <w:b w:val="0"/>
                <w:i w:val="0"/>
                <w:sz w:val="15"/>
              </w:rPr>
              <w:t>§9.3; Exh. E</w:t>
            </w:r>
          </w:p>
        </w:tc>
        <w:tc>
          <w:tcPr>
            <w:tcW w:type="dxa" w:w="3816"/>
          </w:tcPr>
          <w:p>
            <w:pPr>
              <w:spacing w:after="20"/>
            </w:pPr>
            <w:r/>
            <w:r>
              <w:rPr>
                <w:b w:val="0"/>
                <w:i w:val="0"/>
                <w:sz w:val="15"/>
              </w:rPr>
              <w:t>80% of leased SF = 206,512 SF; Valerian (62,400 SF) is indispensable; slack only 51,628 SF. Seller obligation is efforts-only; deadline Dec 31, 2024 (holiday period); no ‘clean’ standard (an estoppel disclosing defaults still counts); no maximum age; no Seller estoppel backstop; Exh. E addressed to Calverley; form omits paid-through date, rent commencement/abatements, termination options (RedPoint), expansion/ROFO rights, guaranties, SNDA/subordination status, environmental/use statements, and cross-check to Exh. F. Ambiguity whether Garrison &amp; Holt (pre-rent-commencement) ‘occupies’ space.</w:t>
            </w:r>
          </w:p>
        </w:tc>
        <w:tc>
          <w:tcPr>
            <w:tcW w:type="dxa" w:w="2736"/>
          </w:tcPr>
          <w:p>
            <w:pPr>
              <w:spacing w:after="20"/>
            </w:pPr>
            <w:r/>
            <w:r>
              <w:rPr>
                <w:b w:val="0"/>
                <w:i w:val="0"/>
                <w:sz w:val="15"/>
              </w:rPr>
              <w:t>Amend: estoppels from (i) Valerian, NovaTech, Chesapeake, Athena and RedPoint plus (ii) 80% of leased SF in aggregate; ‘clean’ estoppels consistent with Exh. F and reps with no material adverse disclosure; dated ≤30 days before Closing; Seller estoppel backstop for up to 10% of SF; revise Exh. E (correct Buyer, add ‘affiliates, designees, successors and assigns,’ lender items); require Seller to send requests within 5 BD after Buyer approves forms.</w:t>
            </w:r>
          </w:p>
        </w:tc>
      </w:tr>
      <w:tr>
        <w:tc>
          <w:tcPr>
            <w:tcW w:type="dxa" w:w="432"/>
            <w:shd w:val="clear" w:color="auto" w:fill="EEF2F8"/>
          </w:tcPr>
          <w:p>
            <w:pPr>
              <w:spacing w:after="20"/>
            </w:pPr>
            <w:r/>
            <w:r>
              <w:rPr>
                <w:b w:val="0"/>
                <w:i w:val="0"/>
                <w:sz w:val="15"/>
              </w:rPr>
              <w:t>8</w:t>
            </w:r>
          </w:p>
        </w:tc>
        <w:tc>
          <w:tcPr>
            <w:tcW w:type="dxa" w:w="864"/>
            <w:shd w:val="clear" w:color="auto" w:fill="EEF2F8"/>
          </w:tcPr>
          <w:p>
            <w:pPr>
              <w:spacing w:after="20"/>
            </w:pPr>
            <w:r/>
            <w:r>
              <w:rPr>
                <w:b w:val="0"/>
                <w:i w:val="0"/>
                <w:sz w:val="15"/>
              </w:rPr>
              <w:t>High</w:t>
            </w:r>
          </w:p>
        </w:tc>
        <w:tc>
          <w:tcPr>
            <w:tcW w:type="dxa" w:w="1800"/>
            <w:shd w:val="clear" w:color="auto" w:fill="EEF2F8"/>
          </w:tcPr>
          <w:p>
            <w:pPr>
              <w:spacing w:after="20"/>
            </w:pPr>
            <w:r/>
            <w:r>
              <w:rPr>
                <w:b w:val="0"/>
                <w:i w:val="0"/>
                <w:sz w:val="15"/>
              </w:rPr>
              <w:t>No interim operating covenants</w:t>
            </w:r>
          </w:p>
          <w:p>
            <w:pPr>
              <w:spacing w:after="20"/>
            </w:pPr>
            <w:r>
              <w:rPr>
                <w:b w:val="0"/>
                <w:i w:val="0"/>
                <w:sz w:val="15"/>
              </w:rPr>
              <w:t>Article VII/IX (absent); §6.3</w:t>
            </w:r>
          </w:p>
        </w:tc>
        <w:tc>
          <w:tcPr>
            <w:tcW w:type="dxa" w:w="3816"/>
            <w:shd w:val="clear" w:color="auto" w:fill="EEF2F8"/>
          </w:tcPr>
          <w:p>
            <w:pPr>
              <w:spacing w:after="20"/>
            </w:pPr>
            <w:r/>
            <w:r>
              <w:rPr>
                <w:b w:val="0"/>
                <w:i w:val="0"/>
                <w:sz w:val="15"/>
              </w:rPr>
              <w:t>PSA contains no covenant restricting Seller, between Effective Date and Closing, from entering into, amending, renewing or terminating Leases, granting concessions, applying security deposits, entering into or modifying Service Contracts, encumbering title, removing personal property, or failing to maintain, insure and operate in the ordinary course. §6.3 refers to new leases ‘with Buyer’s prior written consent’ but imposes no consent requirement; §5.3(b) refers to encumbrances ‘in violation of this Agreement’ without an underlying covenant.</w:t>
            </w:r>
          </w:p>
        </w:tc>
        <w:tc>
          <w:tcPr>
            <w:tcW w:type="dxa" w:w="2736"/>
            <w:shd w:val="clear" w:color="auto" w:fill="EEF2F8"/>
          </w:tcPr>
          <w:p>
            <w:pPr>
              <w:spacing w:after="20"/>
            </w:pPr>
            <w:r/>
            <w:r>
              <w:rPr>
                <w:b w:val="0"/>
                <w:i w:val="0"/>
                <w:sz w:val="15"/>
              </w:rPr>
              <w:t>Add an interim operations covenant: ordinary-course operation, maintenance and insurance; no new/modified/terminated Leases or Service Contracts without Buyer consent (deemed approval after 5 BD during DD; sole discretion after DD); no new encumbrances; prompt notice of defaults, litigation, environmental notices; continued leasing reporting.</w:t>
            </w:r>
          </w:p>
        </w:tc>
      </w:tr>
      <w:tr>
        <w:tc>
          <w:tcPr>
            <w:tcW w:type="dxa" w:w="432"/>
          </w:tcPr>
          <w:p>
            <w:pPr>
              <w:spacing w:after="20"/>
            </w:pPr>
            <w:r/>
            <w:r>
              <w:rPr>
                <w:b w:val="0"/>
                <w:i w:val="0"/>
                <w:sz w:val="15"/>
              </w:rPr>
              <w:t>9</w:t>
            </w:r>
          </w:p>
        </w:tc>
        <w:tc>
          <w:tcPr>
            <w:tcW w:type="dxa" w:w="864"/>
          </w:tcPr>
          <w:p>
            <w:pPr>
              <w:spacing w:after="20"/>
            </w:pPr>
            <w:r/>
            <w:r>
              <w:rPr>
                <w:b w:val="0"/>
                <w:i w:val="0"/>
                <w:sz w:val="15"/>
              </w:rPr>
              <w:t>High</w:t>
            </w:r>
          </w:p>
        </w:tc>
        <w:tc>
          <w:tcPr>
            <w:tcW w:type="dxa" w:w="1800"/>
          </w:tcPr>
          <w:p>
            <w:pPr>
              <w:spacing w:after="20"/>
            </w:pPr>
            <w:r/>
            <w:r>
              <w:rPr>
                <w:b w:val="0"/>
                <w:i w:val="0"/>
                <w:sz w:val="15"/>
              </w:rPr>
              <w:t>Assignment to SPE</w:t>
            </w:r>
          </w:p>
          <w:p>
            <w:pPr>
              <w:spacing w:after="20"/>
            </w:pPr>
            <w:r>
              <w:rPr>
                <w:b w:val="0"/>
                <w:i w:val="0"/>
                <w:sz w:val="15"/>
              </w:rPr>
              <w:t>§§14.1–14.3</w:t>
            </w:r>
          </w:p>
        </w:tc>
        <w:tc>
          <w:tcPr>
            <w:tcW w:type="dxa" w:w="3816"/>
          </w:tcPr>
          <w:p>
            <w:pPr>
              <w:spacing w:after="20"/>
            </w:pPr>
            <w:r/>
            <w:r>
              <w:rPr>
                <w:b w:val="0"/>
                <w:i w:val="0"/>
                <w:sz w:val="15"/>
              </w:rPr>
              <w:t>Permitted for ‘affiliate or designee’ but ‘designee’ is undefined and conflicts with the affiliate-only rationale of §14.2; affiliate measured against Bridgewater; notice and executed assignment ≥10 BD before Closing (Dec 31, 2024), which may precede final loan structuring; original Buyer remains jointly and severally liable for all obligations, before and after Closing, without limit in time (including §4.3, §15.8 and Exh. D/H indemnities). Lender will require SPE borrower/title vesting.</w:t>
            </w:r>
          </w:p>
        </w:tc>
        <w:tc>
          <w:tcPr>
            <w:tcW w:type="dxa" w:w="2736"/>
          </w:tcPr>
          <w:p>
            <w:pPr>
              <w:spacing w:after="20"/>
            </w:pPr>
            <w:r/>
            <w:r>
              <w:rPr>
                <w:b w:val="0"/>
                <w:i w:val="0"/>
                <w:sz w:val="15"/>
              </w:rPr>
              <w:t>Amend §14.3: permit assignment to any entity controlled by, or under common control with, Calverley/Bridgewater or funds managed by their affiliates; reduce notice to 3 BD; release assignor at Closing from post-Closing obligations (or limit survival to pre-Closing obligations); confirm assignee benefits from reps, §8.4 indemnity, estoppels, title policy and Phase I reliance; allow collateral assignment to Pinnacle.</w:t>
            </w:r>
          </w:p>
        </w:tc>
      </w:tr>
      <w:tr>
        <w:tc>
          <w:tcPr>
            <w:tcW w:type="dxa" w:w="432"/>
            <w:shd w:val="clear" w:color="auto" w:fill="EEF2F8"/>
          </w:tcPr>
          <w:p>
            <w:pPr>
              <w:spacing w:after="20"/>
            </w:pPr>
            <w:r/>
            <w:r>
              <w:rPr>
                <w:b w:val="0"/>
                <w:i w:val="0"/>
                <w:sz w:val="15"/>
              </w:rPr>
              <w:t>10</w:t>
            </w:r>
          </w:p>
        </w:tc>
        <w:tc>
          <w:tcPr>
            <w:tcW w:type="dxa" w:w="864"/>
            <w:shd w:val="clear" w:color="auto" w:fill="EEF2F8"/>
          </w:tcPr>
          <w:p>
            <w:pPr>
              <w:spacing w:after="20"/>
            </w:pPr>
            <w:r/>
            <w:r>
              <w:rPr>
                <w:b w:val="0"/>
                <w:i w:val="0"/>
                <w:sz w:val="15"/>
              </w:rPr>
              <w:t>High</w:t>
            </w:r>
          </w:p>
        </w:tc>
        <w:tc>
          <w:tcPr>
            <w:tcW w:type="dxa" w:w="1800"/>
            <w:shd w:val="clear" w:color="auto" w:fill="EEF2F8"/>
          </w:tcPr>
          <w:p>
            <w:pPr>
              <w:spacing w:after="20"/>
            </w:pPr>
            <w:r/>
            <w:r>
              <w:rPr>
                <w:b w:val="0"/>
                <w:i w:val="0"/>
                <w:sz w:val="15"/>
              </w:rPr>
              <w:t>Dispute resolution vs. specific performance window</w:t>
            </w:r>
          </w:p>
          <w:p>
            <w:pPr>
              <w:spacing w:after="20"/>
            </w:pPr>
            <w:r>
              <w:rPr>
                <w:b w:val="0"/>
                <w:i w:val="0"/>
                <w:sz w:val="15"/>
              </w:rPr>
              <w:t>§§12.2(a), 12.3, 15.4</w:t>
            </w:r>
          </w:p>
        </w:tc>
        <w:tc>
          <w:tcPr>
            <w:tcW w:type="dxa" w:w="3816"/>
            <w:shd w:val="clear" w:color="auto" w:fill="EEF2F8"/>
          </w:tcPr>
          <w:p>
            <w:pPr>
              <w:spacing w:after="20"/>
            </w:pPr>
            <w:r/>
            <w:r>
              <w:rPr>
                <w:b w:val="0"/>
                <w:i w:val="0"/>
                <w:sz w:val="15"/>
              </w:rPr>
              <w:t>Specific performance action must be commenced within 60 days after the scheduled Closing Date or Buyer is deemed to elect termination. Mandatory mediation may take up to 90 days (30 days to commence + 60 days to complete) before arbitration, so the window can expire during mediation. Arbitration may not support a lis pendens (memorandum of lis pendens in Virginia generally requires a court action). §12.3 interpleader in Fairfax court sits awkwardly with mandatory arbitration.</w:t>
            </w:r>
          </w:p>
        </w:tc>
        <w:tc>
          <w:tcPr>
            <w:tcW w:type="dxa" w:w="2736"/>
            <w:shd w:val="clear" w:color="auto" w:fill="EEF2F8"/>
          </w:tcPr>
          <w:p>
            <w:pPr>
              <w:spacing w:after="20"/>
            </w:pPr>
            <w:r/>
            <w:r>
              <w:rPr>
                <w:b w:val="0"/>
                <w:i w:val="0"/>
                <w:sz w:val="15"/>
              </w:rPr>
              <w:t>Carve out from §15.4 actions for specific performance, injunctive relief and lis pendens (court in Fairfax County), and interpleader; alternatively toll the 60-day period during mediation and clarify that a mediation demand ‘commences’ the action.</w:t>
            </w:r>
          </w:p>
        </w:tc>
      </w:tr>
      <w:tr>
        <w:tc>
          <w:tcPr>
            <w:tcW w:type="dxa" w:w="432"/>
          </w:tcPr>
          <w:p>
            <w:pPr>
              <w:spacing w:after="20"/>
            </w:pPr>
            <w:r/>
            <w:r>
              <w:rPr>
                <w:b w:val="0"/>
                <w:i w:val="0"/>
                <w:sz w:val="15"/>
              </w:rPr>
              <w:t>11</w:t>
            </w:r>
          </w:p>
        </w:tc>
        <w:tc>
          <w:tcPr>
            <w:tcW w:type="dxa" w:w="864"/>
          </w:tcPr>
          <w:p>
            <w:pPr>
              <w:spacing w:after="20"/>
            </w:pPr>
            <w:r/>
            <w:r>
              <w:rPr>
                <w:b w:val="0"/>
                <w:i w:val="0"/>
                <w:sz w:val="15"/>
              </w:rPr>
              <w:t>Medium</w:t>
            </w:r>
          </w:p>
        </w:tc>
        <w:tc>
          <w:tcPr>
            <w:tcW w:type="dxa" w:w="1800"/>
          </w:tcPr>
          <w:p>
            <w:pPr>
              <w:spacing w:after="20"/>
            </w:pPr>
            <w:r/>
            <w:r>
              <w:rPr>
                <w:b w:val="0"/>
                <w:i w:val="0"/>
                <w:sz w:val="15"/>
              </w:rPr>
              <w:t>Closing extension mechanics</w:t>
            </w:r>
          </w:p>
          <w:p>
            <w:pPr>
              <w:spacing w:after="20"/>
            </w:pPr>
            <w:r>
              <w:rPr>
                <w:b w:val="0"/>
                <w:i w:val="0"/>
                <w:sz w:val="15"/>
              </w:rPr>
              <w:t>§§1.1, 13.1, 13.5, 9.3, 15.11</w:t>
            </w:r>
          </w:p>
        </w:tc>
        <w:tc>
          <w:tcPr>
            <w:tcW w:type="dxa" w:w="3816"/>
          </w:tcPr>
          <w:p>
            <w:pPr>
              <w:spacing w:after="20"/>
            </w:pPr>
            <w:r/>
            <w:r>
              <w:rPr>
                <w:b w:val="0"/>
                <w:i w:val="0"/>
                <w:sz w:val="15"/>
              </w:rPr>
              <w:t>Either party (including Seller, unilaterally) may extend Closing to Feb 14, 2025 ‘if Closing does not occur on’ Jan 15 — no advance notice deadline, which conflicts with time-of-the-essence and could be invoked after a missed closing to defeat a default. Second extension to March 1, 2025 is a Saturday. Unclear whether the §9.3 15-day estoppel extension can push beyond March 1. Extensions affect rate locks, the 180-day Phase I window, estoppel staleness and §14.3 notice timing.</w:t>
            </w:r>
          </w:p>
        </w:tc>
        <w:tc>
          <w:tcPr>
            <w:tcW w:type="dxa" w:w="2736"/>
          </w:tcPr>
          <w:p>
            <w:pPr>
              <w:spacing w:after="20"/>
            </w:pPr>
            <w:r/>
            <w:r>
              <w:rPr>
                <w:b w:val="0"/>
                <w:i w:val="0"/>
                <w:sz w:val="15"/>
              </w:rPr>
              <w:t>Limit first extension to written notice ≥5 BD before Jan 15 and to specified reasons (e.g., Buyer’s lender, Seller cure of title/estoppels); move final outside date to Friday Feb 28 or Monday Mar 3, 2025; clarify interplay with §9.3.</w:t>
            </w:r>
          </w:p>
        </w:tc>
      </w:tr>
      <w:tr>
        <w:tc>
          <w:tcPr>
            <w:tcW w:type="dxa" w:w="432"/>
            <w:shd w:val="clear" w:color="auto" w:fill="EEF2F8"/>
          </w:tcPr>
          <w:p>
            <w:pPr>
              <w:spacing w:after="20"/>
            </w:pPr>
            <w:r/>
            <w:r>
              <w:rPr>
                <w:b w:val="0"/>
                <w:i w:val="0"/>
                <w:sz w:val="15"/>
              </w:rPr>
              <w:t>12</w:t>
            </w:r>
          </w:p>
        </w:tc>
        <w:tc>
          <w:tcPr>
            <w:tcW w:type="dxa" w:w="864"/>
            <w:shd w:val="clear" w:color="auto" w:fill="EEF2F8"/>
          </w:tcPr>
          <w:p>
            <w:pPr>
              <w:spacing w:after="20"/>
            </w:pPr>
            <w:r/>
            <w:r>
              <w:rPr>
                <w:b w:val="0"/>
                <w:i w:val="0"/>
                <w:sz w:val="15"/>
              </w:rPr>
              <w:t>Medium</w:t>
            </w:r>
          </w:p>
        </w:tc>
        <w:tc>
          <w:tcPr>
            <w:tcW w:type="dxa" w:w="1800"/>
            <w:shd w:val="clear" w:color="auto" w:fill="EEF2F8"/>
          </w:tcPr>
          <w:p>
            <w:pPr>
              <w:spacing w:after="20"/>
            </w:pPr>
            <w:r/>
            <w:r>
              <w:rPr>
                <w:b w:val="0"/>
                <w:i w:val="0"/>
                <w:sz w:val="15"/>
              </w:rPr>
              <w:t>Title/survey process and Permitted Exceptions</w:t>
            </w:r>
          </w:p>
          <w:p>
            <w:pPr>
              <w:spacing w:after="20"/>
            </w:pPr>
            <w:r>
              <w:rPr>
                <w:b w:val="0"/>
                <w:i w:val="0"/>
                <w:sz w:val="15"/>
              </w:rPr>
              <w:t>§§5.1–5.3; Exh. B</w:t>
            </w:r>
          </w:p>
        </w:tc>
        <w:tc>
          <w:tcPr>
            <w:tcW w:type="dxa" w:w="3816"/>
            <w:shd w:val="clear" w:color="auto" w:fill="EEF2F8"/>
          </w:tcPr>
          <w:p>
            <w:pPr>
              <w:spacing w:after="20"/>
            </w:pPr>
            <w:r/>
            <w:r>
              <w:rPr>
                <w:b w:val="0"/>
                <w:i w:val="0"/>
                <w:sz w:val="15"/>
              </w:rPr>
              <w:t>Title Objection Deadline (Nov 14) requires early commitment and new ALTA survey (existing survey is from 2013). Seller response may run to ≈Dec 6 and Buyer’s election to ≈Dec 20, after DD expiry and Additional Deposit (protected by full refund, but extends uncertainty). No deemed response if Seller is silent. No right to object to new matters first appearing after Nov 14 (gap, survey updates, commitment updates) unless Seller-created. Exh. B item 10 makes the standard survey and mechanic’s lien exceptions Permitted Exceptions, conflicting with extended coverage expected by Pinnacle — material given $1.235M of pending TI work. Exh. B item 9 preserves tenant purchase rights ‘expressly set forth in the Leases’.</w:t>
            </w:r>
          </w:p>
        </w:tc>
        <w:tc>
          <w:tcPr>
            <w:tcW w:type="dxa" w:w="2736"/>
            <w:shd w:val="clear" w:color="auto" w:fill="EEF2F8"/>
          </w:tcPr>
          <w:p>
            <w:pPr>
              <w:spacing w:after="20"/>
            </w:pPr>
            <w:r/>
            <w:r>
              <w:rPr>
                <w:b w:val="0"/>
                <w:i w:val="0"/>
                <w:sz w:val="15"/>
              </w:rPr>
              <w:t>Order title and ALTA survey now (coordinate with Jennifer Walsh); amend to (i) deem Seller’s silence an election not to cure, (ii) give Buyer objection rights for new matters with a 5 BD response cycle, (iii) delete standard exceptions from Exh. B to the extent removable by survey/owner’s affidavit, and (iv) require Seller lien waivers/indemnity for pending TI work; review all Leases for ROFR/ROFO/purchase options.</w:t>
            </w:r>
          </w:p>
        </w:tc>
      </w:tr>
      <w:tr>
        <w:tc>
          <w:tcPr>
            <w:tcW w:type="dxa" w:w="432"/>
          </w:tcPr>
          <w:p>
            <w:pPr>
              <w:spacing w:after="20"/>
            </w:pPr>
            <w:r/>
            <w:r>
              <w:rPr>
                <w:b w:val="0"/>
                <w:i w:val="0"/>
                <w:sz w:val="15"/>
              </w:rPr>
              <w:t>13</w:t>
            </w:r>
          </w:p>
        </w:tc>
        <w:tc>
          <w:tcPr>
            <w:tcW w:type="dxa" w:w="864"/>
          </w:tcPr>
          <w:p>
            <w:pPr>
              <w:spacing w:after="20"/>
            </w:pPr>
            <w:r/>
            <w:r>
              <w:rPr>
                <w:b w:val="0"/>
                <w:i w:val="0"/>
                <w:sz w:val="15"/>
              </w:rPr>
              <w:t>Medium</w:t>
            </w:r>
          </w:p>
        </w:tc>
        <w:tc>
          <w:tcPr>
            <w:tcW w:type="dxa" w:w="1800"/>
          </w:tcPr>
          <w:p>
            <w:pPr>
              <w:spacing w:after="20"/>
            </w:pPr>
            <w:r/>
            <w:r>
              <w:rPr>
                <w:b w:val="0"/>
                <w:i w:val="0"/>
                <w:sz w:val="15"/>
              </w:rPr>
              <w:t>Legal description and adjacency discrepancies</w:t>
            </w:r>
          </w:p>
          <w:p>
            <w:pPr>
              <w:spacing w:after="20"/>
            </w:pPr>
            <w:r>
              <w:rPr>
                <w:b w:val="0"/>
                <w:i w:val="0"/>
                <w:sz w:val="15"/>
              </w:rPr>
              <w:t>Exh. A; Phase I §§2–3</w:t>
            </w:r>
          </w:p>
        </w:tc>
        <w:tc>
          <w:tcPr>
            <w:tcW w:type="dxa" w:w="3816"/>
          </w:tcPr>
          <w:p>
            <w:pPr>
              <w:spacing w:after="20"/>
            </w:pPr>
            <w:r/>
            <w:r>
              <w:rPr>
                <w:b w:val="0"/>
                <w:i w:val="0"/>
                <w:sz w:val="15"/>
              </w:rPr>
              <w:t>HMS’s plotting of Exhibit A’s twelve courses (curves by chord) does not close — misclosure ≈339 feet — and the enclosed area does not compute to the stated 22.800 acres; curve 1 data are slightly inconsistent (R=450, arc 287.54 yields chord ≈282.67 ft vs. 282.97 stated). Exhibit A places the Land in the ‘Dranesville District’ (Reston is generally in the Hunter Mill District). Exhibit A describes the southern adjoiner as Parcel 0264-01-0018 and the western boundary as Sunrise Valley Drive, whereas the Phase I describes Parcel 0264-01-0019 as immediately southwest and County parkland to the west.</w:t>
            </w:r>
          </w:p>
        </w:tc>
        <w:tc>
          <w:tcPr>
            <w:tcW w:type="dxa" w:w="2736"/>
          </w:tcPr>
          <w:p>
            <w:pPr>
              <w:spacing w:after="20"/>
            </w:pPr>
            <w:r/>
            <w:r>
              <w:rPr>
                <w:b w:val="0"/>
                <w:i w:val="0"/>
                <w:sz w:val="15"/>
              </w:rPr>
              <w:t>Surveyor to reconcile the legal description to the recorded plat (DB 24837/1412) and vesting deed (DB 25104/0887); conform the deed and title policy; confirm the true location of Parcel 0264-01-0019 relative to the boundary and Building C (affects Phase II well placement and CERCLA contiguous-owner analysis).</w:t>
            </w:r>
          </w:p>
        </w:tc>
      </w:tr>
      <w:tr>
        <w:tc>
          <w:tcPr>
            <w:tcW w:type="dxa" w:w="432"/>
            <w:shd w:val="clear" w:color="auto" w:fill="EEF2F8"/>
          </w:tcPr>
          <w:p>
            <w:pPr>
              <w:spacing w:after="20"/>
            </w:pPr>
            <w:r/>
            <w:r>
              <w:rPr>
                <w:b w:val="0"/>
                <w:i w:val="0"/>
                <w:sz w:val="15"/>
              </w:rPr>
              <w:t>14</w:t>
            </w:r>
          </w:p>
        </w:tc>
        <w:tc>
          <w:tcPr>
            <w:tcW w:type="dxa" w:w="864"/>
            <w:shd w:val="clear" w:color="auto" w:fill="EEF2F8"/>
          </w:tcPr>
          <w:p>
            <w:pPr>
              <w:spacing w:after="20"/>
            </w:pPr>
            <w:r/>
            <w:r>
              <w:rPr>
                <w:b w:val="0"/>
                <w:i w:val="0"/>
                <w:sz w:val="15"/>
              </w:rPr>
              <w:t>Medium</w:t>
            </w:r>
          </w:p>
        </w:tc>
        <w:tc>
          <w:tcPr>
            <w:tcW w:type="dxa" w:w="1800"/>
            <w:shd w:val="clear" w:color="auto" w:fill="EEF2F8"/>
          </w:tcPr>
          <w:p>
            <w:pPr>
              <w:spacing w:after="20"/>
            </w:pPr>
            <w:r/>
            <w:r>
              <w:rPr>
                <w:b w:val="0"/>
                <w:i w:val="0"/>
                <w:sz w:val="15"/>
              </w:rPr>
              <w:t>Rep survival, limitations and update mechanics</w:t>
            </w:r>
          </w:p>
          <w:p>
            <w:pPr>
              <w:spacing w:after="20"/>
            </w:pPr>
            <w:r>
              <w:rPr>
                <w:b w:val="0"/>
                <w:i w:val="0"/>
                <w:sz w:val="15"/>
              </w:rPr>
              <w:t>§§7.1, 7.2, 7.3, 7.4</w:t>
            </w:r>
          </w:p>
        </w:tc>
        <w:tc>
          <w:tcPr>
            <w:tcW w:type="dxa" w:w="3816"/>
            <w:shd w:val="clear" w:color="auto" w:fill="EEF2F8"/>
          </w:tcPr>
          <w:p>
            <w:pPr>
              <w:spacing w:after="20"/>
            </w:pPr>
            <w:r/>
            <w:r>
              <w:rPr>
                <w:b w:val="0"/>
                <w:i w:val="0"/>
                <w:sz w:val="15"/>
              </w:rPr>
              <w:t>12-month survival; $175K deductible; $4.3875M cap; knowledge limited to Ellison; no post-Closing credit support from a single-asset Seller. §7.2 lets Seller ‘identify changes’ in the closing certificate; it is unclear whether disclosure cures a breach, whether Seller is liable when a change results from its own breach, and the 5-BD election window after receipt of the certificate (delivered ‘at Closing’) is unworkable.</w:t>
            </w:r>
          </w:p>
        </w:tc>
        <w:tc>
          <w:tcPr>
            <w:tcW w:type="dxa" w:w="2736"/>
            <w:shd w:val="clear" w:color="auto" w:fill="EEF2F8"/>
          </w:tcPr>
          <w:p>
            <w:pPr>
              <w:spacing w:after="20"/>
            </w:pPr>
            <w:r/>
            <w:r>
              <w:rPr>
                <w:b w:val="0"/>
                <w:i w:val="0"/>
                <w:sz w:val="15"/>
              </w:rPr>
              <w:t>Require certificate 5 BD before Closing; clarify updates do not cure breaches caused by Seller; add survival escrow/holdback (e.g., the Cap amount for 12 months) or creditworthy parent guaranty; consider 18-month survival and a smaller deductible (0.1–0.2% of price) as a tipping basket; add Seller’s property manager to the knowledge group.</w:t>
            </w:r>
          </w:p>
        </w:tc>
      </w:tr>
      <w:tr>
        <w:tc>
          <w:tcPr>
            <w:tcW w:type="dxa" w:w="432"/>
          </w:tcPr>
          <w:p>
            <w:pPr>
              <w:spacing w:after="20"/>
            </w:pPr>
            <w:r/>
            <w:r>
              <w:rPr>
                <w:b w:val="0"/>
                <w:i w:val="0"/>
                <w:sz w:val="15"/>
              </w:rPr>
              <w:t>15</w:t>
            </w:r>
          </w:p>
        </w:tc>
        <w:tc>
          <w:tcPr>
            <w:tcW w:type="dxa" w:w="864"/>
          </w:tcPr>
          <w:p>
            <w:pPr>
              <w:spacing w:after="20"/>
            </w:pPr>
            <w:r/>
            <w:r>
              <w:rPr>
                <w:b w:val="0"/>
                <w:i w:val="0"/>
                <w:sz w:val="15"/>
              </w:rPr>
              <w:t>Medium</w:t>
            </w:r>
          </w:p>
        </w:tc>
        <w:tc>
          <w:tcPr>
            <w:tcW w:type="dxa" w:w="1800"/>
          </w:tcPr>
          <w:p>
            <w:pPr>
              <w:spacing w:after="20"/>
            </w:pPr>
            <w:r/>
            <w:r>
              <w:rPr>
                <w:b w:val="0"/>
                <w:i w:val="0"/>
                <w:sz w:val="15"/>
              </w:rPr>
              <w:t>Litigation disclosure inconsistency; no general pre-Closing indemnity</w:t>
            </w:r>
          </w:p>
          <w:p>
            <w:pPr>
              <w:spacing w:after="20"/>
            </w:pPr>
            <w:r>
              <w:rPr>
                <w:b w:val="0"/>
                <w:i w:val="0"/>
                <w:sz w:val="15"/>
              </w:rPr>
              <w:t>§7.1(e), §7.1(i), Sched. 7.1(e); Exh. D</w:t>
            </w:r>
          </w:p>
        </w:tc>
        <w:tc>
          <w:tcPr>
            <w:tcW w:type="dxa" w:w="3816"/>
          </w:tcPr>
          <w:p>
            <w:pPr>
              <w:spacing w:after="20"/>
            </w:pPr>
            <w:r/>
            <w:r>
              <w:rPr>
                <w:b w:val="0"/>
                <w:i w:val="0"/>
                <w:sz w:val="15"/>
              </w:rPr>
              <w:t>Doe claim of ≈$175,000 vs. a $25,000 deductible: the claim is ‘covered by insurance’ yet ‘expected to be resolved below the deductible’ — i.e., Seller expects to self-fund any resolution. Other than lease and service-contract indemnities in Exhs. D and H, there is no Seller indemnity for pre-Closing third-party claims (e.g., premises liability).</w:t>
            </w:r>
          </w:p>
        </w:tc>
        <w:tc>
          <w:tcPr>
            <w:tcW w:type="dxa" w:w="2736"/>
          </w:tcPr>
          <w:p>
            <w:pPr>
              <w:spacing w:after="20"/>
            </w:pPr>
            <w:r/>
            <w:r>
              <w:rPr>
                <w:b w:val="0"/>
                <w:i w:val="0"/>
                <w:sz w:val="15"/>
              </w:rPr>
              <w:t>Obtain pleadings and carrier position; add a Seller indemnity for pre-Closing operations and third-party claims (outside the §7.4 basket/cap), surviving at least for the limitations period.</w:t>
            </w:r>
          </w:p>
        </w:tc>
      </w:tr>
      <w:tr>
        <w:tc>
          <w:tcPr>
            <w:tcW w:type="dxa" w:w="432"/>
            <w:shd w:val="clear" w:color="auto" w:fill="EEF2F8"/>
          </w:tcPr>
          <w:p>
            <w:pPr>
              <w:spacing w:after="20"/>
            </w:pPr>
            <w:r/>
            <w:r>
              <w:rPr>
                <w:b w:val="0"/>
                <w:i w:val="0"/>
                <w:sz w:val="15"/>
              </w:rPr>
              <w:t>16</w:t>
            </w:r>
          </w:p>
        </w:tc>
        <w:tc>
          <w:tcPr>
            <w:tcW w:type="dxa" w:w="864"/>
            <w:shd w:val="clear" w:color="auto" w:fill="EEF2F8"/>
          </w:tcPr>
          <w:p>
            <w:pPr>
              <w:spacing w:after="20"/>
            </w:pPr>
            <w:r/>
            <w:r>
              <w:rPr>
                <w:b w:val="0"/>
                <w:i w:val="0"/>
                <w:sz w:val="15"/>
              </w:rPr>
              <w:t>Medium</w:t>
            </w:r>
          </w:p>
        </w:tc>
        <w:tc>
          <w:tcPr>
            <w:tcW w:type="dxa" w:w="1800"/>
            <w:shd w:val="clear" w:color="auto" w:fill="EEF2F8"/>
          </w:tcPr>
          <w:p>
            <w:pPr>
              <w:spacing w:after="20"/>
            </w:pPr>
            <w:r/>
            <w:r>
              <w:rPr>
                <w:b w:val="0"/>
                <w:i w:val="0"/>
                <w:sz w:val="15"/>
              </w:rPr>
              <w:t>TI/LC and free rent credits</w:t>
            </w:r>
          </w:p>
          <w:p>
            <w:pPr>
              <w:spacing w:after="20"/>
            </w:pPr>
            <w:r>
              <w:rPr>
                <w:b w:val="0"/>
                <w:i w:val="0"/>
                <w:sz w:val="15"/>
              </w:rPr>
              <w:t>§§3.5, 6.3, 7.1(g); Exh. F</w:t>
            </w:r>
          </w:p>
        </w:tc>
        <w:tc>
          <w:tcPr>
            <w:tcW w:type="dxa" w:w="3816"/>
            <w:shd w:val="clear" w:color="auto" w:fill="EEF2F8"/>
          </w:tcPr>
          <w:p>
            <w:pPr>
              <w:spacing w:after="20"/>
            </w:pPr>
            <w:r/>
            <w:r>
              <w:rPr>
                <w:b w:val="0"/>
                <w:i w:val="0"/>
                <w:sz w:val="15"/>
              </w:rPr>
              <w:t>§6.3 describes ‘three (3) pending lease transactions,’ but Exh. F shows unpaid obligations under existing leases (CrestLine 2022; Clearview 2023; Garrison &amp; Holt 2023). The credit is ‘approximately’ $1,235,000. Per-SF amounts are high (≈$67.93, $90.00, $107.27/SF) and should be verified against the Leases. Garrison &amp; Holt’s rent commencement is ‘estimated’ 1/1/2025 (≈16 months after lease start) — any slippage or abatement extending past Closing is not credited. Leasing commissions due on renewals/expansions under existing leases or brokerage agreements are not allocated.</w:t>
            </w:r>
          </w:p>
        </w:tc>
        <w:tc>
          <w:tcPr>
            <w:tcW w:type="dxa" w:w="2736"/>
            <w:shd w:val="clear" w:color="auto" w:fill="EEF2F8"/>
          </w:tcPr>
          <w:p>
            <w:pPr>
              <w:spacing w:after="20"/>
            </w:pPr>
            <w:r/>
            <w:r>
              <w:rPr>
                <w:b w:val="0"/>
                <w:i w:val="0"/>
                <w:sz w:val="15"/>
              </w:rPr>
              <w:t>Amend to credit the greater of $1,235,000 or actual unpaid amounts per Leases/brokerage agreements; add credit for free rent/abatements attributable to post-Closing periods; Seller to deliver all leasing commission agreements; tie estoppels to confirm amounts.</w:t>
            </w:r>
          </w:p>
        </w:tc>
      </w:tr>
      <w:tr>
        <w:tc>
          <w:tcPr>
            <w:tcW w:type="dxa" w:w="432"/>
          </w:tcPr>
          <w:p>
            <w:pPr>
              <w:spacing w:after="20"/>
            </w:pPr>
            <w:r/>
            <w:r>
              <w:rPr>
                <w:b w:val="0"/>
                <w:i w:val="0"/>
                <w:sz w:val="15"/>
              </w:rPr>
              <w:t>17</w:t>
            </w:r>
          </w:p>
        </w:tc>
        <w:tc>
          <w:tcPr>
            <w:tcW w:type="dxa" w:w="864"/>
          </w:tcPr>
          <w:p>
            <w:pPr>
              <w:spacing w:after="20"/>
            </w:pPr>
            <w:r/>
            <w:r>
              <w:rPr>
                <w:b w:val="0"/>
                <w:i w:val="0"/>
                <w:sz w:val="15"/>
              </w:rPr>
              <w:t>Medium</w:t>
            </w:r>
          </w:p>
        </w:tc>
        <w:tc>
          <w:tcPr>
            <w:tcW w:type="dxa" w:w="1800"/>
          </w:tcPr>
          <w:p>
            <w:pPr>
              <w:spacing w:after="20"/>
            </w:pPr>
            <w:r/>
            <w:r>
              <w:rPr>
                <w:b w:val="0"/>
                <w:i w:val="0"/>
                <w:sz w:val="15"/>
              </w:rPr>
              <w:t>Tenancy, rollover and concentration risk</w:t>
            </w:r>
          </w:p>
          <w:p>
            <w:pPr>
              <w:spacing w:after="20"/>
            </w:pPr>
            <w:r>
              <w:rPr>
                <w:b w:val="0"/>
                <w:i w:val="0"/>
                <w:sz w:val="15"/>
              </w:rPr>
              <w:t>Exh. F; §7.1(g)</w:t>
            </w:r>
          </w:p>
        </w:tc>
        <w:tc>
          <w:tcPr>
            <w:tcW w:type="dxa" w:w="3816"/>
          </w:tcPr>
          <w:p>
            <w:pPr>
              <w:spacing w:after="20"/>
            </w:pPr>
            <w:r/>
            <w:r>
              <w:rPr>
                <w:b w:val="0"/>
                <w:i w:val="0"/>
                <w:sz w:val="15"/>
              </w:rPr>
              <w:t>RedPoint (22,500 SF) expires 8/31/2025 with a 90-day termination option; 33.4% of leased SF expires by end of 2026 and 60.1% by end of 2027; Chesapeake (31,200 SF) expires 12/31/2026 with no renewal; Valerian is 25.8% of base rent; Building C is 67.4% occupied. No arrears or aging data; security deposit ratios for Valerian, Clearview and Garrison &amp; Holt deviate from the 0.6-month pattern.</w:t>
            </w:r>
          </w:p>
        </w:tc>
        <w:tc>
          <w:tcPr>
            <w:tcW w:type="dxa" w:w="2736"/>
          </w:tcPr>
          <w:p>
            <w:pPr>
              <w:spacing w:after="20"/>
            </w:pPr>
            <w:r/>
            <w:r>
              <w:rPr>
                <w:b w:val="0"/>
                <w:i w:val="0"/>
                <w:sz w:val="15"/>
              </w:rPr>
              <w:t>Lease audit of all 14 Leases (options, ROFO/ROFR, co-tenancy, exclusives, termination rights, audit rights, CAM caps); obtain aging report and tenant financials (Valerian, NovaTech, Chesapeake); confirm security deposit form (cash vs. LC); reflect rollover in lender underwriting and IC model.</w:t>
            </w:r>
          </w:p>
        </w:tc>
      </w:tr>
      <w:tr>
        <w:tc>
          <w:tcPr>
            <w:tcW w:type="dxa" w:w="432"/>
            <w:shd w:val="clear" w:color="auto" w:fill="EEF2F8"/>
          </w:tcPr>
          <w:p>
            <w:pPr>
              <w:spacing w:after="20"/>
            </w:pPr>
            <w:r/>
            <w:r>
              <w:rPr>
                <w:b w:val="0"/>
                <w:i w:val="0"/>
                <w:sz w:val="15"/>
              </w:rPr>
              <w:t>18</w:t>
            </w:r>
          </w:p>
        </w:tc>
        <w:tc>
          <w:tcPr>
            <w:tcW w:type="dxa" w:w="864"/>
            <w:shd w:val="clear" w:color="auto" w:fill="EEF2F8"/>
          </w:tcPr>
          <w:p>
            <w:pPr>
              <w:spacing w:after="20"/>
            </w:pPr>
            <w:r/>
            <w:r>
              <w:rPr>
                <w:b w:val="0"/>
                <w:i w:val="0"/>
                <w:sz w:val="15"/>
              </w:rPr>
              <w:t>Medium</w:t>
            </w:r>
          </w:p>
        </w:tc>
        <w:tc>
          <w:tcPr>
            <w:tcW w:type="dxa" w:w="1800"/>
            <w:shd w:val="clear" w:color="auto" w:fill="EEF2F8"/>
          </w:tcPr>
          <w:p>
            <w:pPr>
              <w:spacing w:after="20"/>
            </w:pPr>
            <w:r/>
            <w:r>
              <w:rPr>
                <w:b w:val="0"/>
                <w:i w:val="0"/>
                <w:sz w:val="15"/>
              </w:rPr>
              <w:t>Service contracts</w:t>
            </w:r>
          </w:p>
          <w:p>
            <w:pPr>
              <w:spacing w:after="20"/>
            </w:pPr>
            <w:r>
              <w:rPr>
                <w:b w:val="0"/>
                <w:i w:val="0"/>
                <w:sz w:val="15"/>
              </w:rPr>
              <w:t>§§2.2(e), 7.1(h), 7.1(s), 13.2(d); Exhs. G, H</w:t>
            </w:r>
          </w:p>
        </w:tc>
        <w:tc>
          <w:tcPr>
            <w:tcW w:type="dxa" w:w="3816"/>
            <w:shd w:val="clear" w:color="auto" w:fill="EEF2F8"/>
          </w:tcPr>
          <w:p>
            <w:pPr>
              <w:spacing w:after="20"/>
            </w:pPr>
            <w:r/>
            <w:r>
              <w:rPr>
                <w:b w:val="0"/>
                <w:i w:val="0"/>
                <w:sz w:val="15"/>
              </w:rPr>
              <w:t>Three non-terminable contracts ($409,200/yr; through 6/30/2026, 12/31/2025 and 3/31/2027) will in practice be assumed. The PSA body has no procedure or deadline for designating Assumed Contracts (only an Exh. H Schedule 1 note), and Seller need only use ‘commercially reasonable efforts’ to terminate Excluded Contracts. Termination notice periods (30–90 days) require Seller notices soon for a Jan 15 Closing (AirTech 90 days ≈ Oct 17). No property management or leasing agreement appears on Exh. G even though §7.1 refers to an on-site property manager and the Phase I references a management team retained by Seller.</w:t>
            </w:r>
          </w:p>
        </w:tc>
        <w:tc>
          <w:tcPr>
            <w:tcW w:type="dxa" w:w="2736"/>
            <w:shd w:val="clear" w:color="auto" w:fill="EEF2F8"/>
          </w:tcPr>
          <w:p>
            <w:pPr>
              <w:spacing w:after="20"/>
            </w:pPr>
            <w:r/>
            <w:r>
              <w:rPr>
                <w:b w:val="0"/>
                <w:i w:val="0"/>
                <w:sz w:val="15"/>
              </w:rPr>
              <w:t>Amend: Buyer designates Assumed Contracts by DD expiry; Seller must terminate all others (and any management/leasing agreements) at Seller’s cost effective at Closing; confirm whether a property management agreement exists (Exh. G completeness); review Apex/Sentinel/Metro Parking for assignment-consent requirements and pricing.</w:t>
            </w:r>
          </w:p>
        </w:tc>
      </w:tr>
      <w:tr>
        <w:tc>
          <w:tcPr>
            <w:tcW w:type="dxa" w:w="432"/>
          </w:tcPr>
          <w:p>
            <w:pPr>
              <w:spacing w:after="20"/>
            </w:pPr>
            <w:r/>
            <w:r>
              <w:rPr>
                <w:b w:val="0"/>
                <w:i w:val="0"/>
                <w:sz w:val="15"/>
              </w:rPr>
              <w:t>19</w:t>
            </w:r>
          </w:p>
        </w:tc>
        <w:tc>
          <w:tcPr>
            <w:tcW w:type="dxa" w:w="864"/>
          </w:tcPr>
          <w:p>
            <w:pPr>
              <w:spacing w:after="20"/>
            </w:pPr>
            <w:r/>
            <w:r>
              <w:rPr>
                <w:b w:val="0"/>
                <w:i w:val="0"/>
                <w:sz w:val="15"/>
              </w:rPr>
              <w:t>Medium</w:t>
            </w:r>
          </w:p>
        </w:tc>
        <w:tc>
          <w:tcPr>
            <w:tcW w:type="dxa" w:w="1800"/>
          </w:tcPr>
          <w:p>
            <w:pPr>
              <w:spacing w:after="20"/>
            </w:pPr>
            <w:r/>
            <w:r>
              <w:rPr>
                <w:b w:val="0"/>
                <w:i w:val="0"/>
                <w:sz w:val="15"/>
              </w:rPr>
              <w:t>Closing-condition failure remedy; condemnation conflict</w:t>
            </w:r>
          </w:p>
          <w:p>
            <w:pPr>
              <w:spacing w:after="20"/>
            </w:pPr>
            <w:r>
              <w:rPr>
                <w:b w:val="0"/>
                <w:i w:val="0"/>
                <w:sz w:val="15"/>
              </w:rPr>
              <w:t>§§9.1, 11.2(b)</w:t>
            </w:r>
          </w:p>
        </w:tc>
        <w:tc>
          <w:tcPr>
            <w:tcW w:type="dxa" w:w="3816"/>
          </w:tcPr>
          <w:p>
            <w:pPr>
              <w:spacing w:after="20"/>
            </w:pPr>
            <w:r/>
            <w:r>
              <w:rPr>
                <w:b w:val="0"/>
                <w:i w:val="0"/>
                <w:sz w:val="15"/>
              </w:rPr>
              <w:t>Article IX lists conditions but provides no general remedy (refund of Deposit) if a condition other than estoppels fails (e.g., title policy, MAC in physical condition, Seller deliverables). §9.1(g) conditions Closing on no condemnation of any kind, while §11.2(b) requires Buyer to close for a non-material condemnation.</w:t>
            </w:r>
          </w:p>
        </w:tc>
        <w:tc>
          <w:tcPr>
            <w:tcW w:type="dxa" w:w="2736"/>
          </w:tcPr>
          <w:p>
            <w:pPr>
              <w:spacing w:after="20"/>
            </w:pPr>
            <w:r/>
            <w:r>
              <w:rPr>
                <w:b w:val="0"/>
                <w:i w:val="0"/>
                <w:sz w:val="15"/>
              </w:rPr>
              <w:t>Add a general provision: if any §9.1 condition fails, Buyer may terminate and receive the full Deposit (plus §12.2 remedies if caused by Seller default); reconcile §9.1(g) with §11.2.</w:t>
            </w:r>
          </w:p>
        </w:tc>
      </w:tr>
      <w:tr>
        <w:tc>
          <w:tcPr>
            <w:tcW w:type="dxa" w:w="432"/>
            <w:shd w:val="clear" w:color="auto" w:fill="EEF2F8"/>
          </w:tcPr>
          <w:p>
            <w:pPr>
              <w:spacing w:after="20"/>
            </w:pPr>
            <w:r/>
            <w:r>
              <w:rPr>
                <w:b w:val="0"/>
                <w:i w:val="0"/>
                <w:sz w:val="15"/>
              </w:rPr>
              <w:t>20</w:t>
            </w:r>
          </w:p>
        </w:tc>
        <w:tc>
          <w:tcPr>
            <w:tcW w:type="dxa" w:w="864"/>
            <w:shd w:val="clear" w:color="auto" w:fill="EEF2F8"/>
          </w:tcPr>
          <w:p>
            <w:pPr>
              <w:spacing w:after="20"/>
            </w:pPr>
            <w:r/>
            <w:r>
              <w:rPr>
                <w:b w:val="0"/>
                <w:i w:val="0"/>
                <w:sz w:val="15"/>
              </w:rPr>
              <w:t>Low</w:t>
            </w:r>
          </w:p>
        </w:tc>
        <w:tc>
          <w:tcPr>
            <w:tcW w:type="dxa" w:w="1800"/>
            <w:shd w:val="clear" w:color="auto" w:fill="EEF2F8"/>
          </w:tcPr>
          <w:p>
            <w:pPr>
              <w:spacing w:after="20"/>
            </w:pPr>
            <w:r/>
            <w:r>
              <w:rPr>
                <w:b w:val="0"/>
                <w:i w:val="0"/>
                <w:sz w:val="15"/>
              </w:rPr>
              <w:t>Casualty / condemnation mechanics</w:t>
            </w:r>
          </w:p>
          <w:p>
            <w:pPr>
              <w:spacing w:after="20"/>
            </w:pPr>
            <w:r>
              <w:rPr>
                <w:b w:val="0"/>
                <w:i w:val="0"/>
                <w:sz w:val="15"/>
              </w:rPr>
              <w:t>§§1.1, 11.1, 11.2</w:t>
            </w:r>
          </w:p>
        </w:tc>
        <w:tc>
          <w:tcPr>
            <w:tcW w:type="dxa" w:w="3816"/>
            <w:shd w:val="clear" w:color="auto" w:fill="EEF2F8"/>
          </w:tcPr>
          <w:p>
            <w:pPr>
              <w:spacing w:after="20"/>
            </w:pPr>
            <w:r/>
            <w:r>
              <w:rPr>
                <w:b w:val="0"/>
                <w:i w:val="0"/>
                <w:sz w:val="15"/>
              </w:rPr>
              <w:t>Material Casualty determined by Seller’s estimate only; no independent adjuster; no assignment of rent-loss proceeds; no protection if casualty is uninsured/underinsured or gives a major tenant a termination right; ‘15 days’ (calendar) vs. business days elsewhere; ‘material number of parking spaces’ undefined (4.0/1,000 ratio may be required by Leases, CC&amp;Rs or proffers).</w:t>
            </w:r>
          </w:p>
        </w:tc>
        <w:tc>
          <w:tcPr>
            <w:tcW w:type="dxa" w:w="2736"/>
            <w:shd w:val="clear" w:color="auto" w:fill="EEF2F8"/>
          </w:tcPr>
          <w:p>
            <w:pPr>
              <w:spacing w:after="20"/>
            </w:pPr>
            <w:r/>
            <w:r>
              <w:rPr>
                <w:b w:val="0"/>
                <w:i w:val="0"/>
                <w:sz w:val="15"/>
              </w:rPr>
              <w:t>Add independent estimate (mutually acceptable adjuster/engineer); include rent-loss proceeds and a credit for uninsured amounts; termination right if a tenant &gt;15,000 RSF gains a termination right; define parking materiality (e.g., any loss reducing ratio below Lease/zoning requirements).</w:t>
            </w:r>
          </w:p>
        </w:tc>
      </w:tr>
      <w:tr>
        <w:tc>
          <w:tcPr>
            <w:tcW w:type="dxa" w:w="432"/>
          </w:tcPr>
          <w:p>
            <w:pPr>
              <w:spacing w:after="20"/>
            </w:pPr>
            <w:r/>
            <w:r>
              <w:rPr>
                <w:b w:val="0"/>
                <w:i w:val="0"/>
                <w:sz w:val="15"/>
              </w:rPr>
              <w:t>21</w:t>
            </w:r>
          </w:p>
        </w:tc>
        <w:tc>
          <w:tcPr>
            <w:tcW w:type="dxa" w:w="864"/>
          </w:tcPr>
          <w:p>
            <w:pPr>
              <w:spacing w:after="20"/>
            </w:pPr>
            <w:r/>
            <w:r>
              <w:rPr>
                <w:b w:val="0"/>
                <w:i w:val="0"/>
                <w:sz w:val="15"/>
              </w:rPr>
              <w:t>Low</w:t>
            </w:r>
          </w:p>
        </w:tc>
        <w:tc>
          <w:tcPr>
            <w:tcW w:type="dxa" w:w="1800"/>
          </w:tcPr>
          <w:p>
            <w:pPr>
              <w:spacing w:after="20"/>
            </w:pPr>
            <w:r/>
            <w:r>
              <w:rPr>
                <w:b w:val="0"/>
                <w:i w:val="0"/>
                <w:sz w:val="15"/>
              </w:rPr>
              <w:t>Closing cost allocation — Virginia taxes</w:t>
            </w:r>
          </w:p>
          <w:p>
            <w:pPr>
              <w:spacing w:after="20"/>
            </w:pPr>
            <w:r>
              <w:rPr>
                <w:b w:val="0"/>
                <w:i w:val="0"/>
                <w:sz w:val="15"/>
              </w:rPr>
              <w:t>§13.4</w:t>
            </w:r>
          </w:p>
        </w:tc>
        <w:tc>
          <w:tcPr>
            <w:tcW w:type="dxa" w:w="3816"/>
          </w:tcPr>
          <w:p>
            <w:pPr>
              <w:spacing w:after="20"/>
            </w:pPr>
            <w:r/>
            <w:r>
              <w:rPr>
                <w:b w:val="0"/>
                <w:i w:val="0"/>
                <w:sz w:val="15"/>
              </w:rPr>
              <w:t>Seller pays the ‘Virginia grantor’s tax’; Buyer pays ‘all recording fees and charges.’ It is unclear whether Buyer bears state/local recordation taxes on the deed (≈$219,375 state + up to ≈$73,125 local, HMS estimate) and who bears any Northern Virginia regional grantor-side fees.</w:t>
            </w:r>
          </w:p>
        </w:tc>
        <w:tc>
          <w:tcPr>
            <w:tcW w:type="dxa" w:w="2736"/>
          </w:tcPr>
          <w:p>
            <w:pPr>
              <w:spacing w:after="20"/>
            </w:pPr>
            <w:r/>
            <w:r>
              <w:rPr>
                <w:b w:val="0"/>
                <w:i w:val="0"/>
                <w:sz w:val="15"/>
              </w:rPr>
              <w:t>Clarify in §13.4: Seller pays grantor’s tax and all regional grantor fees; Buyer pays deed recordation taxes per Fairfax custom; confirm figures with Commonwealth Title for the closing pro forma.</w:t>
            </w:r>
          </w:p>
        </w:tc>
      </w:tr>
      <w:tr>
        <w:tc>
          <w:tcPr>
            <w:tcW w:type="dxa" w:w="432"/>
            <w:shd w:val="clear" w:color="auto" w:fill="EEF2F8"/>
          </w:tcPr>
          <w:p>
            <w:pPr>
              <w:spacing w:after="20"/>
            </w:pPr>
            <w:r/>
            <w:r>
              <w:rPr>
                <w:b w:val="0"/>
                <w:i w:val="0"/>
                <w:sz w:val="15"/>
              </w:rPr>
              <w:t>22</w:t>
            </w:r>
          </w:p>
        </w:tc>
        <w:tc>
          <w:tcPr>
            <w:tcW w:type="dxa" w:w="864"/>
            <w:shd w:val="clear" w:color="auto" w:fill="EEF2F8"/>
          </w:tcPr>
          <w:p>
            <w:pPr>
              <w:spacing w:after="20"/>
            </w:pPr>
            <w:r/>
            <w:r>
              <w:rPr>
                <w:b w:val="0"/>
                <w:i w:val="0"/>
                <w:sz w:val="15"/>
              </w:rPr>
              <w:t>Low</w:t>
            </w:r>
          </w:p>
        </w:tc>
        <w:tc>
          <w:tcPr>
            <w:tcW w:type="dxa" w:w="1800"/>
            <w:shd w:val="clear" w:color="auto" w:fill="EEF2F8"/>
          </w:tcPr>
          <w:p>
            <w:pPr>
              <w:spacing w:after="20"/>
            </w:pPr>
            <w:r/>
            <w:r>
              <w:rPr>
                <w:b w:val="0"/>
                <w:i w:val="0"/>
                <w:sz w:val="15"/>
              </w:rPr>
              <w:t>Post-Closing reconciliation window</w:t>
            </w:r>
          </w:p>
          <w:p>
            <w:pPr>
              <w:spacing w:after="20"/>
            </w:pPr>
            <w:r>
              <w:rPr>
                <w:b w:val="0"/>
                <w:i w:val="0"/>
                <w:sz w:val="15"/>
              </w:rPr>
              <w:t>§§6.1(b)–(c), 6.4, 15.12</w:t>
            </w:r>
          </w:p>
        </w:tc>
        <w:tc>
          <w:tcPr>
            <w:tcW w:type="dxa" w:w="3816"/>
            <w:shd w:val="clear" w:color="auto" w:fill="EEF2F8"/>
          </w:tcPr>
          <w:p>
            <w:pPr>
              <w:spacing w:after="20"/>
            </w:pPr>
            <w:r/>
            <w:r>
              <w:rPr>
                <w:b w:val="0"/>
                <w:i w:val="0"/>
                <w:sz w:val="15"/>
              </w:rPr>
              <w:t>90-day reconciliation/cooperation (to April 15, 2025) is likely too short for 2024 CAM/tax year-end reconciliations with 14 tenants; §6.1(b) contemplates a tax re-proration within 90 days after the current bill issues, which may fall after the 90-day survival.</w:t>
            </w:r>
          </w:p>
        </w:tc>
        <w:tc>
          <w:tcPr>
            <w:tcW w:type="dxa" w:w="2736"/>
            <w:shd w:val="clear" w:color="auto" w:fill="EEF2F8"/>
          </w:tcPr>
          <w:p>
            <w:pPr>
              <w:spacing w:after="20"/>
            </w:pPr>
            <w:r/>
            <w:r>
              <w:rPr>
                <w:b w:val="0"/>
                <w:i w:val="0"/>
                <w:sz w:val="15"/>
              </w:rPr>
              <w:t>Extend reconciliation and survival to 12 months (or until 2024 and 2025 reconciliations are final); require Seller to deliver 2024 CAM reconciliation data within 60 days after Closing.</w:t>
            </w:r>
          </w:p>
        </w:tc>
      </w:tr>
      <w:tr>
        <w:tc>
          <w:tcPr>
            <w:tcW w:type="dxa" w:w="432"/>
          </w:tcPr>
          <w:p>
            <w:pPr>
              <w:spacing w:after="20"/>
            </w:pPr>
            <w:r/>
            <w:r>
              <w:rPr>
                <w:b w:val="0"/>
                <w:i w:val="0"/>
                <w:sz w:val="15"/>
              </w:rPr>
              <w:t>23</w:t>
            </w:r>
          </w:p>
        </w:tc>
        <w:tc>
          <w:tcPr>
            <w:tcW w:type="dxa" w:w="864"/>
          </w:tcPr>
          <w:p>
            <w:pPr>
              <w:spacing w:after="20"/>
            </w:pPr>
            <w:r/>
            <w:r>
              <w:rPr>
                <w:b w:val="0"/>
                <w:i w:val="0"/>
                <w:sz w:val="15"/>
              </w:rPr>
              <w:t>Low</w:t>
            </w:r>
          </w:p>
        </w:tc>
        <w:tc>
          <w:tcPr>
            <w:tcW w:type="dxa" w:w="1800"/>
          </w:tcPr>
          <w:p>
            <w:pPr>
              <w:spacing w:after="20"/>
            </w:pPr>
            <w:r/>
            <w:r>
              <w:rPr>
                <w:b w:val="0"/>
                <w:i w:val="0"/>
                <w:sz w:val="15"/>
              </w:rPr>
              <w:t>Notice address discrepancies</w:t>
            </w:r>
          </w:p>
          <w:p>
            <w:pPr>
              <w:spacing w:after="20"/>
            </w:pPr>
            <w:r>
              <w:rPr>
                <w:b w:val="0"/>
                <w:i w:val="0"/>
                <w:sz w:val="15"/>
              </w:rPr>
              <w:t>§15.2</w:t>
            </w:r>
          </w:p>
        </w:tc>
        <w:tc>
          <w:tcPr>
            <w:tcW w:type="dxa" w:w="3816"/>
          </w:tcPr>
          <w:p>
            <w:pPr>
              <w:spacing w:after="20"/>
            </w:pPr>
            <w:r/>
            <w:r>
              <w:rPr>
                <w:b w:val="0"/>
                <w:i w:val="0"/>
                <w:sz w:val="15"/>
              </w:rPr>
              <w:t>Seller’s counsel email ‘saldrich@fenwickaldrich.com’ does not match Ferndale &amp; Aldrich LLP; Buyer’s counsel email in the PSA is ‘jhargrave@hmstone.com’ while HMS correspondence uses hmslegal.com; Buyer notices go to Calverley at a bridgewatercap.com address. Email notices must be followed by overnight courier within 1 BD.</w:t>
            </w:r>
          </w:p>
        </w:tc>
        <w:tc>
          <w:tcPr>
            <w:tcW w:type="dxa" w:w="2736"/>
          </w:tcPr>
          <w:p>
            <w:pPr>
              <w:spacing w:after="20"/>
            </w:pPr>
            <w:r/>
            <w:r>
              <w:rPr>
                <w:b w:val="0"/>
                <w:i w:val="0"/>
                <w:sz w:val="15"/>
              </w:rPr>
              <w:t>Confirm and correct addresses by amendment; deliver all deadline notices (Nov 14, Nov 21, Dec 6) by hand or courier and email, well before 5:00 p.m. ET.</w:t>
            </w:r>
          </w:p>
        </w:tc>
      </w:tr>
      <w:tr>
        <w:tc>
          <w:tcPr>
            <w:tcW w:type="dxa" w:w="432"/>
            <w:shd w:val="clear" w:color="auto" w:fill="EEF2F8"/>
          </w:tcPr>
          <w:p>
            <w:pPr>
              <w:spacing w:after="20"/>
            </w:pPr>
            <w:r/>
            <w:r>
              <w:rPr>
                <w:b w:val="0"/>
                <w:i w:val="0"/>
                <w:sz w:val="15"/>
              </w:rPr>
              <w:t>24</w:t>
            </w:r>
          </w:p>
        </w:tc>
        <w:tc>
          <w:tcPr>
            <w:tcW w:type="dxa" w:w="864"/>
            <w:shd w:val="clear" w:color="auto" w:fill="EEF2F8"/>
          </w:tcPr>
          <w:p>
            <w:pPr>
              <w:spacing w:after="20"/>
            </w:pPr>
            <w:r/>
            <w:r>
              <w:rPr>
                <w:b w:val="0"/>
                <w:i w:val="0"/>
                <w:sz w:val="15"/>
              </w:rPr>
              <w:t>Low</w:t>
            </w:r>
          </w:p>
        </w:tc>
        <w:tc>
          <w:tcPr>
            <w:tcW w:type="dxa" w:w="1800"/>
            <w:shd w:val="clear" w:color="auto" w:fill="EEF2F8"/>
          </w:tcPr>
          <w:p>
            <w:pPr>
              <w:spacing w:after="20"/>
            </w:pPr>
            <w:r/>
            <w:r>
              <w:rPr>
                <w:b w:val="0"/>
                <w:i w:val="0"/>
                <w:sz w:val="15"/>
              </w:rPr>
              <w:t>‘Business day’ undefined; mixed day counts</w:t>
            </w:r>
          </w:p>
          <w:p>
            <w:pPr>
              <w:spacing w:after="20"/>
            </w:pPr>
            <w:r>
              <w:rPr>
                <w:b w:val="0"/>
                <w:i w:val="0"/>
                <w:sz w:val="15"/>
              </w:rPr>
              <w:t>Throughout</w:t>
            </w:r>
          </w:p>
        </w:tc>
        <w:tc>
          <w:tcPr>
            <w:tcW w:type="dxa" w:w="3816"/>
            <w:shd w:val="clear" w:color="auto" w:fill="EEF2F8"/>
          </w:tcPr>
          <w:p>
            <w:pPr>
              <w:spacing w:after="20"/>
            </w:pPr>
            <w:r/>
            <w:r>
              <w:rPr>
                <w:b w:val="0"/>
                <w:i w:val="0"/>
                <w:sz w:val="15"/>
              </w:rPr>
              <w:t>Key periods use business days (deposits, cure, estoppels, assignment) and calendar days (casualty, rent remittance). Treatment of bank holidays (Columbus Day Oct 14, Veterans Day Nov 11) is unclear; the PSA itself assumes Thanksgiving is excluded.</w:t>
            </w:r>
          </w:p>
        </w:tc>
        <w:tc>
          <w:tcPr>
            <w:tcW w:type="dxa" w:w="2736"/>
            <w:shd w:val="clear" w:color="auto" w:fill="EEF2F8"/>
          </w:tcPr>
          <w:p>
            <w:pPr>
              <w:spacing w:after="20"/>
            </w:pPr>
            <w:r/>
            <w:r>
              <w:rPr>
                <w:b w:val="0"/>
                <w:i w:val="0"/>
                <w:sz w:val="15"/>
              </w:rPr>
              <w:t>Define ‘Business Day’ (excluding weekends and federal/Virginia bank holidays) and add a roll-forward rule for deadlines falling on non-Business Days.</w:t>
            </w:r>
          </w:p>
        </w:tc>
      </w:tr>
      <w:tr>
        <w:tc>
          <w:tcPr>
            <w:tcW w:type="dxa" w:w="432"/>
          </w:tcPr>
          <w:p>
            <w:pPr>
              <w:spacing w:after="20"/>
            </w:pPr>
            <w:r/>
            <w:r>
              <w:rPr>
                <w:b w:val="0"/>
                <w:i w:val="0"/>
                <w:sz w:val="15"/>
              </w:rPr>
              <w:t>25</w:t>
            </w:r>
          </w:p>
        </w:tc>
        <w:tc>
          <w:tcPr>
            <w:tcW w:type="dxa" w:w="864"/>
          </w:tcPr>
          <w:p>
            <w:pPr>
              <w:spacing w:after="20"/>
            </w:pPr>
            <w:r/>
            <w:r>
              <w:rPr>
                <w:b w:val="0"/>
                <w:i w:val="0"/>
                <w:sz w:val="15"/>
              </w:rPr>
              <w:t>Low</w:t>
            </w:r>
          </w:p>
        </w:tc>
        <w:tc>
          <w:tcPr>
            <w:tcW w:type="dxa" w:w="1800"/>
          </w:tcPr>
          <w:p>
            <w:pPr>
              <w:spacing w:after="20"/>
            </w:pPr>
            <w:r/>
            <w:r>
              <w:rPr>
                <w:b w:val="0"/>
                <w:i w:val="0"/>
                <w:sz w:val="15"/>
              </w:rPr>
              <w:t>Deposit escrow</w:t>
            </w:r>
          </w:p>
          <w:p>
            <w:pPr>
              <w:spacing w:after="20"/>
            </w:pPr>
            <w:r>
              <w:rPr>
                <w:b w:val="0"/>
                <w:i w:val="0"/>
                <w:sz w:val="15"/>
              </w:rPr>
              <w:t>§§3.2, 3.3, 15.10</w:t>
            </w:r>
          </w:p>
        </w:tc>
        <w:tc>
          <w:tcPr>
            <w:tcW w:type="dxa" w:w="3816"/>
          </w:tcPr>
          <w:p>
            <w:pPr>
              <w:spacing w:after="20"/>
            </w:pPr>
            <w:r/>
            <w:r>
              <w:rPr>
                <w:b w:val="0"/>
                <w:i w:val="0"/>
                <w:sz w:val="15"/>
              </w:rPr>
              <w:t>$3.5M in a single account exceeds FDIC insurance limits per depositor/institution; no separate escrow agreement (Escrow Agent joins only for Article III); Escrow Agent is also Title Company.</w:t>
            </w:r>
          </w:p>
        </w:tc>
        <w:tc>
          <w:tcPr>
            <w:tcW w:type="dxa" w:w="2736"/>
          </w:tcPr>
          <w:p>
            <w:pPr>
              <w:spacing w:after="20"/>
            </w:pPr>
            <w:r/>
            <w:r>
              <w:rPr>
                <w:b w:val="0"/>
                <w:i w:val="0"/>
                <w:sz w:val="15"/>
              </w:rPr>
              <w:t>Confirm account and bank; consider deposit allocation or a standard escrow agreement; verify wire instructions by phone (wire-fraud protocol).</w:t>
            </w:r>
          </w:p>
        </w:tc>
      </w:tr>
      <w:tr>
        <w:tc>
          <w:tcPr>
            <w:tcW w:type="dxa" w:w="432"/>
            <w:shd w:val="clear" w:color="auto" w:fill="EEF2F8"/>
          </w:tcPr>
          <w:p>
            <w:pPr>
              <w:spacing w:after="20"/>
            </w:pPr>
            <w:r/>
            <w:r>
              <w:rPr>
                <w:b w:val="0"/>
                <w:i w:val="0"/>
                <w:sz w:val="15"/>
              </w:rPr>
              <w:t>26</w:t>
            </w:r>
          </w:p>
        </w:tc>
        <w:tc>
          <w:tcPr>
            <w:tcW w:type="dxa" w:w="864"/>
            <w:shd w:val="clear" w:color="auto" w:fill="EEF2F8"/>
          </w:tcPr>
          <w:p>
            <w:pPr>
              <w:spacing w:after="20"/>
            </w:pPr>
            <w:r/>
            <w:r>
              <w:rPr>
                <w:b w:val="0"/>
                <w:i w:val="0"/>
                <w:sz w:val="15"/>
              </w:rPr>
              <w:t>Low</w:t>
            </w:r>
          </w:p>
        </w:tc>
        <w:tc>
          <w:tcPr>
            <w:tcW w:type="dxa" w:w="1800"/>
            <w:shd w:val="clear" w:color="auto" w:fill="EEF2F8"/>
          </w:tcPr>
          <w:p>
            <w:pPr>
              <w:spacing w:after="20"/>
            </w:pPr>
            <w:r/>
            <w:r>
              <w:rPr>
                <w:b w:val="0"/>
                <w:i w:val="0"/>
                <w:sz w:val="15"/>
              </w:rPr>
              <w:t>Confidentiality and lender distribution</w:t>
            </w:r>
          </w:p>
          <w:p>
            <w:pPr>
              <w:spacing w:after="20"/>
            </w:pPr>
            <w:r>
              <w:rPr>
                <w:b w:val="0"/>
                <w:i w:val="0"/>
                <w:sz w:val="15"/>
              </w:rPr>
              <w:t>§15.8</w:t>
            </w:r>
          </w:p>
        </w:tc>
        <w:tc>
          <w:tcPr>
            <w:tcW w:type="dxa" w:w="3816"/>
            <w:shd w:val="clear" w:color="auto" w:fill="EEF2F8"/>
          </w:tcPr>
          <w:p>
            <w:pPr>
              <w:spacing w:after="20"/>
            </w:pPr>
            <w:r/>
            <w:r>
              <w:rPr>
                <w:b w:val="0"/>
                <w:i w:val="0"/>
                <w:sz w:val="15"/>
              </w:rPr>
              <w:t>Disclosure to Pinnacle is permitted on a need-to-know basis subject to confidentiality obligations. This memorandum’s analytical sections are privileged.</w:t>
            </w:r>
          </w:p>
        </w:tc>
        <w:tc>
          <w:tcPr>
            <w:tcW w:type="dxa" w:w="2736"/>
            <w:shd w:val="clear" w:color="auto" w:fill="EEF2F8"/>
          </w:tcPr>
          <w:p>
            <w:pPr>
              <w:spacing w:after="20"/>
            </w:pPr>
            <w:r/>
            <w:r>
              <w:rPr>
                <w:b w:val="0"/>
                <w:i w:val="0"/>
                <w:sz w:val="15"/>
              </w:rPr>
              <w:t>Send Pinnacle only the factual Parts 2–6; confirm Pinnacle confidentiality undertaking.</w:t>
            </w:r>
          </w:p>
        </w:tc>
      </w:tr>
      <w:tr>
        <w:tc>
          <w:tcPr>
            <w:tcW w:type="dxa" w:w="432"/>
          </w:tcPr>
          <w:p>
            <w:pPr>
              <w:spacing w:after="20"/>
            </w:pPr>
            <w:r/>
            <w:r>
              <w:rPr>
                <w:b w:val="0"/>
                <w:i w:val="0"/>
                <w:sz w:val="15"/>
              </w:rPr>
              <w:t>27</w:t>
            </w:r>
          </w:p>
        </w:tc>
        <w:tc>
          <w:tcPr>
            <w:tcW w:type="dxa" w:w="864"/>
          </w:tcPr>
          <w:p>
            <w:pPr>
              <w:spacing w:after="20"/>
            </w:pPr>
            <w:r/>
            <w:r>
              <w:rPr>
                <w:b w:val="0"/>
                <w:i w:val="0"/>
                <w:sz w:val="15"/>
              </w:rPr>
              <w:t>Low</w:t>
            </w:r>
          </w:p>
        </w:tc>
        <w:tc>
          <w:tcPr>
            <w:tcW w:type="dxa" w:w="1800"/>
          </w:tcPr>
          <w:p>
            <w:pPr>
              <w:spacing w:after="20"/>
            </w:pPr>
            <w:r/>
            <w:r>
              <w:rPr>
                <w:b w:val="0"/>
                <w:i w:val="0"/>
                <w:sz w:val="15"/>
              </w:rPr>
              <w:t>Access provisions for Phase II</w:t>
            </w:r>
          </w:p>
          <w:p>
            <w:pPr>
              <w:spacing w:after="20"/>
            </w:pPr>
            <w:r>
              <w:rPr>
                <w:b w:val="0"/>
                <w:i w:val="0"/>
                <w:sz w:val="15"/>
              </w:rPr>
              <w:t>§4.3</w:t>
            </w:r>
          </w:p>
        </w:tc>
        <w:tc>
          <w:tcPr>
            <w:tcW w:type="dxa" w:w="3816"/>
          </w:tcPr>
          <w:p>
            <w:pPr>
              <w:spacing w:after="20"/>
            </w:pPr>
            <w:r/>
            <w:r>
              <w:rPr>
                <w:b w:val="0"/>
                <w:i w:val="0"/>
                <w:sz w:val="15"/>
              </w:rPr>
              <w:t>Phase II is permitted but described with ‘non-invasive’ inspections; access limited to business hours; tenant interviews require Seller consent; no restoration standard stated.</w:t>
            </w:r>
          </w:p>
        </w:tc>
        <w:tc>
          <w:tcPr>
            <w:tcW w:type="dxa" w:w="2736"/>
          </w:tcPr>
          <w:p>
            <w:pPr>
              <w:spacing w:after="20"/>
            </w:pPr>
            <w:r/>
            <w:r>
              <w:rPr>
                <w:b w:val="0"/>
                <w:i w:val="0"/>
                <w:sz w:val="15"/>
              </w:rPr>
              <w:t>Obtain Seller’s written approval of the Phase II scope and schedule, including after-hours sub-slab/indoor-air work in Building C; confirm contractors’ insurance; agree restoration standard.</w:t>
            </w:r>
          </w:p>
        </w:tc>
      </w:tr>
      <w:tr>
        <w:tc>
          <w:tcPr>
            <w:tcW w:type="dxa" w:w="432"/>
            <w:shd w:val="clear" w:color="auto" w:fill="EEF2F8"/>
          </w:tcPr>
          <w:p>
            <w:pPr>
              <w:spacing w:after="20"/>
            </w:pPr>
            <w:r/>
            <w:r>
              <w:rPr>
                <w:b w:val="0"/>
                <w:i w:val="0"/>
                <w:sz w:val="15"/>
              </w:rPr>
              <w:t>28</w:t>
            </w:r>
          </w:p>
        </w:tc>
        <w:tc>
          <w:tcPr>
            <w:tcW w:type="dxa" w:w="864"/>
            <w:shd w:val="clear" w:color="auto" w:fill="EEF2F8"/>
          </w:tcPr>
          <w:p>
            <w:pPr>
              <w:spacing w:after="20"/>
            </w:pPr>
            <w:r/>
            <w:r>
              <w:rPr>
                <w:b w:val="0"/>
                <w:i w:val="0"/>
                <w:sz w:val="15"/>
              </w:rPr>
              <w:t>Low</w:t>
            </w:r>
          </w:p>
        </w:tc>
        <w:tc>
          <w:tcPr>
            <w:tcW w:type="dxa" w:w="1800"/>
            <w:shd w:val="clear" w:color="auto" w:fill="EEF2F8"/>
          </w:tcPr>
          <w:p>
            <w:pPr>
              <w:spacing w:after="20"/>
            </w:pPr>
            <w:r/>
            <w:r>
              <w:rPr>
                <w:b w:val="0"/>
                <w:i w:val="0"/>
                <w:sz w:val="15"/>
              </w:rPr>
              <w:t>Seller deliverables gaps</w:t>
            </w:r>
          </w:p>
          <w:p>
            <w:pPr>
              <w:spacing w:after="20"/>
            </w:pPr>
            <w:r>
              <w:rPr>
                <w:b w:val="0"/>
                <w:i w:val="0"/>
                <w:sz w:val="15"/>
              </w:rPr>
              <w:t>§4.2</w:t>
            </w:r>
          </w:p>
        </w:tc>
        <w:tc>
          <w:tcPr>
            <w:tcW w:type="dxa" w:w="3816"/>
            <w:shd w:val="clear" w:color="auto" w:fill="EEF2F8"/>
          </w:tcPr>
          <w:p>
            <w:pPr>
              <w:spacing w:after="20"/>
            </w:pPr>
            <w:r/>
            <w:r>
              <w:rPr>
                <w:b w:val="0"/>
                <w:i w:val="0"/>
                <w:sz w:val="15"/>
              </w:rPr>
              <w:t>List omits aged receivables, CAM/tax reconciliations, tax appeal history, DEQ/agency correspondence, leasing commission agreements, property management agreement, capital expenditure history and pending TI contracts; Seller delivers only items ‘in its possession or reasonable control.’</w:t>
            </w:r>
          </w:p>
        </w:tc>
        <w:tc>
          <w:tcPr>
            <w:tcW w:type="dxa" w:w="2736"/>
            <w:shd w:val="clear" w:color="auto" w:fill="EEF2F8"/>
          </w:tcPr>
          <w:p>
            <w:pPr>
              <w:spacing w:after="20"/>
            </w:pPr>
            <w:r/>
            <w:r>
              <w:rPr>
                <w:b w:val="0"/>
                <w:i w:val="0"/>
                <w:sz w:val="15"/>
              </w:rPr>
              <w:t>Supplement request list; confirm data room completeness by Oct 15, 2024.</w:t>
            </w:r>
          </w:p>
        </w:tc>
      </w:tr>
      <w:tr>
        <w:tc>
          <w:tcPr>
            <w:tcW w:type="dxa" w:w="432"/>
          </w:tcPr>
          <w:p>
            <w:pPr>
              <w:spacing w:after="20"/>
            </w:pPr>
            <w:r/>
            <w:r>
              <w:rPr>
                <w:b w:val="0"/>
                <w:i w:val="0"/>
                <w:sz w:val="15"/>
              </w:rPr>
              <w:t>29</w:t>
            </w:r>
          </w:p>
        </w:tc>
        <w:tc>
          <w:tcPr>
            <w:tcW w:type="dxa" w:w="864"/>
          </w:tcPr>
          <w:p>
            <w:pPr>
              <w:spacing w:after="20"/>
            </w:pPr>
            <w:r/>
            <w:r>
              <w:rPr>
                <w:b w:val="0"/>
                <w:i w:val="0"/>
                <w:sz w:val="15"/>
              </w:rPr>
              <w:t>Low</w:t>
            </w:r>
          </w:p>
        </w:tc>
        <w:tc>
          <w:tcPr>
            <w:tcW w:type="dxa" w:w="1800"/>
          </w:tcPr>
          <w:p>
            <w:pPr>
              <w:spacing w:after="20"/>
            </w:pPr>
            <w:r/>
            <w:r>
              <w:rPr>
                <w:b w:val="0"/>
                <w:i w:val="0"/>
                <w:sz w:val="15"/>
              </w:rPr>
              <w:t>Execution formalities and Buyer reps</w:t>
            </w:r>
          </w:p>
          <w:p>
            <w:pPr>
              <w:spacing w:after="20"/>
            </w:pPr>
            <w:r>
              <w:rPr>
                <w:b w:val="0"/>
                <w:i w:val="0"/>
                <w:sz w:val="15"/>
              </w:rPr>
              <w:t>Signature pages; §7.5(a), (e)</w:t>
            </w:r>
          </w:p>
        </w:tc>
        <w:tc>
          <w:tcPr>
            <w:tcW w:type="dxa" w:w="3816"/>
          </w:tcPr>
          <w:p>
            <w:pPr>
              <w:spacing w:after="20"/>
            </w:pPr>
            <w:r/>
            <w:r>
              <w:rPr>
                <w:b w:val="0"/>
                <w:i w:val="0"/>
                <w:sz w:val="15"/>
              </w:rPr>
              <w:t>Our copy shows blank signature lines for all parties (including Escrow Agent). Buyer must be qualified in Virginia before Closing. §7.5(e) sufficient-funds rep (brought down at Closing) will be breached if financing fails after Dec 6.</w:t>
            </w:r>
          </w:p>
        </w:tc>
        <w:tc>
          <w:tcPr>
            <w:tcW w:type="dxa" w:w="2736"/>
          </w:tcPr>
          <w:p>
            <w:pPr>
              <w:spacing w:after="20"/>
            </w:pPr>
            <w:r/>
            <w:r>
              <w:rPr>
                <w:b w:val="0"/>
                <w:i w:val="0"/>
                <w:sz w:val="15"/>
              </w:rPr>
              <w:t>Obtain fully executed counterparts; begin Virginia SCC registration for the Buyer/SPE; seek deletion of financing reference in §7.5(e).</w:t>
            </w:r>
          </w:p>
        </w:tc>
      </w:tr>
      <w:tr>
        <w:tc>
          <w:tcPr>
            <w:tcW w:type="dxa" w:w="432"/>
            <w:shd w:val="clear" w:color="auto" w:fill="EEF2F8"/>
          </w:tcPr>
          <w:p>
            <w:pPr>
              <w:spacing w:after="20"/>
            </w:pPr>
            <w:r/>
            <w:r>
              <w:rPr>
                <w:b w:val="0"/>
                <w:i w:val="0"/>
                <w:sz w:val="15"/>
              </w:rPr>
              <w:t>30</w:t>
            </w:r>
          </w:p>
        </w:tc>
        <w:tc>
          <w:tcPr>
            <w:tcW w:type="dxa" w:w="864"/>
            <w:shd w:val="clear" w:color="auto" w:fill="EEF2F8"/>
          </w:tcPr>
          <w:p>
            <w:pPr>
              <w:spacing w:after="20"/>
            </w:pPr>
            <w:r/>
            <w:r>
              <w:rPr>
                <w:b w:val="0"/>
                <w:i w:val="0"/>
                <w:sz w:val="15"/>
              </w:rPr>
              <w:t>Low</w:t>
            </w:r>
          </w:p>
        </w:tc>
        <w:tc>
          <w:tcPr>
            <w:tcW w:type="dxa" w:w="1800"/>
            <w:shd w:val="clear" w:color="auto" w:fill="EEF2F8"/>
          </w:tcPr>
          <w:p>
            <w:pPr>
              <w:spacing w:after="20"/>
            </w:pPr>
            <w:r/>
            <w:r>
              <w:rPr>
                <w:b w:val="0"/>
                <w:i w:val="0"/>
                <w:sz w:val="15"/>
              </w:rPr>
              <w:t>Intangible property conveyance</w:t>
            </w:r>
          </w:p>
          <w:p>
            <w:pPr>
              <w:spacing w:after="20"/>
            </w:pPr>
            <w:r>
              <w:rPr>
                <w:b w:val="0"/>
                <w:i w:val="0"/>
                <w:sz w:val="15"/>
              </w:rPr>
              <w:t>§§2.2(f), 13.2</w:t>
            </w:r>
          </w:p>
        </w:tc>
        <w:tc>
          <w:tcPr>
            <w:tcW w:type="dxa" w:w="3816"/>
            <w:shd w:val="clear" w:color="auto" w:fill="EEF2F8"/>
          </w:tcPr>
          <w:p>
            <w:pPr>
              <w:spacing w:after="20"/>
            </w:pPr>
            <w:r/>
            <w:r>
              <w:rPr>
                <w:b w:val="0"/>
                <w:i w:val="0"/>
                <w:sz w:val="15"/>
              </w:rPr>
              <w:t>Intangibles (trade name ‘Meridian Corporate Center,’ domains, permits, telephone numbers) are included, but §13.2 provides only an assignment of warranties.</w:t>
            </w:r>
          </w:p>
        </w:tc>
        <w:tc>
          <w:tcPr>
            <w:tcW w:type="dxa" w:w="2736"/>
            <w:shd w:val="clear" w:color="auto" w:fill="EEF2F8"/>
          </w:tcPr>
          <w:p>
            <w:pPr>
              <w:spacing w:after="20"/>
            </w:pPr>
            <w:r/>
            <w:r>
              <w:rPr>
                <w:b w:val="0"/>
                <w:i w:val="0"/>
                <w:sz w:val="15"/>
              </w:rPr>
              <w:t>Add a general assignment of intangible property and permits to §13.2.</w:t>
            </w:r>
          </w:p>
        </w:tc>
      </w:tr>
      <w:tr>
        <w:tc>
          <w:tcPr>
            <w:tcW w:type="dxa" w:w="432"/>
          </w:tcPr>
          <w:p>
            <w:pPr>
              <w:spacing w:after="20"/>
            </w:pPr>
            <w:r/>
            <w:r>
              <w:rPr>
                <w:b w:val="0"/>
                <w:i w:val="0"/>
                <w:sz w:val="15"/>
              </w:rPr>
              <w:t>31</w:t>
            </w:r>
          </w:p>
        </w:tc>
        <w:tc>
          <w:tcPr>
            <w:tcW w:type="dxa" w:w="864"/>
          </w:tcPr>
          <w:p>
            <w:pPr>
              <w:spacing w:after="20"/>
            </w:pPr>
            <w:r/>
            <w:r>
              <w:rPr>
                <w:b w:val="0"/>
                <w:i w:val="0"/>
                <w:sz w:val="15"/>
              </w:rPr>
              <w:t>Low</w:t>
            </w:r>
          </w:p>
        </w:tc>
        <w:tc>
          <w:tcPr>
            <w:tcW w:type="dxa" w:w="1800"/>
          </w:tcPr>
          <w:p>
            <w:pPr>
              <w:spacing w:after="20"/>
            </w:pPr>
            <w:r/>
            <w:r>
              <w:rPr>
                <w:b w:val="0"/>
                <w:i w:val="0"/>
                <w:sz w:val="15"/>
              </w:rPr>
              <w:t>Name overlap — conflicts check</w:t>
            </w:r>
          </w:p>
          <w:p>
            <w:pPr>
              <w:spacing w:after="20"/>
            </w:pPr>
            <w:r>
              <w:rPr>
                <w:b w:val="0"/>
                <w:i w:val="0"/>
                <w:sz w:val="15"/>
              </w:rPr>
              <w:t>Exh. F; Sched. 7.1(e); §10.2</w:t>
            </w:r>
          </w:p>
        </w:tc>
        <w:tc>
          <w:tcPr>
            <w:tcW w:type="dxa" w:w="3816"/>
          </w:tcPr>
          <w:p>
            <w:pPr>
              <w:spacing w:after="20"/>
            </w:pPr>
            <w:r/>
            <w:r>
              <w:rPr>
                <w:b w:val="0"/>
                <w:i w:val="0"/>
                <w:sz w:val="15"/>
              </w:rPr>
              <w:t>Tenant ‘Pinnacle Ridge Consulting LLC,’ Seller’s CGL carrier ‘Pinnacle Casualty Insurance Co.’ and lender ‘Pinnacle National Bank’ share a name.</w:t>
            </w:r>
          </w:p>
        </w:tc>
        <w:tc>
          <w:tcPr>
            <w:tcW w:type="dxa" w:w="2736"/>
          </w:tcPr>
          <w:p>
            <w:pPr>
              <w:spacing w:after="20"/>
            </w:pPr>
            <w:r/>
            <w:r>
              <w:rPr>
                <w:b w:val="0"/>
                <w:i w:val="0"/>
                <w:sz w:val="15"/>
              </w:rPr>
              <w:t>Confirm no affiliation (lender conflict/related-party issues) as part of KYC.</w:t>
            </w:r>
          </w:p>
        </w:tc>
      </w:tr>
      <w:tr>
        <w:tc>
          <w:tcPr>
            <w:tcW w:type="dxa" w:w="432"/>
            <w:shd w:val="clear" w:color="auto" w:fill="EEF2F8"/>
          </w:tcPr>
          <w:p>
            <w:pPr>
              <w:spacing w:after="20"/>
            </w:pPr>
            <w:r/>
            <w:r>
              <w:rPr>
                <w:b w:val="0"/>
                <w:i w:val="0"/>
                <w:sz w:val="15"/>
              </w:rPr>
              <w:t>32</w:t>
            </w:r>
          </w:p>
        </w:tc>
        <w:tc>
          <w:tcPr>
            <w:tcW w:type="dxa" w:w="864"/>
            <w:shd w:val="clear" w:color="auto" w:fill="EEF2F8"/>
          </w:tcPr>
          <w:p>
            <w:pPr>
              <w:spacing w:after="20"/>
            </w:pPr>
            <w:r/>
            <w:r>
              <w:rPr>
                <w:b w:val="0"/>
                <w:i w:val="0"/>
                <w:sz w:val="15"/>
              </w:rPr>
              <w:t>Low</w:t>
            </w:r>
          </w:p>
        </w:tc>
        <w:tc>
          <w:tcPr>
            <w:tcW w:type="dxa" w:w="1800"/>
            <w:shd w:val="clear" w:color="auto" w:fill="EEF2F8"/>
          </w:tcPr>
          <w:p>
            <w:pPr>
              <w:spacing w:after="20"/>
            </w:pPr>
            <w:r/>
            <w:r>
              <w:rPr>
                <w:b w:val="0"/>
                <w:i w:val="0"/>
                <w:sz w:val="15"/>
              </w:rPr>
              <w:t>Seller default remedies</w:t>
            </w:r>
          </w:p>
          <w:p>
            <w:pPr>
              <w:spacing w:after="20"/>
            </w:pPr>
            <w:r>
              <w:rPr>
                <w:b w:val="0"/>
                <w:i w:val="0"/>
                <w:sz w:val="15"/>
              </w:rPr>
              <w:t>§12.2</w:t>
            </w:r>
          </w:p>
        </w:tc>
        <w:tc>
          <w:tcPr>
            <w:tcW w:type="dxa" w:w="3816"/>
            <w:shd w:val="clear" w:color="auto" w:fill="EEF2F8"/>
          </w:tcPr>
          <w:p>
            <w:pPr>
              <w:spacing w:after="20"/>
            </w:pPr>
            <w:r/>
            <w:r>
              <w:rPr>
                <w:b w:val="0"/>
                <w:i w:val="0"/>
                <w:sz w:val="15"/>
              </w:rPr>
              <w:t>Expense reimbursement capped at $500,000; ‘willful’ default undefined.</w:t>
            </w:r>
          </w:p>
        </w:tc>
        <w:tc>
          <w:tcPr>
            <w:tcW w:type="dxa" w:w="2736"/>
            <w:shd w:val="clear" w:color="auto" w:fill="EEF2F8"/>
          </w:tcPr>
          <w:p>
            <w:pPr>
              <w:spacing w:after="20"/>
            </w:pPr>
            <w:r/>
            <w:r>
              <w:rPr>
                <w:b w:val="0"/>
                <w:i w:val="0"/>
                <w:sz w:val="15"/>
              </w:rPr>
              <w:t>Define willful default to include sale to a third party and refusal to close; consider higher reimbursement cap.</w:t>
            </w:r>
          </w:p>
        </w:tc>
      </w:tr>
      <w:tr>
        <w:tc>
          <w:tcPr>
            <w:tcW w:type="dxa" w:w="432"/>
          </w:tcPr>
          <w:p>
            <w:pPr>
              <w:spacing w:after="20"/>
            </w:pPr>
            <w:r/>
            <w:r>
              <w:rPr>
                <w:b w:val="0"/>
                <w:i w:val="0"/>
                <w:sz w:val="15"/>
              </w:rPr>
              <w:t>33</w:t>
            </w:r>
          </w:p>
        </w:tc>
        <w:tc>
          <w:tcPr>
            <w:tcW w:type="dxa" w:w="864"/>
          </w:tcPr>
          <w:p>
            <w:pPr>
              <w:spacing w:after="20"/>
            </w:pPr>
            <w:r/>
            <w:r>
              <w:rPr>
                <w:b w:val="0"/>
                <w:i w:val="0"/>
                <w:sz w:val="15"/>
              </w:rPr>
              <w:t>Low</w:t>
            </w:r>
          </w:p>
        </w:tc>
        <w:tc>
          <w:tcPr>
            <w:tcW w:type="dxa" w:w="1800"/>
          </w:tcPr>
          <w:p>
            <w:pPr>
              <w:spacing w:after="20"/>
            </w:pPr>
            <w:r/>
            <w:r>
              <w:rPr>
                <w:b w:val="0"/>
                <w:i w:val="0"/>
                <w:sz w:val="15"/>
              </w:rPr>
              <w:t>Use restrictions and zoning</w:t>
            </w:r>
          </w:p>
          <w:p>
            <w:pPr>
              <w:spacing w:after="20"/>
            </w:pPr>
            <w:r>
              <w:rPr>
                <w:b w:val="0"/>
                <w:i w:val="0"/>
                <w:sz w:val="15"/>
              </w:rPr>
              <w:t>Exh. B items 2, 3, 8</w:t>
            </w:r>
          </w:p>
        </w:tc>
        <w:tc>
          <w:tcPr>
            <w:tcW w:type="dxa" w:w="3816"/>
          </w:tcPr>
          <w:p>
            <w:pPr>
              <w:spacing w:after="20"/>
            </w:pPr>
            <w:r/>
            <w:r>
              <w:rPr>
                <w:b w:val="0"/>
                <w:i w:val="0"/>
                <w:sz w:val="15"/>
              </w:rPr>
              <w:t>CC&amp;Rs restrict use to office, retail and service uses; Blue Ridge Behavioral Health PC (Building C) is a health-care use; proffers (RZ-2010-PR-024) govern density and transportation.</w:t>
            </w:r>
          </w:p>
        </w:tc>
        <w:tc>
          <w:tcPr>
            <w:tcW w:type="dxa" w:w="2736"/>
          </w:tcPr>
          <w:p>
            <w:pPr>
              <w:spacing w:after="20"/>
            </w:pPr>
            <w:r/>
            <w:r>
              <w:rPr>
                <w:b w:val="0"/>
                <w:i w:val="0"/>
                <w:sz w:val="15"/>
              </w:rPr>
              <w:t>Obtain zoning report and CC&amp;R estoppel from any declarant/association; confirm health-care use is permitted.</w:t>
            </w:r>
          </w:p>
        </w:tc>
      </w:tr>
      <w:tr>
        <w:tc>
          <w:tcPr>
            <w:tcW w:type="dxa" w:w="432"/>
            <w:shd w:val="clear" w:color="auto" w:fill="EEF2F8"/>
          </w:tcPr>
          <w:p>
            <w:pPr>
              <w:spacing w:after="20"/>
            </w:pPr>
            <w:r/>
            <w:r>
              <w:rPr>
                <w:b w:val="0"/>
                <w:i w:val="0"/>
                <w:sz w:val="15"/>
              </w:rPr>
              <w:t>34</w:t>
            </w:r>
          </w:p>
        </w:tc>
        <w:tc>
          <w:tcPr>
            <w:tcW w:type="dxa" w:w="864"/>
            <w:shd w:val="clear" w:color="auto" w:fill="EEF2F8"/>
          </w:tcPr>
          <w:p>
            <w:pPr>
              <w:spacing w:after="20"/>
            </w:pPr>
            <w:r/>
            <w:r>
              <w:rPr>
                <w:b w:val="0"/>
                <w:i w:val="0"/>
                <w:sz w:val="15"/>
              </w:rPr>
              <w:t>Low</w:t>
            </w:r>
          </w:p>
        </w:tc>
        <w:tc>
          <w:tcPr>
            <w:tcW w:type="dxa" w:w="1800"/>
            <w:shd w:val="clear" w:color="auto" w:fill="EEF2F8"/>
          </w:tcPr>
          <w:p>
            <w:pPr>
              <w:spacing w:after="20"/>
            </w:pPr>
            <w:r/>
            <w:r>
              <w:rPr>
                <w:b w:val="0"/>
                <w:i w:val="0"/>
                <w:sz w:val="15"/>
              </w:rPr>
              <w:t>Buyer default cure period</w:t>
            </w:r>
          </w:p>
          <w:p>
            <w:pPr>
              <w:spacing w:after="20"/>
            </w:pPr>
            <w:r>
              <w:rPr>
                <w:b w:val="0"/>
                <w:i w:val="0"/>
                <w:sz w:val="15"/>
              </w:rPr>
              <w:t>§12.1</w:t>
            </w:r>
          </w:p>
        </w:tc>
        <w:tc>
          <w:tcPr>
            <w:tcW w:type="dxa" w:w="3816"/>
            <w:shd w:val="clear" w:color="auto" w:fill="EEF2F8"/>
          </w:tcPr>
          <w:p>
            <w:pPr>
              <w:spacing w:after="20"/>
            </w:pPr>
            <w:r/>
            <w:r>
              <w:rPr>
                <w:b w:val="0"/>
                <w:i w:val="0"/>
                <w:sz w:val="15"/>
              </w:rPr>
              <w:t>5 BD cure after notice applies to ‘material obligations’; it is not clear whether failure to close on the Closing Date is subject to the cure period.</w:t>
            </w:r>
          </w:p>
        </w:tc>
        <w:tc>
          <w:tcPr>
            <w:tcW w:type="dxa" w:w="2736"/>
            <w:shd w:val="clear" w:color="auto" w:fill="EEF2F8"/>
          </w:tcPr>
          <w:p>
            <w:pPr>
              <w:spacing w:after="20"/>
            </w:pPr>
            <w:r/>
            <w:r>
              <w:rPr>
                <w:b w:val="0"/>
                <w:i w:val="0"/>
                <w:sz w:val="15"/>
              </w:rPr>
              <w:t>Confirm (helpful to Buyer) that the cure period applies to closing failures.</w:t>
            </w:r>
          </w:p>
        </w:tc>
      </w:tr>
    </w:tbl>
    <w:p>
      <w:pPr>
        <w:spacing w:after="40"/>
      </w:pPr>
    </w:p>
    <w:p>
      <w:pPr>
        <w:pStyle w:val="Heading1"/>
      </w:pPr>
      <w:r>
        <w:t>Part 10 — Diligence Roadmap and Action Calendar</w:t>
      </w:r>
    </w:p>
    <w:tbl>
      <w:tblPr>
        <w:tblStyle w:val="TableGrid"/>
        <w:tblW w:type="dxa" w:w="9648"/>
        <w:jc w:val="center"/>
        <w:tblLayout w:type="fixed"/>
        <w:tblLook w:firstColumn="1" w:firstRow="1" w:lastColumn="0" w:lastRow="0" w:noHBand="0" w:noVBand="1" w:val="04A0"/>
        <w:tblLayout w:type="fixed"/>
      </w:tblPr>
      <w:tblGrid>
        <w:gridCol w:w="1872"/>
        <w:gridCol w:w="6192"/>
        <w:gridCol w:w="1584"/>
      </w:tblGrid>
      <w:tr>
        <w:trPr>
          <w:tblHeader w:val="true"/>
        </w:trPr>
        <w:tc>
          <w:tcPr>
            <w:tcW w:type="dxa" w:w="1872"/>
            <w:shd w:val="clear" w:color="auto" w:fill="1F3864"/>
          </w:tcPr>
          <w:p>
            <w:r/>
            <w:r>
              <w:rPr>
                <w:b/>
                <w:color w:val="FFFFFF"/>
                <w:sz w:val="17"/>
              </w:rPr>
              <w:t>Timing</w:t>
            </w:r>
          </w:p>
        </w:tc>
        <w:tc>
          <w:tcPr>
            <w:tcW w:type="dxa" w:w="6192"/>
            <w:shd w:val="clear" w:color="auto" w:fill="1F3864"/>
          </w:tcPr>
          <w:p>
            <w:r/>
            <w:r>
              <w:rPr>
                <w:b/>
                <w:color w:val="FFFFFF"/>
                <w:sz w:val="17"/>
              </w:rPr>
              <w:t>Action</w:t>
            </w:r>
          </w:p>
        </w:tc>
        <w:tc>
          <w:tcPr>
            <w:tcW w:type="dxa" w:w="1584"/>
            <w:shd w:val="clear" w:color="auto" w:fill="1F3864"/>
          </w:tcPr>
          <w:p>
            <w:r/>
            <w:r>
              <w:rPr>
                <w:b/>
                <w:color w:val="FFFFFF"/>
                <w:sz w:val="17"/>
              </w:rPr>
              <w:t>Responsible</w:t>
            </w:r>
          </w:p>
        </w:tc>
      </w:tr>
      <w:tr>
        <w:tc>
          <w:tcPr>
            <w:tcW w:type="dxa" w:w="1872"/>
          </w:tcPr>
          <w:p>
            <w:pPr>
              <w:spacing w:after="20"/>
            </w:pPr>
            <w:r/>
            <w:r>
              <w:rPr>
                <w:b w:val="0"/>
                <w:i w:val="0"/>
                <w:sz w:val="17"/>
              </w:rPr>
              <w:t>Immediately (week of Oct 14)</w:t>
            </w:r>
          </w:p>
        </w:tc>
        <w:tc>
          <w:tcPr>
            <w:tcW w:type="dxa" w:w="6192"/>
          </w:tcPr>
          <w:p>
            <w:pPr>
              <w:spacing w:after="20"/>
            </w:pPr>
            <w:r/>
            <w:r>
              <w:rPr>
                <w:b w:val="0"/>
                <w:i w:val="0"/>
                <w:sz w:val="17"/>
              </w:rPr>
              <w:t>Confirm Buyer entity; obtain executed signature pages; authorize Clearfield Phase II and DEQ FOIA (VRP-00487); order title commitment and ALTA/NSPS survey (Commonwealth Title – J. Walsh); request Pinnacle SNDA/estoppel requirements; deliver Seller amendment request list; confirm Seller §4.2 deliveries; Seller to send AirTech (90-day) termination notice if not assumed.</w:t>
            </w:r>
          </w:p>
        </w:tc>
        <w:tc>
          <w:tcPr>
            <w:tcW w:type="dxa" w:w="1584"/>
          </w:tcPr>
          <w:p>
            <w:pPr>
              <w:spacing w:after="20"/>
            </w:pPr>
            <w:r/>
            <w:r>
              <w:rPr>
                <w:b w:val="0"/>
                <w:i w:val="0"/>
                <w:sz w:val="17"/>
              </w:rPr>
              <w:t>HMS / Calverley / Clearfield</w:t>
            </w:r>
          </w:p>
        </w:tc>
      </w:tr>
      <w:tr>
        <w:tc>
          <w:tcPr>
            <w:tcW w:type="dxa" w:w="1872"/>
            <w:shd w:val="clear" w:color="auto" w:fill="EEF2F8"/>
          </w:tcPr>
          <w:p>
            <w:pPr>
              <w:spacing w:after="20"/>
            </w:pPr>
            <w:r/>
            <w:r>
              <w:rPr>
                <w:b w:val="0"/>
                <w:i w:val="0"/>
                <w:sz w:val="17"/>
              </w:rPr>
              <w:t>By Oct 25</w:t>
            </w:r>
          </w:p>
        </w:tc>
        <w:tc>
          <w:tcPr>
            <w:tcW w:type="dxa" w:w="6192"/>
            <w:shd w:val="clear" w:color="auto" w:fill="EEF2F8"/>
          </w:tcPr>
          <w:p>
            <w:pPr>
              <w:spacing w:after="20"/>
            </w:pPr>
            <w:r/>
            <w:r>
              <w:rPr>
                <w:b w:val="0"/>
                <w:i w:val="0"/>
                <w:sz w:val="17"/>
              </w:rPr>
              <w:t>Finalize revised Exh. E estoppel form and lender SNDA form; Seller to circulate estoppel/SNDA requests to all 14 tenants; begin lease audit (14 Leases); request aged receivables, CAM reconciliations, management/leasing agreements; Building C access plan for sub-slab/indoor air.</w:t>
            </w:r>
          </w:p>
        </w:tc>
        <w:tc>
          <w:tcPr>
            <w:tcW w:type="dxa" w:w="1584"/>
            <w:shd w:val="clear" w:color="auto" w:fill="EEF2F8"/>
          </w:tcPr>
          <w:p>
            <w:pPr>
              <w:spacing w:after="20"/>
            </w:pPr>
            <w:r/>
            <w:r>
              <w:rPr>
                <w:b w:val="0"/>
                <w:i w:val="0"/>
                <w:sz w:val="17"/>
              </w:rPr>
              <w:t>HMS / Seller</w:t>
            </w:r>
          </w:p>
        </w:tc>
      </w:tr>
      <w:tr>
        <w:tc>
          <w:tcPr>
            <w:tcW w:type="dxa" w:w="1872"/>
          </w:tcPr>
          <w:p>
            <w:pPr>
              <w:spacing w:after="20"/>
            </w:pPr>
            <w:r/>
            <w:r>
              <w:rPr>
                <w:b w:val="0"/>
                <w:i w:val="0"/>
                <w:sz w:val="17"/>
              </w:rPr>
              <w:t>Late Oct – early Nov</w:t>
            </w:r>
          </w:p>
        </w:tc>
        <w:tc>
          <w:tcPr>
            <w:tcW w:type="dxa" w:w="6192"/>
          </w:tcPr>
          <w:p>
            <w:pPr>
              <w:spacing w:after="20"/>
            </w:pPr>
            <w:r/>
            <w:r>
              <w:rPr>
                <w:b w:val="0"/>
                <w:i w:val="0"/>
                <w:sz w:val="17"/>
              </w:rPr>
              <w:t>Phase II fieldwork; zoning report; property condition report; tenant financial review (Valerian, NovaTech, Chesapeake); service contract review; insurance review; legal description reconciliation by surveyor.</w:t>
            </w:r>
          </w:p>
        </w:tc>
        <w:tc>
          <w:tcPr>
            <w:tcW w:type="dxa" w:w="1584"/>
          </w:tcPr>
          <w:p>
            <w:pPr>
              <w:spacing w:after="20"/>
            </w:pPr>
            <w:r/>
            <w:r>
              <w:rPr>
                <w:b w:val="0"/>
                <w:i w:val="0"/>
                <w:sz w:val="17"/>
              </w:rPr>
              <w:t>Consultants / HMS</w:t>
            </w:r>
          </w:p>
        </w:tc>
      </w:tr>
      <w:tr>
        <w:tc>
          <w:tcPr>
            <w:tcW w:type="dxa" w:w="1872"/>
            <w:shd w:val="clear" w:color="auto" w:fill="EEF2F8"/>
          </w:tcPr>
          <w:p>
            <w:pPr>
              <w:spacing w:after="20"/>
            </w:pPr>
            <w:r/>
            <w:r>
              <w:rPr>
                <w:b w:val="0"/>
                <w:i w:val="0"/>
                <w:sz w:val="17"/>
              </w:rPr>
              <w:t>Nov 14, 2024</w:t>
            </w:r>
          </w:p>
        </w:tc>
        <w:tc>
          <w:tcPr>
            <w:tcW w:type="dxa" w:w="6192"/>
            <w:shd w:val="clear" w:color="auto" w:fill="EEF2F8"/>
          </w:tcPr>
          <w:p>
            <w:pPr>
              <w:spacing w:after="20"/>
            </w:pPr>
            <w:r/>
            <w:r>
              <w:rPr>
                <w:b w:val="0"/>
                <w:i w:val="0"/>
                <w:sz w:val="17"/>
              </w:rPr>
              <w:t>Deliver Title Objections (including standard exceptions, survey matters, any lease purchase rights).</w:t>
            </w:r>
          </w:p>
        </w:tc>
        <w:tc>
          <w:tcPr>
            <w:tcW w:type="dxa" w:w="1584"/>
            <w:shd w:val="clear" w:color="auto" w:fill="EEF2F8"/>
          </w:tcPr>
          <w:p>
            <w:pPr>
              <w:spacing w:after="20"/>
            </w:pPr>
            <w:r/>
            <w:r>
              <w:rPr>
                <w:b w:val="0"/>
                <w:i w:val="0"/>
                <w:sz w:val="17"/>
              </w:rPr>
              <w:t>HMS</w:t>
            </w:r>
          </w:p>
        </w:tc>
      </w:tr>
      <w:tr>
        <w:tc>
          <w:tcPr>
            <w:tcW w:type="dxa" w:w="1872"/>
          </w:tcPr>
          <w:p>
            <w:pPr>
              <w:spacing w:after="20"/>
            </w:pPr>
            <w:r/>
            <w:r>
              <w:rPr>
                <w:b w:val="0"/>
                <w:i w:val="0"/>
                <w:sz w:val="17"/>
              </w:rPr>
              <w:t>By Nov 18, 2024</w:t>
            </w:r>
          </w:p>
        </w:tc>
        <w:tc>
          <w:tcPr>
            <w:tcW w:type="dxa" w:w="6192"/>
          </w:tcPr>
          <w:p>
            <w:pPr>
              <w:spacing w:after="20"/>
            </w:pPr>
            <w:r/>
            <w:r>
              <w:rPr>
                <w:b w:val="0"/>
                <w:i w:val="0"/>
                <w:sz w:val="17"/>
              </w:rPr>
              <w:t>Execute PSA amendment (Flags 1–4, 6–10 at minimum) or decide on termination.</w:t>
            </w:r>
          </w:p>
        </w:tc>
        <w:tc>
          <w:tcPr>
            <w:tcW w:type="dxa" w:w="1584"/>
          </w:tcPr>
          <w:p>
            <w:pPr>
              <w:spacing w:after="20"/>
            </w:pPr>
            <w:r/>
            <w:r>
              <w:rPr>
                <w:b w:val="0"/>
                <w:i w:val="0"/>
                <w:sz w:val="17"/>
              </w:rPr>
              <w:t>HMS / IC</w:t>
            </w:r>
          </w:p>
        </w:tc>
      </w:tr>
      <w:tr>
        <w:tc>
          <w:tcPr>
            <w:tcW w:type="dxa" w:w="1872"/>
            <w:shd w:val="clear" w:color="auto" w:fill="EEF2F8"/>
          </w:tcPr>
          <w:p>
            <w:pPr>
              <w:spacing w:after="20"/>
            </w:pPr>
            <w:r/>
            <w:r>
              <w:rPr>
                <w:b w:val="0"/>
                <w:i w:val="0"/>
                <w:sz w:val="17"/>
              </w:rPr>
              <w:t>Nov 21, 2024, 5:00 p.m. ET</w:t>
            </w:r>
          </w:p>
        </w:tc>
        <w:tc>
          <w:tcPr>
            <w:tcW w:type="dxa" w:w="6192"/>
            <w:shd w:val="clear" w:color="auto" w:fill="EEF2F8"/>
          </w:tcPr>
          <w:p>
            <w:pPr>
              <w:spacing w:after="20"/>
            </w:pPr>
            <w:r/>
            <w:r>
              <w:rPr>
                <w:b w:val="0"/>
                <w:i w:val="0"/>
                <w:sz w:val="17"/>
              </w:rPr>
              <w:t>DD termination deadline — deliver notice by hand/courier and email if amendment not signed.</w:t>
            </w:r>
          </w:p>
        </w:tc>
        <w:tc>
          <w:tcPr>
            <w:tcW w:type="dxa" w:w="1584"/>
            <w:shd w:val="clear" w:color="auto" w:fill="EEF2F8"/>
          </w:tcPr>
          <w:p>
            <w:pPr>
              <w:spacing w:after="20"/>
            </w:pPr>
            <w:r/>
            <w:r>
              <w:rPr>
                <w:b w:val="0"/>
                <w:i w:val="0"/>
                <w:sz w:val="17"/>
              </w:rPr>
              <w:t>Calverley / HMS</w:t>
            </w:r>
          </w:p>
        </w:tc>
      </w:tr>
      <w:tr>
        <w:tc>
          <w:tcPr>
            <w:tcW w:type="dxa" w:w="1872"/>
          </w:tcPr>
          <w:p>
            <w:pPr>
              <w:spacing w:after="20"/>
            </w:pPr>
            <w:r/>
            <w:r>
              <w:rPr>
                <w:b w:val="0"/>
                <w:i w:val="0"/>
                <w:sz w:val="17"/>
              </w:rPr>
              <w:t>Nov 29, 2024</w:t>
            </w:r>
          </w:p>
        </w:tc>
        <w:tc>
          <w:tcPr>
            <w:tcW w:type="dxa" w:w="6192"/>
          </w:tcPr>
          <w:p>
            <w:pPr>
              <w:spacing w:after="20"/>
            </w:pPr>
            <w:r/>
            <w:r>
              <w:rPr>
                <w:b w:val="0"/>
                <w:i w:val="0"/>
                <w:sz w:val="17"/>
              </w:rPr>
              <w:t>Fund Additional Deposit ($1.5M) only if financing/environmental protections are resolved.</w:t>
            </w:r>
          </w:p>
        </w:tc>
        <w:tc>
          <w:tcPr>
            <w:tcW w:type="dxa" w:w="1584"/>
          </w:tcPr>
          <w:p>
            <w:pPr>
              <w:spacing w:after="20"/>
            </w:pPr>
            <w:r/>
            <w:r>
              <w:rPr>
                <w:b w:val="0"/>
                <w:i w:val="0"/>
                <w:sz w:val="17"/>
              </w:rPr>
              <w:t>Calverley</w:t>
            </w:r>
          </w:p>
        </w:tc>
      </w:tr>
      <w:tr>
        <w:tc>
          <w:tcPr>
            <w:tcW w:type="dxa" w:w="1872"/>
            <w:shd w:val="clear" w:color="auto" w:fill="EEF2F8"/>
          </w:tcPr>
          <w:p>
            <w:pPr>
              <w:spacing w:after="20"/>
            </w:pPr>
            <w:r/>
            <w:r>
              <w:rPr>
                <w:b w:val="0"/>
                <w:i w:val="0"/>
                <w:sz w:val="17"/>
              </w:rPr>
              <w:t>Dec 6, 2024, 5:00 p.m. ET</w:t>
            </w:r>
          </w:p>
        </w:tc>
        <w:tc>
          <w:tcPr>
            <w:tcW w:type="dxa" w:w="6192"/>
            <w:shd w:val="clear" w:color="auto" w:fill="EEF2F8"/>
          </w:tcPr>
          <w:p>
            <w:pPr>
              <w:spacing w:after="20"/>
            </w:pPr>
            <w:r/>
            <w:r>
              <w:rPr>
                <w:b w:val="0"/>
                <w:i w:val="0"/>
                <w:sz w:val="17"/>
              </w:rPr>
              <w:t>Financing Contingency Deadline — deliver termination notice if no satisfactory commitment.</w:t>
            </w:r>
          </w:p>
        </w:tc>
        <w:tc>
          <w:tcPr>
            <w:tcW w:type="dxa" w:w="1584"/>
            <w:shd w:val="clear" w:color="auto" w:fill="EEF2F8"/>
          </w:tcPr>
          <w:p>
            <w:pPr>
              <w:spacing w:after="20"/>
            </w:pPr>
            <w:r/>
            <w:r>
              <w:rPr>
                <w:b w:val="0"/>
                <w:i w:val="0"/>
                <w:sz w:val="17"/>
              </w:rPr>
              <w:t>Calverley / HMS</w:t>
            </w:r>
          </w:p>
        </w:tc>
      </w:tr>
      <w:tr>
        <w:tc>
          <w:tcPr>
            <w:tcW w:type="dxa" w:w="1872"/>
          </w:tcPr>
          <w:p>
            <w:pPr>
              <w:spacing w:after="20"/>
            </w:pPr>
            <w:r/>
            <w:r>
              <w:rPr>
                <w:b w:val="0"/>
                <w:i w:val="0"/>
                <w:sz w:val="17"/>
              </w:rPr>
              <w:t>Dec 2024</w:t>
            </w:r>
          </w:p>
        </w:tc>
        <w:tc>
          <w:tcPr>
            <w:tcW w:type="dxa" w:w="6192"/>
          </w:tcPr>
          <w:p>
            <w:pPr>
              <w:spacing w:after="20"/>
            </w:pPr>
            <w:r/>
            <w:r>
              <w:rPr>
                <w:b w:val="0"/>
                <w:i w:val="0"/>
                <w:sz w:val="17"/>
              </w:rPr>
              <w:t>Phase II results; Seller title response (~Dec 6) and Buyer election (~Dec 20); SPE formation, Virginia registration, and executed §14.3 assignment (deliver by Dec 31).</w:t>
            </w:r>
          </w:p>
        </w:tc>
        <w:tc>
          <w:tcPr>
            <w:tcW w:type="dxa" w:w="1584"/>
          </w:tcPr>
          <w:p>
            <w:pPr>
              <w:spacing w:after="20"/>
            </w:pPr>
            <w:r/>
            <w:r>
              <w:rPr>
                <w:b w:val="0"/>
                <w:i w:val="0"/>
                <w:sz w:val="17"/>
              </w:rPr>
              <w:t>All</w:t>
            </w:r>
          </w:p>
        </w:tc>
      </w:tr>
      <w:tr>
        <w:tc>
          <w:tcPr>
            <w:tcW w:type="dxa" w:w="1872"/>
            <w:shd w:val="clear" w:color="auto" w:fill="EEF2F8"/>
          </w:tcPr>
          <w:p>
            <w:pPr>
              <w:spacing w:after="20"/>
            </w:pPr>
            <w:r/>
            <w:r>
              <w:rPr>
                <w:b w:val="0"/>
                <w:i w:val="0"/>
                <w:sz w:val="17"/>
              </w:rPr>
              <w:t>Dec 31, 2024</w:t>
            </w:r>
          </w:p>
        </w:tc>
        <w:tc>
          <w:tcPr>
            <w:tcW w:type="dxa" w:w="6192"/>
            <w:shd w:val="clear" w:color="auto" w:fill="EEF2F8"/>
          </w:tcPr>
          <w:p>
            <w:pPr>
              <w:spacing w:after="20"/>
            </w:pPr>
            <w:r/>
            <w:r>
              <w:rPr>
                <w:b w:val="0"/>
                <w:i w:val="0"/>
                <w:sz w:val="17"/>
              </w:rPr>
              <w:t>Estoppel delivery deadline (10 BD before Closing); assess 80% test and lender requirements.</w:t>
            </w:r>
          </w:p>
        </w:tc>
        <w:tc>
          <w:tcPr>
            <w:tcW w:type="dxa" w:w="1584"/>
            <w:shd w:val="clear" w:color="auto" w:fill="EEF2F8"/>
          </w:tcPr>
          <w:p>
            <w:pPr>
              <w:spacing w:after="20"/>
            </w:pPr>
            <w:r/>
            <w:r>
              <w:rPr>
                <w:b w:val="0"/>
                <w:i w:val="0"/>
                <w:sz w:val="17"/>
              </w:rPr>
              <w:t>Seller / HMS</w:t>
            </w:r>
          </w:p>
        </w:tc>
      </w:tr>
      <w:tr>
        <w:tc>
          <w:tcPr>
            <w:tcW w:type="dxa" w:w="1872"/>
          </w:tcPr>
          <w:p>
            <w:pPr>
              <w:spacing w:after="20"/>
            </w:pPr>
            <w:r/>
            <w:r>
              <w:rPr>
                <w:b w:val="0"/>
                <w:i w:val="0"/>
                <w:sz w:val="17"/>
              </w:rPr>
              <w:t>Before Jan 11, 2025</w:t>
            </w:r>
          </w:p>
        </w:tc>
        <w:tc>
          <w:tcPr>
            <w:tcW w:type="dxa" w:w="6192"/>
          </w:tcPr>
          <w:p>
            <w:pPr>
              <w:spacing w:after="20"/>
            </w:pPr>
            <w:r/>
            <w:r>
              <w:rPr>
                <w:b w:val="0"/>
                <w:i w:val="0"/>
                <w:sz w:val="17"/>
              </w:rPr>
              <w:t>Phase I update within 180-day AAI window.</w:t>
            </w:r>
          </w:p>
        </w:tc>
        <w:tc>
          <w:tcPr>
            <w:tcW w:type="dxa" w:w="1584"/>
          </w:tcPr>
          <w:p>
            <w:pPr>
              <w:spacing w:after="20"/>
            </w:pPr>
            <w:r/>
            <w:r>
              <w:rPr>
                <w:b w:val="0"/>
                <w:i w:val="0"/>
                <w:sz w:val="17"/>
              </w:rPr>
              <w:t>Clearfield</w:t>
            </w:r>
          </w:p>
        </w:tc>
      </w:tr>
      <w:tr>
        <w:tc>
          <w:tcPr>
            <w:tcW w:type="dxa" w:w="1872"/>
            <w:shd w:val="clear" w:color="auto" w:fill="EEF2F8"/>
          </w:tcPr>
          <w:p>
            <w:pPr>
              <w:spacing w:after="20"/>
            </w:pPr>
            <w:r/>
            <w:r>
              <w:rPr>
                <w:b w:val="0"/>
                <w:i w:val="0"/>
                <w:sz w:val="17"/>
              </w:rPr>
              <w:t>Jan 15, 2025</w:t>
            </w:r>
          </w:p>
        </w:tc>
        <w:tc>
          <w:tcPr>
            <w:tcW w:type="dxa" w:w="6192"/>
            <w:shd w:val="clear" w:color="auto" w:fill="EEF2F8"/>
          </w:tcPr>
          <w:p>
            <w:pPr>
              <w:spacing w:after="20"/>
            </w:pPr>
            <w:r/>
            <w:r>
              <w:rPr>
                <w:b w:val="0"/>
                <w:i w:val="0"/>
                <w:sz w:val="17"/>
              </w:rPr>
              <w:t>Closing (subject to §13.5 extensions).</w:t>
            </w:r>
          </w:p>
        </w:tc>
        <w:tc>
          <w:tcPr>
            <w:tcW w:type="dxa" w:w="1584"/>
            <w:shd w:val="clear" w:color="auto" w:fill="EEF2F8"/>
          </w:tcPr>
          <w:p>
            <w:pPr>
              <w:spacing w:after="20"/>
            </w:pPr>
            <w:r/>
            <w:r>
              <w:rPr>
                <w:b w:val="0"/>
                <w:i w:val="0"/>
                <w:sz w:val="17"/>
              </w:rPr>
              <w:t>All</w:t>
            </w:r>
          </w:p>
        </w:tc>
      </w:tr>
    </w:tbl>
    <w:p>
      <w:pPr>
        <w:spacing w:after="40"/>
      </w:pPr>
    </w:p>
    <w:p>
      <w:pPr>
        <w:pStyle w:val="Heading1"/>
      </w:pPr>
      <w:r>
        <w:t>Part 11 — Proposed PSA Amendment Requests (for Seller’s counsel)</w:t>
      </w:r>
    </w:p>
    <w:p>
      <w:pPr>
        <w:pStyle w:val="ListNumber2"/>
        <w:spacing w:after="40"/>
      </w:pPr>
      <w:r>
        <w:rPr>
          <w:b w:val="0"/>
          <w:i w:val="0"/>
          <w:sz w:val="19"/>
        </w:rPr>
        <w:t>Confirm/correct Buyer identity and conform §15.2 and Exhibits C, D, E and H (Flag 1).</w:t>
      </w:r>
    </w:p>
    <w:p>
      <w:pPr>
        <w:pStyle w:val="ListNumber2"/>
        <w:spacing w:after="40"/>
      </w:pPr>
      <w:r>
        <w:rPr>
          <w:b w:val="0"/>
          <w:i w:val="0"/>
          <w:sz w:val="19"/>
        </w:rPr>
        <w:t>§10.2(b): refund of the entire Deposit on financing termination; or defer Additional Deposit until 3 BD after the Financing Contingency Deadline (Flag 2).</w:t>
      </w:r>
    </w:p>
    <w:p>
      <w:pPr>
        <w:pStyle w:val="ListNumber2"/>
        <w:spacing w:after="40"/>
      </w:pPr>
      <w:r>
        <w:rPr>
          <w:b w:val="0"/>
          <w:i w:val="0"/>
          <w:sz w:val="19"/>
        </w:rPr>
        <w:t>Extend the Due Diligence Period (or add an environmental contingency) to 10 BD after receipt of final Phase II results, with full refund; defer the Additional Deposit accordingly (Flag 4).</w:t>
      </w:r>
    </w:p>
    <w:p>
      <w:pPr>
        <w:pStyle w:val="ListNumber2"/>
        <w:spacing w:after="40"/>
      </w:pPr>
      <w:r>
        <w:rPr>
          <w:b w:val="0"/>
          <w:i w:val="0"/>
          <w:sz w:val="19"/>
        </w:rPr>
        <w:t>§8.4: increase cap to ≥$10,000,000 (or uncapped for REC-1); survival 5–10 years/DEQ closure; coverage of continuing migration, vapor intrusion mitigation, third-party/tenant claims and lost rent; environmental escrow/holdback or guaranty; PLL cost sharing; carve REC-1 out of §8.3 release (Flag 3).</w:t>
      </w:r>
    </w:p>
    <w:p>
      <w:pPr>
        <w:pStyle w:val="ListNumber2"/>
        <w:spacing w:after="40"/>
      </w:pPr>
      <w:r>
        <w:rPr>
          <w:b w:val="0"/>
          <w:i w:val="0"/>
          <w:sz w:val="19"/>
        </w:rPr>
        <w:t>§9.4: SNDAs from tenants &gt;15,000 RSF as a closing condition (or lender-driven alternative); fix §9.1(f) (Flag 6).</w:t>
      </w:r>
    </w:p>
    <w:p>
      <w:pPr>
        <w:pStyle w:val="ListNumber2"/>
        <w:spacing w:after="40"/>
      </w:pPr>
      <w:r>
        <w:rPr>
          <w:b w:val="0"/>
          <w:i w:val="0"/>
          <w:sz w:val="19"/>
        </w:rPr>
        <w:t>§9.3/Exh. E: major-tenant estoppels plus 80% aggregate; clean estoppel standard; 30-day staleness; Seller estoppel backstop; revised form (Flag 7).</w:t>
      </w:r>
    </w:p>
    <w:p>
      <w:pPr>
        <w:pStyle w:val="ListNumber2"/>
        <w:spacing w:after="40"/>
      </w:pPr>
      <w:r>
        <w:rPr>
          <w:b w:val="0"/>
          <w:i w:val="0"/>
          <w:sz w:val="19"/>
        </w:rPr>
        <w:t>New interim operating covenants (Flag 8).</w:t>
      </w:r>
    </w:p>
    <w:p>
      <w:pPr>
        <w:pStyle w:val="ListNumber2"/>
        <w:spacing w:after="40"/>
      </w:pPr>
      <w:r>
        <w:rPr>
          <w:b w:val="0"/>
          <w:i w:val="0"/>
          <w:sz w:val="19"/>
        </w:rPr>
        <w:t>§14.3: broaden affiliate definition to Calverley-controlled entities/funds; 3 BD notice; release of assignor post-Closing; collateral assignment to lender (Flag 9).</w:t>
      </w:r>
    </w:p>
    <w:p>
      <w:pPr>
        <w:pStyle w:val="ListNumber2"/>
        <w:spacing w:after="40"/>
      </w:pPr>
      <w:r>
        <w:rPr>
          <w:b w:val="0"/>
          <w:i w:val="0"/>
          <w:sz w:val="19"/>
        </w:rPr>
        <w:t>§15.4: carve out specific performance, lis pendens, injunctive relief and interpleader; toll §12.2(a) period (Flag 10).</w:t>
      </w:r>
    </w:p>
    <w:p>
      <w:pPr>
        <w:pStyle w:val="ListNumber2"/>
        <w:spacing w:after="40"/>
      </w:pPr>
      <w:r>
        <w:rPr>
          <w:b w:val="0"/>
          <w:i w:val="0"/>
          <w:sz w:val="19"/>
        </w:rPr>
        <w:t>§13.5: notice requirement and permitted reasons for extensions; correct March 1, 2025 weekend date (Flag 11).</w:t>
      </w:r>
    </w:p>
    <w:p>
      <w:pPr>
        <w:pStyle w:val="ListNumber2"/>
        <w:spacing w:after="40"/>
      </w:pPr>
      <w:r>
        <w:rPr>
          <w:b w:val="0"/>
          <w:i w:val="0"/>
          <w:sz w:val="19"/>
        </w:rPr>
        <w:t>Article V: deemed non-cure on Seller silence; new-matter objection rights; remove standard exceptions from Exh. B; lien protection for pending TI work (Flag 12).</w:t>
      </w:r>
    </w:p>
    <w:p>
      <w:pPr>
        <w:pStyle w:val="ListNumber2"/>
        <w:spacing w:after="40"/>
      </w:pPr>
      <w:r>
        <w:rPr>
          <w:b w:val="0"/>
          <w:i w:val="0"/>
          <w:sz w:val="19"/>
        </w:rPr>
        <w:t>Corrected Exhibit A legal description (Flag 13).</w:t>
      </w:r>
    </w:p>
    <w:p>
      <w:pPr>
        <w:pStyle w:val="ListNumber2"/>
        <w:spacing w:after="40"/>
      </w:pPr>
      <w:r>
        <w:rPr>
          <w:b w:val="0"/>
          <w:i w:val="0"/>
          <w:sz w:val="19"/>
        </w:rPr>
        <w:t>§7.2/7.3/7.4: certificate 5 BD pre-Closing; no cure by update for Seller-caused changes; survival escrow or guaranty (Flag 14).</w:t>
      </w:r>
    </w:p>
    <w:p>
      <w:pPr>
        <w:pStyle w:val="ListNumber2"/>
        <w:spacing w:after="40"/>
      </w:pPr>
      <w:r>
        <w:rPr>
          <w:b w:val="0"/>
          <w:i w:val="0"/>
          <w:sz w:val="19"/>
        </w:rPr>
        <w:t>General Seller indemnity for pre-Closing third-party claims (Flag 15).</w:t>
      </w:r>
    </w:p>
    <w:p>
      <w:pPr>
        <w:pStyle w:val="ListNumber2"/>
        <w:spacing w:after="40"/>
      </w:pPr>
      <w:r>
        <w:rPr>
          <w:b w:val="0"/>
          <w:i w:val="0"/>
          <w:sz w:val="19"/>
        </w:rPr>
        <w:t>§6.3: credit for actual unpaid TI/LC and post-Closing free rent; leasing commission responsibility (Flag 16).</w:t>
      </w:r>
    </w:p>
    <w:p>
      <w:pPr>
        <w:pStyle w:val="ListNumber2"/>
        <w:spacing w:after="40"/>
      </w:pPr>
      <w:r>
        <w:rPr>
          <w:b w:val="0"/>
          <w:i w:val="0"/>
          <w:sz w:val="19"/>
        </w:rPr>
        <w:t>Service contract designation/termination mechanics; termination of management and leasing agreements at Seller’s cost (Flag 18).</w:t>
      </w:r>
    </w:p>
    <w:p>
      <w:pPr>
        <w:pStyle w:val="ListNumber2"/>
        <w:spacing w:after="40"/>
      </w:pPr>
      <w:r>
        <w:rPr>
          <w:b w:val="0"/>
          <w:i w:val="0"/>
          <w:sz w:val="19"/>
        </w:rPr>
        <w:t>General closing-condition failure remedy; reconcile §9.1(g)/§11.2 (Flag 19).</w:t>
      </w:r>
    </w:p>
    <w:p>
      <w:pPr>
        <w:pStyle w:val="ListNumber2"/>
        <w:spacing w:after="40"/>
      </w:pPr>
      <w:r>
        <w:rPr>
          <w:b w:val="0"/>
          <w:i w:val="0"/>
          <w:sz w:val="19"/>
        </w:rPr>
        <w:t>Casualty/condemnation refinements; §13.4 tax allocation; 12-month reconciliation; ‘Business Day’ definition; corrected notice addresses; assignment of intangibles (Flags 20–24, 30).</w:t>
      </w:r>
    </w:p>
    <w:p>
      <w:pPr>
        <w:pStyle w:val="Heading1"/>
      </w:pPr>
      <w:r>
        <w:t>Part 12 — Scope, Assumptions and Limitations</w:t>
      </w:r>
    </w:p>
    <w:p>
      <w:pPr>
        <w:pStyle w:val="ListBullet"/>
        <w:spacing w:after="40"/>
      </w:pPr>
      <w:r>
        <w:rPr>
          <w:b w:val="0"/>
          <w:i w:val="0"/>
          <w:sz w:val="19"/>
        </w:rPr>
        <w:t>This term sheet is based solely on the three documents listed on page 1. We have not reviewed the Leases, title commitment, survey, full Phase I report, Service Contracts, loan term sheet or Seller’s data room; extracted terms should be confirmed against those documents.</w:t>
      </w:r>
    </w:p>
    <w:p>
      <w:pPr>
        <w:pStyle w:val="ListBullet"/>
        <w:spacing w:after="40"/>
      </w:pPr>
      <w:r>
        <w:rPr>
          <w:b w:val="0"/>
          <w:i w:val="0"/>
          <w:sz w:val="19"/>
        </w:rPr>
        <w:t>Computed figures (percentages, per-SF metrics, rollover, business-day deadlines, legal description closure, Virginia tax estimates) are HMS calculations for planning purposes. Business-day deadlines assume weekends, Thanksgiving, Christmas and New Year’s Day are excluded; deadlines should be calendared conservatively given the undefined term.</w:t>
      </w:r>
    </w:p>
    <w:p>
      <w:pPr>
        <w:pStyle w:val="ListBullet"/>
        <w:spacing w:after="40"/>
      </w:pPr>
      <w:r>
        <w:rPr>
          <w:b w:val="0"/>
          <w:i w:val="0"/>
          <w:sz w:val="19"/>
        </w:rPr>
        <w:t>Virginia tax figures are estimates at standard statutory rates and should be confirmed by Commonwealth Title &amp; Escrow LLC.</w:t>
      </w:r>
    </w:p>
    <w:p>
      <w:pPr>
        <w:pStyle w:val="ListBullet"/>
        <w:spacing w:after="40"/>
      </w:pPr>
      <w:r>
        <w:rPr>
          <w:b w:val="0"/>
          <w:i w:val="0"/>
          <w:sz w:val="19"/>
        </w:rPr>
        <w:t>This document does not address tax structuring, securities, fund-level or lender loan-document matters.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Privileged &amp; Confidential — Attorney-Client Communication / Attorney Work Product | Meridian Corporate Center PSA Term Sheet | HMS draft 10/14/2024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