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THORNFIELD &amp; LOCKE LLP</w:t>
      </w:r>
    </w:p>
    <w:p>
      <w:pPr>
        <w:spacing w:after="200"/>
        <w:jc w:val="center"/>
      </w:pPr>
      <w:r>
        <w:rPr>
          <w:b w:val="0"/>
          <w:i w:val="0"/>
          <w:sz w:val="20"/>
        </w:rPr>
        <w:t>1251 Avenue of the Americas, 40th Floor, New York, NY 10020</w:t>
      </w:r>
    </w:p>
    <w:p>
      <w:pPr>
        <w:spacing w:after="200"/>
        <w:jc w:val="center"/>
      </w:pPr>
      <w:r>
        <w:rPr>
          <w:b/>
          <w:i w:val="0"/>
          <w:sz w:val="20"/>
        </w:rPr>
        <w:t>PRIVILEGED AND CONFIDENTIAL — ATTORNEY WORK PRODUCT — PREPARED IN ANTICIPATION OF LITIGATION</w:t>
      </w:r>
    </w:p>
    <w:p>
      <w:pPr>
        <w:spacing w:after="200"/>
        <w:jc w:val="center"/>
      </w:pPr>
      <w:r>
        <w:rPr>
          <w:b/>
          <w:i w:val="0"/>
          <w:sz w:val="28"/>
        </w:rPr>
        <w:t>MEMORANDUM</w:t>
      </w:r>
    </w:p>
    <w:tbl>
      <w:tblPr>
        <w:tblW w:type="auto" w:w="0"/>
        <w:tblLook w:firstColumn="1" w:firstRow="1" w:lastColumn="0" w:lastRow="0" w:noHBand="0" w:noVBand="1" w:val="04A0"/>
      </w:tblPr>
      <w:tblGrid>
        <w:gridCol w:w="4680"/>
        <w:gridCol w:w="4680"/>
      </w:tblGrid>
      <w:tr>
        <w:tc>
          <w:tcPr>
            <w:tcW w:type="dxa" w:w="1728"/>
          </w:tcPr>
          <w:p>
            <w:r/>
            <w:r>
              <w:rPr>
                <w:b/>
                <w:i w:val="0"/>
              </w:rPr>
              <w:t>TO:</w:t>
            </w:r>
          </w:p>
        </w:tc>
        <w:tc>
          <w:tcPr>
            <w:tcW w:type="dxa" w:w="7632"/>
          </w:tcPr>
          <w:p>
            <w:r/>
            <w:r>
              <w:rPr>
                <w:b w:val="0"/>
                <w:i w:val="0"/>
              </w:rPr>
              <w:t>R. Calvin Briggs, Partner</w:t>
            </w:r>
          </w:p>
        </w:tc>
      </w:tr>
      <w:tr>
        <w:tc>
          <w:tcPr>
            <w:tcW w:type="dxa" w:w="1728"/>
          </w:tcPr>
          <w:p>
            <w:r/>
            <w:r>
              <w:rPr>
                <w:b/>
                <w:i w:val="0"/>
              </w:rPr>
              <w:t>FROM:</w:t>
            </w:r>
          </w:p>
        </w:tc>
        <w:tc>
          <w:tcPr>
            <w:tcW w:type="dxa" w:w="7632"/>
          </w:tcPr>
          <w:p>
            <w:r/>
            <w:r>
              <w:rPr>
                <w:b w:val="0"/>
                <w:i w:val="0"/>
              </w:rPr>
              <w:t>Priya Anand</w:t>
            </w:r>
          </w:p>
        </w:tc>
      </w:tr>
      <w:tr>
        <w:tc>
          <w:tcPr>
            <w:tcW w:type="dxa" w:w="1728"/>
          </w:tcPr>
          <w:p>
            <w:r/>
            <w:r>
              <w:rPr>
                <w:b/>
                <w:i w:val="0"/>
              </w:rPr>
              <w:t>DATE:</w:t>
            </w:r>
          </w:p>
        </w:tc>
        <w:tc>
          <w:tcPr>
            <w:tcW w:type="dxa" w:w="7632"/>
          </w:tcPr>
          <w:p>
            <w:r/>
            <w:r>
              <w:rPr>
                <w:b w:val="0"/>
                <w:i w:val="0"/>
              </w:rPr>
              <w:t>April 22, 2024</w:t>
            </w:r>
          </w:p>
        </w:tc>
      </w:tr>
      <w:tr>
        <w:tc>
          <w:tcPr>
            <w:tcW w:type="dxa" w:w="1728"/>
          </w:tcPr>
          <w:p>
            <w:r/>
            <w:r>
              <w:rPr>
                <w:b/>
                <w:i w:val="0"/>
              </w:rPr>
              <w:t>RE:</w:t>
            </w:r>
          </w:p>
        </w:tc>
        <w:tc>
          <w:tcPr>
            <w:tcW w:type="dxa" w:w="7632"/>
          </w:tcPr>
          <w:p>
            <w:r/>
            <w:r>
              <w:rPr>
                <w:b w:val="0"/>
                <w:i w:val="0"/>
              </w:rPr>
              <w:t>United States v. Hargrove Capital Partners LLC, No. 1:22-cv-07841-LTS (S.D.N.Y.) — Issue Memorandum: Factual Errors, Legal Errors, Internal Inconsistencies, and Strategic Vulnerabilities in the Government's Motion for Summary Judgment (filed April 3, 2024)</w:t>
            </w:r>
          </w:p>
        </w:tc>
      </w:tr>
      <w:tr>
        <w:tc>
          <w:tcPr>
            <w:tcW w:type="dxa" w:w="1728"/>
          </w:tcPr>
          <w:p>
            <w:r/>
            <w:r>
              <w:rPr>
                <w:b/>
                <w:i w:val="0"/>
              </w:rPr>
              <w:t>MATTER NO.:</w:t>
            </w:r>
          </w:p>
        </w:tc>
        <w:tc>
          <w:tcPr>
            <w:tcW w:type="dxa" w:w="7632"/>
          </w:tcPr>
          <w:p>
            <w:r/>
            <w:r>
              <w:rPr>
                <w:b w:val="0"/>
                <w:i w:val="0"/>
              </w:rPr>
              <w:t>HCP-2022-0093</w:t>
            </w:r>
          </w:p>
        </w:tc>
      </w:tr>
    </w:tbl>
    <w:p>
      <w:pPr>
        <w:spacing w:after="160"/>
      </w:pPr>
      <w:r>
        <w:rPr>
          <w:b w:val="0"/>
          <w:i w:val="0"/>
        </w:rPr>
        <w:t>______________________________________________________________________________________</w:t>
      </w:r>
    </w:p>
    <w:p>
      <w:pPr>
        <w:pStyle w:val="Heading1"/>
      </w:pPr>
      <w:r>
        <w:rPr>
          <w:b w:val="0"/>
          <w:i w:val="0"/>
        </w:rPr>
        <w:t>I. Executive Summary</w:t>
      </w:r>
    </w:p>
    <w:p>
      <w:pPr>
        <w:spacing w:after="120"/>
      </w:pPr>
      <w:r>
        <w:rPr>
          <w:b w:val="0"/>
          <w:i w:val="0"/>
        </w:rPr>
        <w:t>You asked for a comprehensive first-pass review of the government's Memorandum of Law in Support of its Motion for Summary Judgment (the “Brief” or “Gov. Br.”), the Declaration of Special Agent Teresa Quillen and Exhibits 1–14 (“Quillen Decl.”), and the Expert Declaration of Professor Leah Ashford (“Ashford Decl.”), cross-checked against HCP's executed Management Fee Waiver Election Forms (“Election Forms”) and the Ridgeline Advisors opinion letter dated November 1, 2017 (“Ridgeline Opinion”). I identified 56 issues (15 Critical, 31 Significant, 10 Minor), organized below into the four categories you requested, followed by a section identifying items that look objectionable but that we should not raise.</w:t>
      </w:r>
    </w:p>
    <w:p>
      <w:pPr>
        <w:spacing w:after="120"/>
      </w:pPr>
      <w:r>
        <w:rPr>
          <w:b/>
          <w:i w:val="0"/>
        </w:rPr>
        <w:t>Bottom line.</w:t>
      </w:r>
      <w:r>
        <w:rPr>
          <w:b w:val="0"/>
          <w:i w:val="0"/>
        </w:rPr>
        <w:t xml:space="preserve"> The motion is vulnerable on three independent levels: (1) its core factual narrative is contradicted by the government's own declarant and exhibits; (2) several of its central legal propositions misstate the governing authority (most conspicuously Rev. Proc. 93-27, the Treas. Reg. § 1.707-2(c) factors, </w:t>
      </w:r>
      <w:r>
        <w:rPr>
          <w:b w:val="0"/>
          <w:i/>
        </w:rPr>
        <w:t>Pinnacle Partners</w:t>
      </w:r>
      <w:r>
        <w:rPr>
          <w:b w:val="0"/>
          <w:i w:val="0"/>
        </w:rPr>
        <w:t>, and the § 7701(o) penalty rules); and (3) it advances mutually exclusive characterizations of the same allocations, which is fundamentally incompatible with the claim that “no genuine dispute of material fact exists.” We should be able to defeat summary judgment on every count, and the penalty portion of the motion is particularly weak. That said, the record also contains real problems for HCP that the government has not yet fully exploited and that our opposition must handle carefully (Part VII.B).</w:t>
      </w:r>
    </w:p>
    <w:p>
      <w:pPr>
        <w:spacing w:after="60"/>
      </w:pPr>
      <w:r>
        <w:rPr>
          <w:b/>
          <w:i w:val="0"/>
        </w:rPr>
        <w:t>The ten most important points for the opposition:</w:t>
      </w:r>
    </w:p>
    <w:p>
      <w:pPr>
        <w:pStyle w:val="ListNumber"/>
        <w:spacing w:after="60"/>
      </w:pPr>
      <w:r>
        <w:rPr>
          <w:b/>
          <w:i w:val="0"/>
        </w:rPr>
        <w:t>The Fund IV TY 2020 election was executed December 10, 2019 — before the fiscal year — not “after the commencement of the 2020 fiscal year” as the Brief asserts</w:t>
      </w:r>
      <w:r>
        <w:rPr>
          <w:b w:val="0"/>
          <w:i w:val="0"/>
        </w:rPr>
        <w:t xml:space="preserve"> (Gov. Br. SUMF ¶ 17; Arg. IV.C.2). The government's own Exhibit 5-E, HCP's Election Form HCP-2020-IV-005, and the January 15, 2020 borrowing base certificate (Quillen Decl. ¶ 79) all confirm this. Five of six elections ($41,612,000, or 87.4% of the adjustment) were indisputably prospective. (Issue A-1.)</w:t>
      </w:r>
    </w:p>
    <w:p>
      <w:pPr>
        <w:pStyle w:val="ListNumber"/>
        <w:spacing w:after="60"/>
      </w:pPr>
      <w:r>
        <w:rPr>
          <w:b/>
          <w:i w:val="0"/>
        </w:rPr>
        <w:t>Fund V realized zero gains in 2020, and the $6,000,000 priority allocation went unsatisfied</w:t>
      </w:r>
      <w:r>
        <w:rPr>
          <w:b w:val="0"/>
          <w:i w:val="0"/>
        </w:rPr>
        <w:t xml:space="preserve"> — the opposite of the Brief's assertion that Fund V had “substantial capital gains activity” that provided “the basis for” the allocation (SUMF ¶ 25; Arg. IV.C.2). Quillen Decl. ¶¶ 40–41, 44 and Ex. 4. This is the single best piece of evidence that HCP's entrepreneurial risk was real. (Issue A-3.)</w:t>
      </w:r>
    </w:p>
    <w:p>
      <w:pPr>
        <w:pStyle w:val="ListNumber"/>
        <w:spacing w:after="60"/>
      </w:pPr>
      <w:r>
        <w:rPr>
          <w:b/>
          <w:i w:val="0"/>
        </w:rPr>
        <w:t>The carry-forward provision carries no “compounding return equal to the applicable federal rate” and does expire — on dissolution and final liquidation of the Fund.</w:t>
      </w:r>
      <w:r>
        <w:rPr>
          <w:b w:val="0"/>
          <w:i w:val="0"/>
        </w:rPr>
        <w:t xml:space="preserve"> Neither feature asserted in the Brief appears in any Election Form, in the Quillen Declaration, or in the Ashford Declaration. The “preferred return” and “creditor-like” arguments rest on this invented term. (Issue A-4.)</w:t>
      </w:r>
    </w:p>
    <w:p>
      <w:pPr>
        <w:pStyle w:val="ListNumber"/>
        <w:spacing w:after="60"/>
      </w:pPr>
      <w:r>
        <w:rPr>
          <w:b/>
          <w:i w:val="0"/>
        </w:rPr>
        <w:t>Rev. Proc. 93-27 says the opposite of what the government (and Professor Ashford) claim.</w:t>
      </w:r>
      <w:r>
        <w:rPr>
          <w:b w:val="0"/>
          <w:i w:val="0"/>
        </w:rPr>
        <w:t xml:space="preserve"> It provides that the IRS will </w:t>
      </w:r>
      <w:r>
        <w:rPr>
          <w:b w:val="0"/>
          <w:i/>
        </w:rPr>
        <w:t>not</w:t>
      </w:r>
      <w:r>
        <w:rPr>
          <w:b w:val="0"/>
          <w:i w:val="0"/>
        </w:rPr>
        <w:t xml:space="preserve"> treat receipt of a profits interest for services as a taxable event, subject to three narrow exceptions. (Issue B-1.)</w:t>
      </w:r>
    </w:p>
    <w:p>
      <w:pPr>
        <w:pStyle w:val="ListNumber"/>
        <w:spacing w:after="60"/>
      </w:pPr>
      <w:r>
        <w:rPr>
          <w:b/>
          <w:i w:val="0"/>
        </w:rPr>
        <w:t>The government's “six-factor test” is not the test in Treas. Reg. § 1.707-2(c).</w:t>
      </w:r>
      <w:r>
        <w:rPr>
          <w:b w:val="0"/>
          <w:i w:val="0"/>
        </w:rPr>
        <w:t xml:space="preserve"> It skips Factor (4) entirely, substitutes the unrelated § 704(b) “transitory allocation” concept, invents factors that do not exist, and never acknowledges that § 1.707-2 is a 2015 </w:t>
      </w:r>
      <w:r>
        <w:rPr>
          <w:b w:val="0"/>
          <w:i/>
        </w:rPr>
        <w:t>proposed</w:t>
      </w:r>
      <w:r>
        <w:rPr>
          <w:b w:val="0"/>
          <w:i w:val="0"/>
        </w:rPr>
        <w:t xml:space="preserve"> regulation that has never been finalized. (Issue B-2.)</w:t>
      </w:r>
    </w:p>
    <w:p>
      <w:pPr>
        <w:pStyle w:val="ListNumber"/>
        <w:spacing w:after="60"/>
      </w:pPr>
      <w:r>
        <w:rPr>
          <w:b/>
          <w:i w:val="0"/>
        </w:rPr>
        <w:t>The only fee-waiver case the government cites, Pinnacle Partners, turned on a deficit restoration obligation, and the court expressly limited its holding to that fact.</w:t>
      </w:r>
      <w:r>
        <w:rPr>
          <w:b w:val="0"/>
          <w:i w:val="0"/>
        </w:rPr>
        <w:t xml:space="preserve"> The government's own Exhibit 12 says so; HCP's arrangement has no DRO, guarantee, or credit support. (Issue B-4.)</w:t>
      </w:r>
    </w:p>
    <w:p>
      <w:pPr>
        <w:pStyle w:val="ListNumber"/>
        <w:spacing w:after="60"/>
      </w:pPr>
      <w:r>
        <w:rPr>
          <w:b/>
          <w:i w:val="0"/>
        </w:rPr>
        <w:t>The tax-benefit figure is wrong.</w:t>
      </w:r>
      <w:r>
        <w:rPr>
          <w:b w:val="0"/>
          <w:i w:val="0"/>
        </w:rPr>
        <w:t xml:space="preserve"> 17% × $47,612,000 = $8,094,040, not $9,530,400 (an overstatement of $1,436,360, or 17.7%). The government's own expert uses $8,094,040 (Ashford Decl. ¶ 18). The error is repeated three times. (Issue C-1.)</w:t>
      </w:r>
    </w:p>
    <w:p>
      <w:pPr>
        <w:pStyle w:val="ListNumber"/>
        <w:spacing w:after="60"/>
      </w:pPr>
      <w:r>
        <w:rPr>
          <w:b/>
          <w:i w:val="0"/>
        </w:rPr>
        <w:t>The government simultaneously characterizes the allocations as (i) payments to a non-partner under § 707(a)(2)(A), (ii) guaranteed payments to a partner under § 707(c), (iii) the economic equivalent of carried interest, and (iv) a profits interest taxable at grant under Rev. Proc. 93-27.</w:t>
      </w:r>
      <w:r>
        <w:rPr>
          <w:b w:val="0"/>
          <w:i w:val="0"/>
        </w:rPr>
        <w:t xml:space="preserve"> These are mutually exclusive and carry different remedies and different tax years. (Issue C-2.)</w:t>
      </w:r>
    </w:p>
    <w:p>
      <w:pPr>
        <w:pStyle w:val="ListNumber"/>
        <w:spacing w:after="60"/>
      </w:pPr>
      <w:r>
        <w:rPr>
          <w:b/>
          <w:i w:val="0"/>
        </w:rPr>
        <w:t>The penalty case ignores reasonable cause entirely, misquotes § 7701(o)(5)(A), relies on a no-fault economic substance penalty the FPAA never asserted, and offers no evidence of § 6751(b) supervisory approval.</w:t>
      </w:r>
      <w:r>
        <w:rPr>
          <w:b w:val="0"/>
          <w:i w:val="0"/>
        </w:rPr>
        <w:t xml:space="preserve"> The record (Quillen Decl. ¶¶ 64–70) affirmatively shows advice was obtained before implementation. (Issues B-10 to B-13.)</w:t>
      </w:r>
    </w:p>
    <w:p>
      <w:pPr>
        <w:pStyle w:val="ListNumber"/>
        <w:spacing w:after="60"/>
      </w:pPr>
      <w:r>
        <w:rPr>
          <w:b/>
          <w:i w:val="0"/>
        </w:rPr>
        <w:t>The government has applied TEFRA concepts (“Tax Matters Partner,” “FPAA”) to BBA years and has not addressed the timeliness or procedural validity of the notice.</w:t>
      </w:r>
      <w:r>
        <w:rPr>
          <w:b w:val="0"/>
          <w:i w:val="0"/>
        </w:rPr>
        <w:t xml:space="preserve"> The FPAA was served on Ms. Sato as “Tax Matters Partner,” but the TY 2018 return designates Mr. Hargrove as Partnership Representative (Ex. 7), and the record shows no notice of proposed partnership adjustment and only 128 days between the 30-day letter and the FPAA. Depending on facts we must confirm immediately, this may support a limitations defense for TY 2018 and TY 2019. (Issue B-14.)</w:t>
      </w:r>
    </w:p>
    <w:p>
      <w:pPr>
        <w:spacing w:after="120"/>
      </w:pPr>
      <w:r>
        <w:rPr>
          <w:b/>
          <w:i w:val="0"/>
        </w:rPr>
        <w:t>Critical internal items (not for the brief).</w:t>
      </w:r>
      <w:r>
        <w:rPr>
          <w:b w:val="0"/>
          <w:i w:val="0"/>
        </w:rPr>
        <w:t xml:space="preserve"> (a) HCP reported the $6,000,000 Fund V allocation as long-term capital gain for TY 2020 even though no allocation was made (Quillen Decl. ¶ 48); we must understand why before May 17 (Issue D-8). (b) This firm's own role — Mr. Hargrove is described as a former Thornfield &amp; Locke tax attorney, Ridgeline was engaged at our request, we supplied factual representations underlying the Ridgeline Opinion, and the Opinion was copied to you — creates at-issue privilege waiver and advocate-witness risk once HCP asserts reliance on professional advice (Issue D-12). Both warrant attention before the April 24 client call.</w:t>
      </w:r>
    </w:p>
    <w:p>
      <w:pPr>
        <w:pStyle w:val="Heading1"/>
      </w:pPr>
      <w:r>
        <w:rPr>
          <w:b w:val="0"/>
          <w:i w:val="0"/>
        </w:rPr>
        <w:t>II. Scope, Materials, and Conventions</w:t>
      </w:r>
    </w:p>
    <w:p>
      <w:pPr>
        <w:spacing w:after="120"/>
      </w:pPr>
      <w:r>
        <w:rPr>
          <w:b/>
          <w:i w:val="0"/>
        </w:rPr>
        <w:t>Materials reviewed (in full):</w:t>
      </w:r>
      <w:r>
        <w:rPr>
          <w:b w:val="0"/>
          <w:i w:val="0"/>
        </w:rPr>
        <w:t xml:space="preserve"> (1) Government's Memorandum of Law (filed April 3, 2024); (2) Quillen Declaration with exhibit descriptions (executed April 1, 2024); (3) Ashford Declaration (executed April 1, 2024); (4) HCP's compiled Management Fee Waiver Election Forms HCP-2018-III-001 through HCP-2020-V-006; (5) Ridgeline Opinion dated November 1, 2017; and (6) your April 5, 2024 assignment email.</w:t>
      </w:r>
    </w:p>
    <w:p>
      <w:pPr>
        <w:spacing w:after="120"/>
      </w:pPr>
      <w:r>
        <w:rPr>
          <w:b/>
          <w:i w:val="0"/>
        </w:rPr>
        <w:t>Citation conventions.</w:t>
      </w:r>
      <w:r>
        <w:rPr>
          <w:b w:val="0"/>
          <w:i w:val="0"/>
        </w:rPr>
        <w:t xml:space="preserve"> Our copy of the Brief is unpaginated, so I cite the Brief by section (e.g., “Arg. IV.A.2”) and by numbered paragraph of its Statement of Undisputed Material Facts (“SUMF ¶ __”). “Prelim. Stmt.” refers to Part I. Remedy and penalty arguments are cited as “Part V.A” and “Part V.B.”</w:t>
      </w:r>
    </w:p>
    <w:p>
      <w:pPr>
        <w:spacing w:after="120"/>
      </w:pPr>
      <w:r>
        <w:rPr>
          <w:b/>
          <w:i w:val="0"/>
        </w:rPr>
        <w:t>Severity scale.</w:t>
      </w:r>
      <w:r>
        <w:rPr>
          <w:b w:val="0"/>
          <w:i w:val="0"/>
        </w:rPr>
        <w:t xml:space="preserve"> </w:t>
      </w:r>
      <w:r>
        <w:rPr>
          <w:b w:val="0"/>
          <w:i/>
        </w:rPr>
        <w:t>Critical</w:t>
      </w:r>
      <w:r>
        <w:rPr>
          <w:b w:val="0"/>
          <w:i w:val="0"/>
        </w:rPr>
        <w:t xml:space="preserve"> — likely by itself to create a genuine dispute of material fact or defeat a theory of liability or the penalty, or to materially damage the government's credibility with the Court. </w:t>
      </w:r>
      <w:r>
        <w:rPr>
          <w:b w:val="0"/>
          <w:i/>
        </w:rPr>
        <w:t>Significant</w:t>
      </w:r>
      <w:r>
        <w:rPr>
          <w:b w:val="0"/>
          <w:i w:val="0"/>
        </w:rPr>
        <w:t xml:space="preserve"> — meaningfully weakens a government argument or exposes HCP to risk; should be addressed in the opposition. </w:t>
      </w:r>
      <w:r>
        <w:rPr>
          <w:b w:val="0"/>
          <w:i/>
        </w:rPr>
        <w:t>Minor</w:t>
      </w:r>
      <w:r>
        <w:rPr>
          <w:b w:val="0"/>
          <w:i w:val="0"/>
        </w:rPr>
        <w:t xml:space="preserve"> — accuracy or credibility point; mention briefly, in a footnote, or in the Rule 56.1 counterstatement only.</w:t>
      </w:r>
    </w:p>
    <w:p>
      <w:pPr>
        <w:spacing w:after="120"/>
      </w:pPr>
      <w:r>
        <w:rPr>
          <w:b/>
          <w:i w:val="0"/>
        </w:rPr>
        <w:t>Caveat on authorities.</w:t>
      </w:r>
      <w:r>
        <w:rPr>
          <w:b w:val="0"/>
          <w:i w:val="0"/>
        </w:rPr>
        <w:t xml:space="preserve"> This review was conducted on the record documents. Statutory and regulatory references are to provisions I am confident of; case citations and pin cites outside the record (marked “[cite-check]”) should be verified before they are used in the opposition. Facts that we need to confirm from HCP, Ridgeline, or the administrative file are collected in Part X.</w:t>
      </w:r>
    </w:p>
    <w:p>
      <w:pPr>
        <w:pStyle w:val="Heading1"/>
      </w:pPr>
      <w:r>
        <w:rPr>
          <w:b w:val="0"/>
          <w:i w:val="0"/>
        </w:rPr>
        <w:t>III. Key Record Cross-Checks</w:t>
      </w:r>
    </w:p>
    <w:p>
      <w:pPr>
        <w:pStyle w:val="Heading2"/>
      </w:pPr>
      <w:r>
        <w:rPr>
          <w:b w:val="0"/>
          <w:i w:val="0"/>
        </w:rPr>
        <w:t>A. Waiver Election Timing — Government's Assertions vs. the Record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88"/>
            <w:shd w:val="clear" w:color="auto" w:fill="D9D9D9"/>
          </w:tcPr>
          <w:p>
            <w:r/>
            <w:r>
              <w:rPr>
                <w:b/>
                <w:i w:val="0"/>
                <w:sz w:val="19"/>
              </w:rPr>
              <w:t>Election (Form No.)</w:t>
            </w:r>
          </w:p>
        </w:tc>
        <w:tc>
          <w:tcPr>
            <w:tcW w:type="dxa" w:w="1152"/>
            <w:shd w:val="clear" w:color="auto" w:fill="D9D9D9"/>
          </w:tcPr>
          <w:p>
            <w:r/>
            <w:r>
              <w:rPr>
                <w:b/>
                <w:i w:val="0"/>
                <w:sz w:val="19"/>
              </w:rPr>
              <w:t>Amount</w:t>
            </w:r>
          </w:p>
        </w:tc>
        <w:tc>
          <w:tcPr>
            <w:tcW w:type="dxa" w:w="1656"/>
            <w:shd w:val="clear" w:color="auto" w:fill="D9D9D9"/>
          </w:tcPr>
          <w:p>
            <w:r/>
            <w:r>
              <w:rPr>
                <w:b/>
                <w:i w:val="0"/>
                <w:sz w:val="19"/>
              </w:rPr>
              <w:t>Executed (Election Form / Quillen Ex. 5)</w:t>
            </w:r>
          </w:p>
        </w:tc>
        <w:tc>
          <w:tcPr>
            <w:tcW w:type="dxa" w:w="1368"/>
            <w:shd w:val="clear" w:color="auto" w:fill="D9D9D9"/>
          </w:tcPr>
          <w:p>
            <w:r/>
            <w:r>
              <w:rPr>
                <w:b/>
                <w:i w:val="0"/>
                <w:sz w:val="19"/>
              </w:rPr>
              <w:t>Fiscal year start</w:t>
            </w:r>
          </w:p>
        </w:tc>
        <w:tc>
          <w:tcPr>
            <w:tcW w:type="dxa" w:w="2016"/>
            <w:shd w:val="clear" w:color="auto" w:fill="D9D9D9"/>
          </w:tcPr>
          <w:p>
            <w:r/>
            <w:r>
              <w:rPr>
                <w:b/>
                <w:i w:val="0"/>
                <w:sz w:val="19"/>
              </w:rPr>
              <w:t>What the Brief says</w:t>
            </w:r>
          </w:p>
        </w:tc>
        <w:tc>
          <w:tcPr>
            <w:tcW w:type="dxa" w:w="1368"/>
            <w:shd w:val="clear" w:color="auto" w:fill="D9D9D9"/>
          </w:tcPr>
          <w:p>
            <w:r/>
            <w:r>
              <w:rPr>
                <w:b/>
                <w:i w:val="0"/>
                <w:sz w:val="19"/>
              </w:rPr>
              <w:t>Accurate?</w:t>
            </w:r>
          </w:p>
        </w:tc>
      </w:tr>
      <w:tr>
        <w:tc>
          <w:tcPr>
            <w:tcW w:type="dxa" w:w="2088"/>
          </w:tcPr>
          <w:p>
            <w:r/>
            <w:r>
              <w:rPr>
                <w:b w:val="0"/>
                <w:i w:val="0"/>
                <w:sz w:val="19"/>
              </w:rPr>
              <w:t>Fund III TY2018 (HCP-2018-III-001)</w:t>
            </w:r>
          </w:p>
        </w:tc>
        <w:tc>
          <w:tcPr>
            <w:tcW w:type="dxa" w:w="1152"/>
          </w:tcPr>
          <w:p>
            <w:r/>
            <w:r>
              <w:rPr>
                <w:b w:val="0"/>
                <w:i w:val="0"/>
                <w:sz w:val="19"/>
              </w:rPr>
              <w:t>$7,200,000</w:t>
            </w:r>
          </w:p>
        </w:tc>
        <w:tc>
          <w:tcPr>
            <w:tcW w:type="dxa" w:w="1656"/>
          </w:tcPr>
          <w:p>
            <w:r/>
            <w:r>
              <w:rPr>
                <w:b w:val="0"/>
                <w:i w:val="0"/>
                <w:sz w:val="19"/>
              </w:rPr>
              <w:t>Dec. 15, 2017 (Ex. 5-A)</w:t>
            </w:r>
          </w:p>
        </w:tc>
        <w:tc>
          <w:tcPr>
            <w:tcW w:type="dxa" w:w="1368"/>
          </w:tcPr>
          <w:p>
            <w:r/>
            <w:r>
              <w:rPr>
                <w:b w:val="0"/>
                <w:i w:val="0"/>
                <w:sz w:val="19"/>
              </w:rPr>
              <w:t>Jan. 1, 2018</w:t>
            </w:r>
          </w:p>
        </w:tc>
        <w:tc>
          <w:tcPr>
            <w:tcW w:type="dxa" w:w="2016"/>
          </w:tcPr>
          <w:p>
            <w:r/>
            <w:r>
              <w:rPr>
                <w:b w:val="0"/>
                <w:i w:val="0"/>
                <w:sz w:val="19"/>
              </w:rPr>
              <w:t>Before FY (SUMF ¶ 15)</w:t>
            </w:r>
          </w:p>
        </w:tc>
        <w:tc>
          <w:tcPr>
            <w:tcW w:type="dxa" w:w="1368"/>
          </w:tcPr>
          <w:p>
            <w:r/>
            <w:r>
              <w:rPr>
                <w:b w:val="0"/>
                <w:i w:val="0"/>
                <w:sz w:val="19"/>
              </w:rPr>
              <w:t>Yes</w:t>
            </w:r>
          </w:p>
        </w:tc>
      </w:tr>
      <w:tr>
        <w:tc>
          <w:tcPr>
            <w:tcW w:type="dxa" w:w="2088"/>
          </w:tcPr>
          <w:p>
            <w:r/>
            <w:r>
              <w:rPr>
                <w:b w:val="0"/>
                <w:i w:val="0"/>
                <w:sz w:val="19"/>
              </w:rPr>
              <w:t>Fund IV TY2018 (HCP-2018-IV-002)</w:t>
            </w:r>
          </w:p>
        </w:tc>
        <w:tc>
          <w:tcPr>
            <w:tcW w:type="dxa" w:w="1152"/>
          </w:tcPr>
          <w:p>
            <w:r/>
            <w:r>
              <w:rPr>
                <w:b w:val="0"/>
                <w:i w:val="0"/>
                <w:sz w:val="19"/>
              </w:rPr>
              <w:t>$5,200,000</w:t>
            </w:r>
          </w:p>
        </w:tc>
        <w:tc>
          <w:tcPr>
            <w:tcW w:type="dxa" w:w="1656"/>
          </w:tcPr>
          <w:p>
            <w:r/>
            <w:r>
              <w:rPr>
                <w:b w:val="0"/>
                <w:i w:val="0"/>
                <w:sz w:val="19"/>
              </w:rPr>
              <w:t>Dec. 18, 2017 (Ex. 5-B)</w:t>
            </w:r>
          </w:p>
        </w:tc>
        <w:tc>
          <w:tcPr>
            <w:tcW w:type="dxa" w:w="1368"/>
          </w:tcPr>
          <w:p>
            <w:r/>
            <w:r>
              <w:rPr>
                <w:b w:val="0"/>
                <w:i w:val="0"/>
                <w:sz w:val="19"/>
              </w:rPr>
              <w:t>Jan. 1, 2018</w:t>
            </w:r>
          </w:p>
        </w:tc>
        <w:tc>
          <w:tcPr>
            <w:tcW w:type="dxa" w:w="2016"/>
          </w:tcPr>
          <w:p>
            <w:r/>
            <w:r>
              <w:rPr>
                <w:b w:val="0"/>
                <w:i w:val="0"/>
                <w:sz w:val="19"/>
              </w:rPr>
              <w:t>Before FY (SUMF ¶ 15)</w:t>
            </w:r>
          </w:p>
        </w:tc>
        <w:tc>
          <w:tcPr>
            <w:tcW w:type="dxa" w:w="1368"/>
          </w:tcPr>
          <w:p>
            <w:r/>
            <w:r>
              <w:rPr>
                <w:b w:val="0"/>
                <w:i w:val="0"/>
                <w:sz w:val="19"/>
              </w:rPr>
              <w:t>Yes</w:t>
            </w:r>
          </w:p>
        </w:tc>
      </w:tr>
      <w:tr>
        <w:tc>
          <w:tcPr>
            <w:tcW w:type="dxa" w:w="2088"/>
          </w:tcPr>
          <w:p>
            <w:r/>
            <w:r>
              <w:rPr>
                <w:b w:val="0"/>
                <w:i w:val="0"/>
                <w:sz w:val="19"/>
              </w:rPr>
              <w:t>Fund III TY2019 (HCP-2019-III-003)</w:t>
            </w:r>
          </w:p>
        </w:tc>
        <w:tc>
          <w:tcPr>
            <w:tcW w:type="dxa" w:w="1152"/>
          </w:tcPr>
          <w:p>
            <w:r/>
            <w:r>
              <w:rPr>
                <w:b w:val="0"/>
                <w:i w:val="0"/>
                <w:sz w:val="19"/>
              </w:rPr>
              <w:t>$4,650,000</w:t>
            </w:r>
          </w:p>
        </w:tc>
        <w:tc>
          <w:tcPr>
            <w:tcW w:type="dxa" w:w="1656"/>
          </w:tcPr>
          <w:p>
            <w:r/>
            <w:r>
              <w:rPr>
                <w:b w:val="0"/>
                <w:i w:val="0"/>
                <w:sz w:val="19"/>
              </w:rPr>
              <w:t>Nov. 28, 2018 (Ex. 5-C)</w:t>
            </w:r>
          </w:p>
        </w:tc>
        <w:tc>
          <w:tcPr>
            <w:tcW w:type="dxa" w:w="1368"/>
          </w:tcPr>
          <w:p>
            <w:r/>
            <w:r>
              <w:rPr>
                <w:b w:val="0"/>
                <w:i w:val="0"/>
                <w:sz w:val="19"/>
              </w:rPr>
              <w:t>Jan. 1, 2019</w:t>
            </w:r>
          </w:p>
        </w:tc>
        <w:tc>
          <w:tcPr>
            <w:tcW w:type="dxa" w:w="2016"/>
          </w:tcPr>
          <w:p>
            <w:r/>
            <w:r>
              <w:rPr>
                <w:b w:val="0"/>
                <w:i w:val="0"/>
                <w:sz w:val="19"/>
              </w:rPr>
              <w:t>Before FY (SUMF ¶ 16)</w:t>
            </w:r>
          </w:p>
        </w:tc>
        <w:tc>
          <w:tcPr>
            <w:tcW w:type="dxa" w:w="1368"/>
          </w:tcPr>
          <w:p>
            <w:r/>
            <w:r>
              <w:rPr>
                <w:b w:val="0"/>
                <w:i w:val="0"/>
                <w:sz w:val="19"/>
              </w:rPr>
              <w:t>Yes</w:t>
            </w:r>
          </w:p>
        </w:tc>
      </w:tr>
      <w:tr>
        <w:tc>
          <w:tcPr>
            <w:tcW w:type="dxa" w:w="2088"/>
          </w:tcPr>
          <w:p>
            <w:r/>
            <w:r>
              <w:rPr>
                <w:b w:val="0"/>
                <w:i w:val="0"/>
                <w:sz w:val="19"/>
              </w:rPr>
              <w:t>Fund IV TY2019 (HCP-2019-IV-004)</w:t>
            </w:r>
          </w:p>
        </w:tc>
        <w:tc>
          <w:tcPr>
            <w:tcW w:type="dxa" w:w="1152"/>
          </w:tcPr>
          <w:p>
            <w:r/>
            <w:r>
              <w:rPr>
                <w:b w:val="0"/>
                <w:i w:val="0"/>
                <w:sz w:val="19"/>
              </w:rPr>
              <w:t>$14,200,000</w:t>
            </w:r>
          </w:p>
        </w:tc>
        <w:tc>
          <w:tcPr>
            <w:tcW w:type="dxa" w:w="1656"/>
          </w:tcPr>
          <w:p>
            <w:r/>
            <w:r>
              <w:rPr>
                <w:b w:val="0"/>
                <w:i w:val="0"/>
                <w:sz w:val="19"/>
              </w:rPr>
              <w:t>Nov. 28, 2018 (Ex. 5-D)</w:t>
            </w:r>
          </w:p>
        </w:tc>
        <w:tc>
          <w:tcPr>
            <w:tcW w:type="dxa" w:w="1368"/>
          </w:tcPr>
          <w:p>
            <w:r/>
            <w:r>
              <w:rPr>
                <w:b w:val="0"/>
                <w:i w:val="0"/>
                <w:sz w:val="19"/>
              </w:rPr>
              <w:t>Jan. 1, 2019</w:t>
            </w:r>
          </w:p>
        </w:tc>
        <w:tc>
          <w:tcPr>
            <w:tcW w:type="dxa" w:w="2016"/>
          </w:tcPr>
          <w:p>
            <w:r/>
            <w:r>
              <w:rPr>
                <w:b w:val="0"/>
                <w:i w:val="0"/>
                <w:sz w:val="19"/>
              </w:rPr>
              <w:t>Before FY (SUMF ¶ 16)</w:t>
            </w:r>
          </w:p>
        </w:tc>
        <w:tc>
          <w:tcPr>
            <w:tcW w:type="dxa" w:w="1368"/>
          </w:tcPr>
          <w:p>
            <w:r/>
            <w:r>
              <w:rPr>
                <w:b w:val="0"/>
                <w:i w:val="0"/>
                <w:sz w:val="19"/>
              </w:rPr>
              <w:t>Yes</w:t>
            </w:r>
          </w:p>
        </w:tc>
      </w:tr>
      <w:tr>
        <w:tc>
          <w:tcPr>
            <w:tcW w:type="dxa" w:w="2088"/>
          </w:tcPr>
          <w:p>
            <w:r/>
            <w:r>
              <w:rPr>
                <w:b w:val="0"/>
                <w:i w:val="0"/>
                <w:sz w:val="19"/>
              </w:rPr>
              <w:t>Fund IV TY2020 (HCP-2020-IV-005)</w:t>
            </w:r>
          </w:p>
        </w:tc>
        <w:tc>
          <w:tcPr>
            <w:tcW w:type="dxa" w:w="1152"/>
          </w:tcPr>
          <w:p>
            <w:r/>
            <w:r>
              <w:rPr>
                <w:b w:val="0"/>
                <w:i w:val="0"/>
                <w:sz w:val="19"/>
              </w:rPr>
              <w:t>$10,362,000</w:t>
            </w:r>
          </w:p>
        </w:tc>
        <w:tc>
          <w:tcPr>
            <w:tcW w:type="dxa" w:w="1656"/>
          </w:tcPr>
          <w:p>
            <w:r/>
            <w:r>
              <w:rPr>
                <w:b/>
                <w:i w:val="0"/>
                <w:sz w:val="19"/>
              </w:rPr>
              <w:t>Dec. 10, 2019</w:t>
            </w:r>
            <w:r>
              <w:rPr>
                <w:b w:val="0"/>
                <w:i w:val="0"/>
                <w:sz w:val="19"/>
              </w:rPr>
              <w:t xml:space="preserve"> (Ex. 5-E)</w:t>
            </w:r>
          </w:p>
        </w:tc>
        <w:tc>
          <w:tcPr>
            <w:tcW w:type="dxa" w:w="1368"/>
          </w:tcPr>
          <w:p>
            <w:r/>
            <w:r>
              <w:rPr>
                <w:b w:val="0"/>
                <w:i w:val="0"/>
                <w:sz w:val="19"/>
              </w:rPr>
              <w:t>Jan. 1, 2020</w:t>
            </w:r>
          </w:p>
        </w:tc>
        <w:tc>
          <w:tcPr>
            <w:tcW w:type="dxa" w:w="2016"/>
          </w:tcPr>
          <w:p>
            <w:r/>
            <w:r>
              <w:rPr>
                <w:b/>
                <w:i w:val="0"/>
                <w:sz w:val="19"/>
              </w:rPr>
              <w:t>“executed after the commencement of the 2020 fiscal year”</w:t>
            </w:r>
            <w:r>
              <w:rPr>
                <w:b w:val="0"/>
                <w:i w:val="0"/>
                <w:sz w:val="19"/>
              </w:rPr>
              <w:t xml:space="preserve"> (SUMF ¶ 17; Arg. IV.C.2)</w:t>
            </w:r>
          </w:p>
        </w:tc>
        <w:tc>
          <w:tcPr>
            <w:tcW w:type="dxa" w:w="1368"/>
          </w:tcPr>
          <w:p>
            <w:r/>
            <w:r>
              <w:rPr>
                <w:b/>
                <w:i w:val="0"/>
                <w:sz w:val="19"/>
              </w:rPr>
              <w:t>No — factual error</w:t>
            </w:r>
          </w:p>
        </w:tc>
      </w:tr>
      <w:tr>
        <w:tc>
          <w:tcPr>
            <w:tcW w:type="dxa" w:w="2088"/>
          </w:tcPr>
          <w:p>
            <w:r/>
            <w:r>
              <w:rPr>
                <w:b w:val="0"/>
                <w:i w:val="0"/>
                <w:sz w:val="19"/>
              </w:rPr>
              <w:t>Fund V TY2020 (HCP-2020-V-006)</w:t>
            </w:r>
          </w:p>
        </w:tc>
        <w:tc>
          <w:tcPr>
            <w:tcW w:type="dxa" w:w="1152"/>
          </w:tcPr>
          <w:p>
            <w:r/>
            <w:r>
              <w:rPr>
                <w:b w:val="0"/>
                <w:i w:val="0"/>
                <w:sz w:val="19"/>
              </w:rPr>
              <w:t>$6,000,000</w:t>
            </w:r>
          </w:p>
        </w:tc>
        <w:tc>
          <w:tcPr>
            <w:tcW w:type="dxa" w:w="1656"/>
          </w:tcPr>
          <w:p>
            <w:r/>
            <w:r>
              <w:rPr>
                <w:b w:val="0"/>
                <w:i w:val="0"/>
                <w:sz w:val="19"/>
              </w:rPr>
              <w:t>Jan. 28, 2020 (Ex. 5-F)</w:t>
            </w:r>
          </w:p>
        </w:tc>
        <w:tc>
          <w:tcPr>
            <w:tcW w:type="dxa" w:w="1368"/>
          </w:tcPr>
          <w:p>
            <w:r/>
            <w:r>
              <w:rPr>
                <w:b w:val="0"/>
                <w:i w:val="0"/>
                <w:sz w:val="19"/>
              </w:rPr>
              <w:t xml:space="preserve">Form recites Jan. 1, 2020; </w:t>
            </w:r>
            <w:r>
              <w:rPr>
                <w:b/>
                <w:i w:val="0"/>
                <w:sz w:val="19"/>
              </w:rPr>
              <w:t>Fund V formed Feb. 1, 2020</w:t>
            </w:r>
          </w:p>
        </w:tc>
        <w:tc>
          <w:tcPr>
            <w:tcW w:type="dxa" w:w="2016"/>
          </w:tcPr>
          <w:p>
            <w:r/>
            <w:r>
              <w:rPr>
                <w:b w:val="0"/>
                <w:i w:val="0"/>
                <w:sz w:val="19"/>
              </w:rPr>
              <w:t>“28 days into the fiscal year” (SUMF ¶ 17)</w:t>
            </w:r>
          </w:p>
        </w:tc>
        <w:tc>
          <w:tcPr>
            <w:tcW w:type="dxa" w:w="1368"/>
          </w:tcPr>
          <w:p>
            <w:r/>
            <w:r>
              <w:rPr>
                <w:b w:val="0"/>
                <w:i w:val="0"/>
                <w:sz w:val="19"/>
              </w:rPr>
              <w:t>Date accurate; characterization misleading (Fund V did not yet exist)</w:t>
            </w:r>
          </w:p>
        </w:tc>
      </w:tr>
      <w:tr>
        <w:tc>
          <w:tcPr>
            <w:tcW w:type="dxa" w:w="2088"/>
          </w:tcPr>
          <w:p>
            <w:r/>
            <w:r>
              <w:rPr>
                <w:b/>
                <w:i w:val="0"/>
                <w:sz w:val="19"/>
              </w:rPr>
              <w:t>Total</w:t>
            </w:r>
          </w:p>
        </w:tc>
        <w:tc>
          <w:tcPr>
            <w:tcW w:type="dxa" w:w="1152"/>
          </w:tcPr>
          <w:p>
            <w:r/>
            <w:r>
              <w:rPr>
                <w:b/>
                <w:i w:val="0"/>
                <w:sz w:val="19"/>
              </w:rPr>
              <w:t>$47,612,000</w:t>
            </w:r>
          </w:p>
        </w:tc>
        <w:tc>
          <w:tcPr>
            <w:tcW w:type="dxa" w:w="1656"/>
          </w:tcPr>
          <w:p>
            <w:r/>
          </w:p>
        </w:tc>
        <w:tc>
          <w:tcPr>
            <w:tcW w:type="dxa" w:w="1368"/>
          </w:tcPr>
          <w:p>
            <w:r/>
          </w:p>
        </w:tc>
        <w:tc>
          <w:tcPr>
            <w:tcW w:type="dxa" w:w="2016"/>
          </w:tcPr>
          <w:p>
            <w:r/>
          </w:p>
        </w:tc>
        <w:tc>
          <w:tcPr>
            <w:tcW w:type="dxa" w:w="1368"/>
          </w:tcPr>
          <w:p>
            <w:r/>
            <w:r>
              <w:rPr>
                <w:b w:val="0"/>
                <w:i w:val="0"/>
                <w:sz w:val="19"/>
              </w:rPr>
              <w:t>5 of 6 elections ($41,612,000; 87.4%) prospective</w:t>
            </w:r>
          </w:p>
        </w:tc>
      </w:tr>
    </w:tbl>
    <w:p>
      <w:pPr>
        <w:spacing w:after="40"/>
      </w:pPr>
    </w:p>
    <w:p>
      <w:pPr>
        <w:pStyle w:val="Heading2"/>
      </w:pPr>
      <w:r>
        <w:rPr>
          <w:b w:val="0"/>
          <w:i w:val="0"/>
        </w:rPr>
        <w:t>B. Arithmetic Verification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D9D9D9"/>
          </w:tcPr>
          <w:p>
            <w:r/>
            <w:r>
              <w:rPr>
                <w:b/>
                <w:i w:val="0"/>
                <w:sz w:val="19"/>
              </w:rPr>
              <w:t>Figure</w:t>
            </w:r>
          </w:p>
        </w:tc>
        <w:tc>
          <w:tcPr>
            <w:tcW w:type="dxa" w:w="2376"/>
            <w:shd w:val="clear" w:color="auto" w:fill="D9D9D9"/>
          </w:tcPr>
          <w:p>
            <w:r/>
            <w:r>
              <w:rPr>
                <w:b/>
                <w:i w:val="0"/>
                <w:sz w:val="19"/>
              </w:rPr>
              <w:t>Government's number</w:t>
            </w:r>
          </w:p>
        </w:tc>
        <w:tc>
          <w:tcPr>
            <w:tcW w:type="dxa" w:w="2880"/>
            <w:shd w:val="clear" w:color="auto" w:fill="D9D9D9"/>
          </w:tcPr>
          <w:p>
            <w:r/>
            <w:r>
              <w:rPr>
                <w:b/>
                <w:i w:val="0"/>
                <w:sz w:val="19"/>
              </w:rPr>
              <w:t>Correct computation</w:t>
            </w:r>
          </w:p>
        </w:tc>
        <w:tc>
          <w:tcPr>
            <w:tcW w:type="dxa" w:w="2520"/>
            <w:shd w:val="clear" w:color="auto" w:fill="D9D9D9"/>
          </w:tcPr>
          <w:p>
            <w:r/>
            <w:r>
              <w:rPr>
                <w:b/>
                <w:i w:val="0"/>
                <w:sz w:val="19"/>
              </w:rPr>
              <w:t>Result</w:t>
            </w:r>
          </w:p>
        </w:tc>
      </w:tr>
      <w:tr>
        <w:tc>
          <w:tcPr>
            <w:tcW w:type="dxa" w:w="1872"/>
          </w:tcPr>
          <w:p>
            <w:r/>
            <w:r>
              <w:rPr>
                <w:b w:val="0"/>
                <w:i w:val="0"/>
                <w:sz w:val="19"/>
              </w:rPr>
              <w:t>Aggregate waived fees</w:t>
            </w:r>
          </w:p>
        </w:tc>
        <w:tc>
          <w:tcPr>
            <w:tcW w:type="dxa" w:w="2376"/>
          </w:tcPr>
          <w:p>
            <w:r/>
            <w:r>
              <w:rPr>
                <w:b w:val="0"/>
                <w:i w:val="0"/>
                <w:sz w:val="19"/>
              </w:rPr>
              <w:t>$47,612,000 (SUMF ¶ 19 &amp; n.5)</w:t>
            </w:r>
          </w:p>
        </w:tc>
        <w:tc>
          <w:tcPr>
            <w:tcW w:type="dxa" w:w="2880"/>
          </w:tcPr>
          <w:p>
            <w:r/>
            <w:r>
              <w:rPr>
                <w:b w:val="0"/>
                <w:i w:val="0"/>
                <w:sz w:val="19"/>
              </w:rPr>
              <w:t>$12,400,000 + $18,850,000 + $16,362,000</w:t>
            </w:r>
          </w:p>
        </w:tc>
        <w:tc>
          <w:tcPr>
            <w:tcW w:type="dxa" w:w="2520"/>
          </w:tcPr>
          <w:p>
            <w:r/>
            <w:r>
              <w:rPr>
                <w:b w:val="0"/>
                <w:i w:val="0"/>
                <w:sz w:val="19"/>
              </w:rPr>
              <w:t>Correct</w:t>
            </w:r>
          </w:p>
        </w:tc>
      </w:tr>
      <w:tr>
        <w:tc>
          <w:tcPr>
            <w:tcW w:type="dxa" w:w="1872"/>
          </w:tcPr>
          <w:p>
            <w:r/>
            <w:r>
              <w:rPr>
                <w:b w:val="0"/>
                <w:i w:val="0"/>
                <w:sz w:val="19"/>
              </w:rPr>
              <w:t>Fund totals</w:t>
            </w:r>
          </w:p>
        </w:tc>
        <w:tc>
          <w:tcPr>
            <w:tcW w:type="dxa" w:w="2376"/>
          </w:tcPr>
          <w:p>
            <w:r/>
            <w:r>
              <w:rPr>
                <w:b w:val="0"/>
                <w:i w:val="0"/>
                <w:sz w:val="19"/>
              </w:rPr>
              <w:t>$11.85M / $29.762M / $6.0M (Part V.A table)</w:t>
            </w:r>
          </w:p>
        </w:tc>
        <w:tc>
          <w:tcPr>
            <w:tcW w:type="dxa" w:w="2880"/>
          </w:tcPr>
          <w:p>
            <w:r/>
            <w:r>
              <w:rPr>
                <w:b w:val="0"/>
                <w:i w:val="0"/>
                <w:sz w:val="19"/>
              </w:rPr>
              <w:t>7.2+4.65; 5.2+14.2+10.362; 6.0</w:t>
            </w:r>
          </w:p>
        </w:tc>
        <w:tc>
          <w:tcPr>
            <w:tcW w:type="dxa" w:w="2520"/>
          </w:tcPr>
          <w:p>
            <w:r/>
            <w:r>
              <w:rPr>
                <w:b w:val="0"/>
                <w:i w:val="0"/>
                <w:sz w:val="19"/>
              </w:rPr>
              <w:t>Correct</w:t>
            </w:r>
          </w:p>
        </w:tc>
      </w:tr>
      <w:tr>
        <w:tc>
          <w:tcPr>
            <w:tcW w:type="dxa" w:w="1872"/>
          </w:tcPr>
          <w:p>
            <w:r/>
            <w:r>
              <w:rPr>
                <w:b w:val="0"/>
                <w:i w:val="0"/>
                <w:sz w:val="19"/>
              </w:rPr>
              <w:t>Aggregate federal tax benefit</w:t>
            </w:r>
          </w:p>
        </w:tc>
        <w:tc>
          <w:tcPr>
            <w:tcW w:type="dxa" w:w="2376"/>
          </w:tcPr>
          <w:p>
            <w:r/>
            <w:r>
              <w:rPr>
                <w:b/>
                <w:i w:val="0"/>
                <w:sz w:val="19"/>
              </w:rPr>
              <w:t>$9,530,400</w:t>
            </w:r>
            <w:r>
              <w:rPr>
                <w:b w:val="0"/>
                <w:i w:val="0"/>
                <w:sz w:val="19"/>
              </w:rPr>
              <w:t xml:space="preserve"> (Prelim. Stmt. &amp; n.1; Part V.A; Part VI)</w:t>
            </w:r>
          </w:p>
        </w:tc>
        <w:tc>
          <w:tcPr>
            <w:tcW w:type="dxa" w:w="2880"/>
          </w:tcPr>
          <w:p>
            <w:r/>
            <w:r>
              <w:rPr>
                <w:b w:val="0"/>
                <w:i w:val="0"/>
                <w:sz w:val="19"/>
              </w:rPr>
              <w:t xml:space="preserve">$47,612,000 × 17% = </w:t>
            </w:r>
            <w:r>
              <w:rPr>
                <w:b/>
                <w:i w:val="0"/>
                <w:sz w:val="19"/>
              </w:rPr>
              <w:t>$8,094,040</w:t>
            </w:r>
            <w:r>
              <w:rPr>
                <w:b w:val="0"/>
                <w:i w:val="0"/>
                <w:sz w:val="19"/>
              </w:rPr>
              <w:t xml:space="preserve"> (also Ashford Decl. ¶ 18)</w:t>
            </w:r>
          </w:p>
        </w:tc>
        <w:tc>
          <w:tcPr>
            <w:tcW w:type="dxa" w:w="2520"/>
          </w:tcPr>
          <w:p>
            <w:r/>
            <w:r>
              <w:rPr>
                <w:b/>
                <w:i w:val="0"/>
                <w:sz w:val="19"/>
              </w:rPr>
              <w:t>Overstated by $1,436,360 (17.7%)</w:t>
            </w:r>
            <w:r>
              <w:rPr>
                <w:b w:val="0"/>
                <w:i w:val="0"/>
                <w:sz w:val="19"/>
              </w:rPr>
              <w:t>; $9,530,400 equals 20% of $47,652,000, matching neither stated input</w:t>
            </w:r>
          </w:p>
        </w:tc>
      </w:tr>
      <w:tr>
        <w:tc>
          <w:tcPr>
            <w:tcW w:type="dxa" w:w="1872"/>
          </w:tcPr>
          <w:p>
            <w:r/>
            <w:r>
              <w:rPr>
                <w:b w:val="0"/>
                <w:i w:val="0"/>
                <w:sz w:val="19"/>
              </w:rPr>
              <w:t>Hargrove share (42%)</w:t>
            </w:r>
          </w:p>
        </w:tc>
        <w:tc>
          <w:tcPr>
            <w:tcW w:type="dxa" w:w="2376"/>
          </w:tcPr>
          <w:p>
            <w:r/>
            <w:r>
              <w:rPr>
                <w:b w:val="0"/>
                <w:i w:val="0"/>
                <w:sz w:val="19"/>
              </w:rPr>
              <w:t>$19,997,040</w:t>
            </w:r>
          </w:p>
        </w:tc>
        <w:tc>
          <w:tcPr>
            <w:tcW w:type="dxa" w:w="2880"/>
          </w:tcPr>
          <w:p>
            <w:r/>
            <w:r>
              <w:rPr>
                <w:b w:val="0"/>
                <w:i w:val="0"/>
                <w:sz w:val="19"/>
              </w:rPr>
              <w:t>$47,612,000 × 0.42</w:t>
            </w:r>
          </w:p>
        </w:tc>
        <w:tc>
          <w:tcPr>
            <w:tcW w:type="dxa" w:w="2520"/>
          </w:tcPr>
          <w:p>
            <w:r/>
            <w:r>
              <w:rPr>
                <w:b w:val="0"/>
                <w:i w:val="0"/>
                <w:sz w:val="19"/>
              </w:rPr>
              <w:t>Correct</w:t>
            </w:r>
          </w:p>
        </w:tc>
      </w:tr>
      <w:tr>
        <w:tc>
          <w:tcPr>
            <w:tcW w:type="dxa" w:w="1872"/>
          </w:tcPr>
          <w:p>
            <w:r/>
            <w:r>
              <w:rPr>
                <w:b w:val="0"/>
                <w:i w:val="0"/>
                <w:sz w:val="19"/>
              </w:rPr>
              <w:t>Sato share (38%)</w:t>
            </w:r>
          </w:p>
        </w:tc>
        <w:tc>
          <w:tcPr>
            <w:tcW w:type="dxa" w:w="2376"/>
          </w:tcPr>
          <w:p>
            <w:r/>
            <w:r>
              <w:rPr>
                <w:b w:val="0"/>
                <w:i w:val="0"/>
                <w:sz w:val="19"/>
              </w:rPr>
              <w:t>$18,092,560</w:t>
            </w:r>
          </w:p>
        </w:tc>
        <w:tc>
          <w:tcPr>
            <w:tcW w:type="dxa" w:w="2880"/>
          </w:tcPr>
          <w:p>
            <w:r/>
            <w:r>
              <w:rPr>
                <w:b w:val="0"/>
                <w:i w:val="0"/>
                <w:sz w:val="19"/>
              </w:rPr>
              <w:t>$47,612,000 × 0.38</w:t>
            </w:r>
          </w:p>
        </w:tc>
        <w:tc>
          <w:tcPr>
            <w:tcW w:type="dxa" w:w="2520"/>
          </w:tcPr>
          <w:p>
            <w:r/>
            <w:r>
              <w:rPr>
                <w:b w:val="0"/>
                <w:i w:val="0"/>
                <w:sz w:val="19"/>
              </w:rPr>
              <w:t>Correct</w:t>
            </w:r>
          </w:p>
        </w:tc>
      </w:tr>
      <w:tr>
        <w:tc>
          <w:tcPr>
            <w:tcW w:type="dxa" w:w="1872"/>
          </w:tcPr>
          <w:p>
            <w:r/>
            <w:r>
              <w:rPr>
                <w:b w:val="0"/>
                <w:i w:val="0"/>
                <w:sz w:val="19"/>
              </w:rPr>
              <w:t>Other partners (20%)</w:t>
            </w:r>
          </w:p>
        </w:tc>
        <w:tc>
          <w:tcPr>
            <w:tcW w:type="dxa" w:w="2376"/>
          </w:tcPr>
          <w:p>
            <w:r/>
            <w:r>
              <w:rPr>
                <w:b w:val="0"/>
                <w:i w:val="0"/>
                <w:sz w:val="19"/>
              </w:rPr>
              <w:t>$9,522,400</w:t>
            </w:r>
          </w:p>
        </w:tc>
        <w:tc>
          <w:tcPr>
            <w:tcW w:type="dxa" w:w="2880"/>
          </w:tcPr>
          <w:p>
            <w:r/>
            <w:r>
              <w:rPr>
                <w:b w:val="0"/>
                <w:i w:val="0"/>
                <w:sz w:val="19"/>
              </w:rPr>
              <w:t>$47,612,000 × 0.20</w:t>
            </w:r>
          </w:p>
        </w:tc>
        <w:tc>
          <w:tcPr>
            <w:tcW w:type="dxa" w:w="2520"/>
          </w:tcPr>
          <w:p>
            <w:r/>
            <w:r>
              <w:rPr>
                <w:b w:val="0"/>
                <w:i w:val="0"/>
                <w:sz w:val="19"/>
              </w:rPr>
              <w:t>Correct</w:t>
            </w:r>
          </w:p>
        </w:tc>
      </w:tr>
      <w:tr>
        <w:tc>
          <w:tcPr>
            <w:tcW w:type="dxa" w:w="1872"/>
          </w:tcPr>
          <w:p>
            <w:r/>
            <w:r>
              <w:rPr>
                <w:b w:val="0"/>
                <w:i w:val="0"/>
                <w:sz w:val="19"/>
              </w:rPr>
              <w:t>Fund III “net multiple”</w:t>
            </w:r>
          </w:p>
        </w:tc>
        <w:tc>
          <w:tcPr>
            <w:tcW w:type="dxa" w:w="2376"/>
          </w:tcPr>
          <w:p>
            <w:r/>
            <w:r>
              <w:rPr>
                <w:b w:val="0"/>
                <w:i w:val="0"/>
                <w:sz w:val="19"/>
              </w:rPr>
              <w:t>0.36x “on invested capital” (SUMF ¶ 25)</w:t>
            </w:r>
          </w:p>
        </w:tc>
        <w:tc>
          <w:tcPr>
            <w:tcW w:type="dxa" w:w="2880"/>
          </w:tcPr>
          <w:p>
            <w:r/>
            <w:r>
              <w:rPr>
                <w:b w:val="0"/>
                <w:i w:val="0"/>
                <w:sz w:val="19"/>
              </w:rPr>
              <w:t xml:space="preserve">$298M realized net gains ÷ $820M </w:t>
            </w:r>
            <w:r>
              <w:rPr>
                <w:b w:val="0"/>
                <w:i/>
                <w:sz w:val="19"/>
              </w:rPr>
              <w:t>committed</w:t>
            </w:r>
            <w:r>
              <w:rPr>
                <w:b w:val="0"/>
                <w:i w:val="0"/>
                <w:sz w:val="19"/>
              </w:rPr>
              <w:t xml:space="preserve"> capital = 0.363</w:t>
            </w:r>
          </w:p>
        </w:tc>
        <w:tc>
          <w:tcPr>
            <w:tcW w:type="dxa" w:w="2520"/>
          </w:tcPr>
          <w:p>
            <w:r/>
            <w:r>
              <w:rPr>
                <w:b w:val="0"/>
                <w:i w:val="0"/>
                <w:sz w:val="19"/>
              </w:rPr>
              <w:t>Arithmetic matches, but it is a gains-to-commitments ratio, not a multiple on invested capital</w:t>
            </w:r>
          </w:p>
        </w:tc>
      </w:tr>
      <w:tr>
        <w:tc>
          <w:tcPr>
            <w:tcW w:type="dxa" w:w="1872"/>
          </w:tcPr>
          <w:p>
            <w:r/>
            <w:r>
              <w:rPr>
                <w:b w:val="0"/>
                <w:i w:val="0"/>
                <w:sz w:val="19"/>
              </w:rPr>
              <w:t>Fund V deployment</w:t>
            </w:r>
          </w:p>
        </w:tc>
        <w:tc>
          <w:tcPr>
            <w:tcW w:type="dxa" w:w="2376"/>
          </w:tcPr>
          <w:p>
            <w:r/>
            <w:r>
              <w:rPr>
                <w:b w:val="0"/>
                <w:i w:val="0"/>
                <w:sz w:val="19"/>
              </w:rPr>
              <w:t>$380M of $1.75B</w:t>
            </w:r>
          </w:p>
        </w:tc>
        <w:tc>
          <w:tcPr>
            <w:tcW w:type="dxa" w:w="2880"/>
          </w:tcPr>
          <w:p>
            <w:r/>
            <w:r>
              <w:rPr>
                <w:b w:val="0"/>
                <w:i w:val="0"/>
                <w:sz w:val="19"/>
              </w:rPr>
              <w:t>$380M ÷ $1,750M = 21.7%</w:t>
            </w:r>
          </w:p>
        </w:tc>
        <w:tc>
          <w:tcPr>
            <w:tcW w:type="dxa" w:w="2520"/>
          </w:tcPr>
          <w:p>
            <w:r/>
            <w:r>
              <w:rPr>
                <w:b w:val="0"/>
                <w:i w:val="0"/>
                <w:sz w:val="19"/>
              </w:rPr>
              <w:t>Correct (Quillen Decl. ¶ 40)</w:t>
            </w:r>
          </w:p>
        </w:tc>
      </w:tr>
      <w:tr>
        <w:tc>
          <w:tcPr>
            <w:tcW w:type="dxa" w:w="1872"/>
          </w:tcPr>
          <w:p>
            <w:r/>
            <w:r>
              <w:rPr>
                <w:b w:val="0"/>
                <w:i w:val="0"/>
                <w:sz w:val="19"/>
              </w:rPr>
              <w:t>Fund IV allocations vs. gains</w:t>
            </w:r>
          </w:p>
        </w:tc>
        <w:tc>
          <w:tcPr>
            <w:tcW w:type="dxa" w:w="2376"/>
          </w:tcPr>
          <w:p>
            <w:r/>
            <w:r>
              <w:rPr>
                <w:b w:val="0"/>
                <w:i w:val="0"/>
                <w:sz w:val="19"/>
              </w:rPr>
              <w:t>—</w:t>
            </w:r>
          </w:p>
        </w:tc>
        <w:tc>
          <w:tcPr>
            <w:tcW w:type="dxa" w:w="2880"/>
          </w:tcPr>
          <w:p>
            <w:r/>
            <w:r>
              <w:rPr>
                <w:b w:val="0"/>
                <w:i w:val="0"/>
                <w:sz w:val="19"/>
              </w:rPr>
              <w:t>$29,762,000 ÷ $742M = 4.0% (Ashford Decl. ¶ 43)</w:t>
            </w:r>
          </w:p>
        </w:tc>
        <w:tc>
          <w:tcPr>
            <w:tcW w:type="dxa" w:w="2520"/>
          </w:tcPr>
          <w:p>
            <w:r/>
            <w:r>
              <w:rPr>
                <w:b w:val="0"/>
                <w:i w:val="0"/>
                <w:sz w:val="19"/>
              </w:rPr>
              <w:t>Correct; ex post figure (see Issue D-6)</w:t>
            </w:r>
          </w:p>
        </w:tc>
      </w:tr>
      <w:tr>
        <w:tc>
          <w:tcPr>
            <w:tcW w:type="dxa" w:w="1872"/>
          </w:tcPr>
          <w:p>
            <w:r/>
            <w:r>
              <w:rPr>
                <w:b w:val="0"/>
                <w:i w:val="0"/>
                <w:sz w:val="19"/>
              </w:rPr>
              <w:t>Days from 30-day letter to FPAA</w:t>
            </w:r>
          </w:p>
        </w:tc>
        <w:tc>
          <w:tcPr>
            <w:tcW w:type="dxa" w:w="2376"/>
          </w:tcPr>
          <w:p>
            <w:r/>
            <w:r>
              <w:rPr>
                <w:b w:val="0"/>
                <w:i w:val="0"/>
                <w:sz w:val="19"/>
              </w:rPr>
              <w:t>—</w:t>
            </w:r>
          </w:p>
        </w:tc>
        <w:tc>
          <w:tcPr>
            <w:tcW w:type="dxa" w:w="2880"/>
          </w:tcPr>
          <w:p>
            <w:r/>
            <w:r>
              <w:rPr>
                <w:b w:val="0"/>
                <w:i w:val="0"/>
                <w:sz w:val="19"/>
              </w:rPr>
              <w:t>Feb. 7, 2022 → June 15, 2022</w:t>
            </w:r>
          </w:p>
        </w:tc>
        <w:tc>
          <w:tcPr>
            <w:tcW w:type="dxa" w:w="2520"/>
          </w:tcPr>
          <w:p>
            <w:r/>
            <w:r>
              <w:rPr>
                <w:b w:val="0"/>
                <w:i w:val="0"/>
                <w:sz w:val="19"/>
              </w:rPr>
              <w:t>128 days (vs. 270-day BBA waiting period after a NOPPA, § 6231(b)(2)(A))</w:t>
            </w:r>
          </w:p>
        </w:tc>
      </w:tr>
    </w:tbl>
    <w:p>
      <w:pPr>
        <w:spacing w:after="40"/>
      </w:pPr>
    </w:p>
    <w:p>
      <w:pPr>
        <w:pStyle w:val="Heading2"/>
      </w:pPr>
      <w:r>
        <w:rPr>
          <w:b w:val="0"/>
          <w:i w:val="0"/>
        </w:rPr>
        <w:t>C. Record Citations in the Brief That Do Not Support the Proposition Cited</w:t>
      </w:r>
    </w:p>
    <w:p>
      <w:pPr>
        <w:spacing w:after="120"/>
      </w:pPr>
      <w:r>
        <w:rPr>
          <w:b w:val="0"/>
          <w:i w:val="0"/>
        </w:rPr>
        <w:t xml:space="preserve">The Brief's record citations are systematically misaligned with the Quillen Declaration as filed. Under Local Civil Rule 56.1(d), each statement must be followed by citation to admissible evidence, and the Court may disregard assertions the cited materials do not support. </w:t>
      </w:r>
      <w:r>
        <w:rPr>
          <w:b w:val="0"/>
          <w:i/>
        </w:rPr>
        <w:t>See Holtz v. Rockefeller &amp; Co.</w:t>
      </w:r>
      <w:r>
        <w:rPr>
          <w:b w:val="0"/>
          <w:i w:val="0"/>
        </w:rPr>
        <w:t>, 258 F.3d 62, 73–74 (2d Cir. 2001) [cite-check]. Representative examples: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656"/>
            <w:shd w:val="clear" w:color="auto" w:fill="D9D9D9"/>
          </w:tcPr>
          <w:p>
            <w:r/>
            <w:r>
              <w:rPr>
                <w:b/>
                <w:i w:val="0"/>
                <w:sz w:val="19"/>
              </w:rPr>
              <w:t>Brief</w:t>
            </w:r>
          </w:p>
        </w:tc>
        <w:tc>
          <w:tcPr>
            <w:tcW w:type="dxa" w:w="2304"/>
            <w:shd w:val="clear" w:color="auto" w:fill="D9D9D9"/>
          </w:tcPr>
          <w:p>
            <w:r/>
            <w:r>
              <w:rPr>
                <w:b/>
                <w:i w:val="0"/>
                <w:sz w:val="19"/>
              </w:rPr>
              <w:t>Proposition</w:t>
            </w:r>
          </w:p>
        </w:tc>
        <w:tc>
          <w:tcPr>
            <w:tcW w:type="dxa" w:w="1440"/>
            <w:shd w:val="clear" w:color="auto" w:fill="D9D9D9"/>
          </w:tcPr>
          <w:p>
            <w:r/>
            <w:r>
              <w:rPr>
                <w:b/>
                <w:i w:val="0"/>
                <w:sz w:val="19"/>
              </w:rPr>
              <w:t>Cited source</w:t>
            </w:r>
          </w:p>
        </w:tc>
        <w:tc>
          <w:tcPr>
            <w:tcW w:type="dxa" w:w="4248"/>
            <w:shd w:val="clear" w:color="auto" w:fill="D9D9D9"/>
          </w:tcPr>
          <w:p>
            <w:r/>
            <w:r>
              <w:rPr>
                <w:b/>
                <w:i w:val="0"/>
                <w:sz w:val="19"/>
              </w:rPr>
              <w:t>What the cited source actually is</w:t>
            </w:r>
          </w:p>
        </w:tc>
      </w:tr>
      <w:tr>
        <w:tc>
          <w:tcPr>
            <w:tcW w:type="dxa" w:w="1656"/>
          </w:tcPr>
          <w:p>
            <w:r/>
            <w:r>
              <w:rPr>
                <w:b w:val="0"/>
                <w:i w:val="0"/>
                <w:sz w:val="19"/>
              </w:rPr>
              <w:t>SUMF ¶ 6; Arg. IV.C.2 n.14</w:t>
            </w:r>
          </w:p>
        </w:tc>
        <w:tc>
          <w:tcPr>
            <w:tcW w:type="dxa" w:w="2304"/>
          </w:tcPr>
          <w:p>
            <w:r/>
            <w:r>
              <w:rPr>
                <w:b w:val="0"/>
                <w:i w:val="0"/>
                <w:sz w:val="19"/>
              </w:rPr>
              <w:t>Hargrove practiced tax law at T&amp;L for ~8 years</w:t>
            </w:r>
          </w:p>
        </w:tc>
        <w:tc>
          <w:tcPr>
            <w:tcW w:type="dxa" w:w="1440"/>
          </w:tcPr>
          <w:p>
            <w:r/>
            <w:r>
              <w:rPr>
                <w:b w:val="0"/>
                <w:i w:val="0"/>
                <w:sz w:val="19"/>
              </w:rPr>
              <w:t>Quillen ¶ 9; Ex. 5</w:t>
            </w:r>
          </w:p>
        </w:tc>
        <w:tc>
          <w:tcPr>
            <w:tcW w:type="dxa" w:w="4248"/>
          </w:tcPr>
          <w:p>
            <w:r/>
            <w:r>
              <w:rPr>
                <w:b w:val="0"/>
                <w:i w:val="0"/>
                <w:sz w:val="19"/>
              </w:rPr>
              <w:t>¶ 9: HCP's formation/classification. Ex. 5: the Election Forms. No record support anywhere.</w:t>
            </w:r>
          </w:p>
        </w:tc>
      </w:tr>
      <w:tr>
        <w:tc>
          <w:tcPr>
            <w:tcW w:type="dxa" w:w="1656"/>
          </w:tcPr>
          <w:p>
            <w:r/>
            <w:r>
              <w:rPr>
                <w:b w:val="0"/>
                <w:i w:val="0"/>
                <w:sz w:val="19"/>
              </w:rPr>
              <w:t>SUMF ¶ 7 &amp; n.2</w:t>
            </w:r>
          </w:p>
        </w:tc>
        <w:tc>
          <w:tcPr>
            <w:tcW w:type="dxa" w:w="2304"/>
          </w:tcPr>
          <w:p>
            <w:r/>
            <w:r>
              <w:rPr>
                <w:b w:val="0"/>
                <w:i w:val="0"/>
                <w:sz w:val="19"/>
              </w:rPr>
              <w:t>Sato was Tax Matters Partner</w:t>
            </w:r>
          </w:p>
        </w:tc>
        <w:tc>
          <w:tcPr>
            <w:tcW w:type="dxa" w:w="1440"/>
          </w:tcPr>
          <w:p>
            <w:r/>
            <w:r>
              <w:rPr>
                <w:b w:val="0"/>
                <w:i w:val="0"/>
                <w:sz w:val="19"/>
              </w:rPr>
              <w:t>Quillen ¶ 8</w:t>
            </w:r>
          </w:p>
        </w:tc>
        <w:tc>
          <w:tcPr>
            <w:tcW w:type="dxa" w:w="4248"/>
          </w:tcPr>
          <w:p>
            <w:r/>
            <w:r>
              <w:rPr>
                <w:b w:val="0"/>
                <w:i w:val="0"/>
                <w:sz w:val="19"/>
              </w:rPr>
              <w:t>¶ 8: list of topics in the declaration (TMP assertion is at ¶ 11, and is itself contradicted by Ex. 7)</w:t>
            </w:r>
          </w:p>
        </w:tc>
      </w:tr>
      <w:tr>
        <w:tc>
          <w:tcPr>
            <w:tcW w:type="dxa" w:w="1656"/>
          </w:tcPr>
          <w:p>
            <w:r/>
            <w:r>
              <w:rPr>
                <w:b w:val="0"/>
                <w:i w:val="0"/>
                <w:sz w:val="19"/>
              </w:rPr>
              <w:t>SUMF ¶¶ 10–11; Factor (1)</w:t>
            </w:r>
          </w:p>
        </w:tc>
        <w:tc>
          <w:tcPr>
            <w:tcW w:type="dxa" w:w="2304"/>
          </w:tcPr>
          <w:p>
            <w:r/>
            <w:r>
              <w:rPr>
                <w:b w:val="0"/>
                <w:i w:val="0"/>
                <w:sz w:val="19"/>
              </w:rPr>
              <w:t>“Waiver Side Letters”; AFR compounding; no expiration</w:t>
            </w:r>
          </w:p>
        </w:tc>
        <w:tc>
          <w:tcPr>
            <w:tcW w:type="dxa" w:w="1440"/>
          </w:tcPr>
          <w:p>
            <w:r/>
            <w:r>
              <w:rPr>
                <w:b w:val="0"/>
                <w:i w:val="0"/>
                <w:sz w:val="19"/>
              </w:rPr>
              <w:t>Quillen ¶¶ 12–13; Ex. 4</w:t>
            </w:r>
          </w:p>
        </w:tc>
        <w:tc>
          <w:tcPr>
            <w:tcW w:type="dxa" w:w="4248"/>
          </w:tcPr>
          <w:p>
            <w:r/>
            <w:r>
              <w:rPr>
                <w:b w:val="0"/>
                <w:i w:val="0"/>
                <w:sz w:val="19"/>
              </w:rPr>
              <w:t>¶¶ 12–13: Form 1065/PR designation and Fund III description. Ex. 4: Fund V capital account statements. No side letters exist; no AFR term exists.</w:t>
            </w:r>
          </w:p>
        </w:tc>
      </w:tr>
      <w:tr>
        <w:tc>
          <w:tcPr>
            <w:tcW w:type="dxa" w:w="1656"/>
          </w:tcPr>
          <w:p>
            <w:r/>
            <w:r>
              <w:rPr>
                <w:b w:val="0"/>
                <w:i w:val="0"/>
                <w:sz w:val="19"/>
              </w:rPr>
              <w:t>SUMF ¶¶ 15–17; Factor (5); n.13</w:t>
            </w:r>
          </w:p>
        </w:tc>
        <w:tc>
          <w:tcPr>
            <w:tcW w:type="dxa" w:w="2304"/>
          </w:tcPr>
          <w:p>
            <w:r/>
            <w:r>
              <w:rPr>
                <w:b w:val="0"/>
                <w:i w:val="0"/>
                <w:sz w:val="19"/>
              </w:rPr>
              <w:t>Election dates and amounts</w:t>
            </w:r>
          </w:p>
        </w:tc>
        <w:tc>
          <w:tcPr>
            <w:tcW w:type="dxa" w:w="1440"/>
          </w:tcPr>
          <w:p>
            <w:r/>
            <w:r>
              <w:rPr>
                <w:b w:val="0"/>
                <w:i w:val="0"/>
                <w:sz w:val="19"/>
              </w:rPr>
              <w:t>Ex. 6</w:t>
            </w:r>
          </w:p>
        </w:tc>
        <w:tc>
          <w:tcPr>
            <w:tcW w:type="dxa" w:w="4248"/>
          </w:tcPr>
          <w:p>
            <w:r/>
            <w:r>
              <w:rPr>
                <w:b w:val="0"/>
                <w:i w:val="0"/>
                <w:sz w:val="19"/>
              </w:rPr>
              <w:t>Ex. 6 is the LPA amendments; the elections are Ex. 5-A to 5-F</w:t>
            </w:r>
          </w:p>
        </w:tc>
      </w:tr>
      <w:tr>
        <w:tc>
          <w:tcPr>
            <w:tcW w:type="dxa" w:w="1656"/>
          </w:tcPr>
          <w:p>
            <w:r/>
            <w:r>
              <w:rPr>
                <w:b w:val="0"/>
                <w:i w:val="0"/>
                <w:sz w:val="19"/>
              </w:rPr>
              <w:t>SUMF ¶ 21</w:t>
            </w:r>
          </w:p>
        </w:tc>
        <w:tc>
          <w:tcPr>
            <w:tcW w:type="dxa" w:w="2304"/>
          </w:tcPr>
          <w:p>
            <w:r/>
            <w:r>
              <w:rPr>
                <w:b w:val="0"/>
                <w:i w:val="0"/>
                <w:sz w:val="19"/>
              </w:rPr>
              <w:t>No LP participation; GP could approve without LP consent</w:t>
            </w:r>
          </w:p>
        </w:tc>
        <w:tc>
          <w:tcPr>
            <w:tcW w:type="dxa" w:w="1440"/>
          </w:tcPr>
          <w:p>
            <w:r/>
            <w:r>
              <w:rPr>
                <w:b w:val="0"/>
                <w:i w:val="0"/>
                <w:sz w:val="19"/>
              </w:rPr>
              <w:t>Quillen ¶ 27</w:t>
            </w:r>
          </w:p>
        </w:tc>
        <w:tc>
          <w:tcPr>
            <w:tcW w:type="dxa" w:w="4248"/>
          </w:tcPr>
          <w:p>
            <w:r/>
            <w:r>
              <w:rPr>
                <w:b w:val="0"/>
                <w:i w:val="0"/>
                <w:sz w:val="19"/>
              </w:rPr>
              <w:t>¶ 27: TY 2018 elections were prospective</w:t>
            </w:r>
          </w:p>
        </w:tc>
      </w:tr>
      <w:tr>
        <w:tc>
          <w:tcPr>
            <w:tcW w:type="dxa" w:w="1656"/>
          </w:tcPr>
          <w:p>
            <w:r/>
            <w:r>
              <w:rPr>
                <w:b w:val="0"/>
                <w:i w:val="0"/>
                <w:sz w:val="19"/>
              </w:rPr>
              <w:t>SUMF ¶ 25 (Fund III, IV)</w:t>
            </w:r>
          </w:p>
        </w:tc>
        <w:tc>
          <w:tcPr>
            <w:tcW w:type="dxa" w:w="2304"/>
          </w:tcPr>
          <w:p>
            <w:r/>
            <w:r>
              <w:rPr>
                <w:b w:val="0"/>
                <w:i w:val="0"/>
                <w:sz w:val="19"/>
              </w:rPr>
              <w:t>Fund performance</w:t>
            </w:r>
          </w:p>
        </w:tc>
        <w:tc>
          <w:tcPr>
            <w:tcW w:type="dxa" w:w="1440"/>
          </w:tcPr>
          <w:p>
            <w:r/>
            <w:r>
              <w:rPr>
                <w:b w:val="0"/>
                <w:i w:val="0"/>
                <w:sz w:val="19"/>
              </w:rPr>
              <w:t>Ex. 10</w:t>
            </w:r>
          </w:p>
        </w:tc>
        <w:tc>
          <w:tcPr>
            <w:tcW w:type="dxa" w:w="4248"/>
          </w:tcPr>
          <w:p>
            <w:r/>
            <w:r>
              <w:rPr>
                <w:b w:val="0"/>
                <w:i w:val="0"/>
                <w:sz w:val="19"/>
              </w:rPr>
              <w:t>Ex. 10: internal Hargrove–Sato emails</w:t>
            </w:r>
          </w:p>
        </w:tc>
      </w:tr>
      <w:tr>
        <w:tc>
          <w:tcPr>
            <w:tcW w:type="dxa" w:w="1656"/>
          </w:tcPr>
          <w:p>
            <w:r/>
            <w:r>
              <w:rPr>
                <w:b w:val="0"/>
                <w:i w:val="0"/>
                <w:sz w:val="19"/>
              </w:rPr>
              <w:t>SUMF ¶ 25 (Fund V)</w:t>
            </w:r>
          </w:p>
        </w:tc>
        <w:tc>
          <w:tcPr>
            <w:tcW w:type="dxa" w:w="2304"/>
          </w:tcPr>
          <w:p>
            <w:r/>
            <w:r>
              <w:rPr>
                <w:b w:val="0"/>
                <w:i w:val="0"/>
                <w:sz w:val="19"/>
              </w:rPr>
              <w:t>Fund V had “substantial capital gains activity”</w:t>
            </w:r>
          </w:p>
        </w:tc>
        <w:tc>
          <w:tcPr>
            <w:tcW w:type="dxa" w:w="1440"/>
          </w:tcPr>
          <w:p>
            <w:r/>
            <w:r>
              <w:rPr>
                <w:b w:val="0"/>
                <w:i w:val="0"/>
                <w:sz w:val="19"/>
              </w:rPr>
              <w:t>Quillen ¶ 31</w:t>
            </w:r>
          </w:p>
        </w:tc>
        <w:tc>
          <w:tcPr>
            <w:tcW w:type="dxa" w:w="4248"/>
          </w:tcPr>
          <w:p>
            <w:r/>
            <w:r>
              <w:rPr>
                <w:b w:val="0"/>
                <w:i w:val="0"/>
                <w:sz w:val="19"/>
              </w:rPr>
              <w:t>¶ 31: TY 2019 elections were prospective. Quillen ¶¶ 40–41 say Fund V had $0 realized gains.</w:t>
            </w:r>
          </w:p>
        </w:tc>
      </w:tr>
      <w:tr>
        <w:tc>
          <w:tcPr>
            <w:tcW w:type="dxa" w:w="1656"/>
          </w:tcPr>
          <w:p>
            <w:r/>
            <w:r>
              <w:rPr>
                <w:b w:val="0"/>
                <w:i w:val="0"/>
                <w:sz w:val="19"/>
              </w:rPr>
              <w:t>SUMF ¶ 25 &amp; n.7</w:t>
            </w:r>
          </w:p>
        </w:tc>
        <w:tc>
          <w:tcPr>
            <w:tcW w:type="dxa" w:w="2304"/>
          </w:tcPr>
          <w:p>
            <w:r/>
            <w:r>
              <w:rPr>
                <w:b w:val="0"/>
                <w:i w:val="0"/>
                <w:sz w:val="19"/>
              </w:rPr>
              <w:t>Fund V used Greystone subscription facility</w:t>
            </w:r>
          </w:p>
        </w:tc>
        <w:tc>
          <w:tcPr>
            <w:tcW w:type="dxa" w:w="1440"/>
          </w:tcPr>
          <w:p>
            <w:r/>
            <w:r>
              <w:rPr>
                <w:b w:val="0"/>
                <w:i w:val="0"/>
                <w:sz w:val="19"/>
              </w:rPr>
              <w:t>Quillen ¶ 33; Ex. 13</w:t>
            </w:r>
          </w:p>
        </w:tc>
        <w:tc>
          <w:tcPr>
            <w:tcW w:type="dxa" w:w="4248"/>
          </w:tcPr>
          <w:p>
            <w:r/>
            <w:r>
              <w:rPr>
                <w:b w:val="0"/>
                <w:i w:val="0"/>
                <w:sz w:val="19"/>
              </w:rPr>
              <w:t xml:space="preserve">¶ 33: Fund V election date. Ex. 13: </w:t>
            </w:r>
            <w:r>
              <w:rPr>
                <w:b w:val="0"/>
                <w:i/>
                <w:sz w:val="19"/>
              </w:rPr>
              <w:t>Fund IV's</w:t>
            </w:r>
            <w:r>
              <w:rPr>
                <w:b w:val="0"/>
                <w:i w:val="0"/>
                <w:sz w:val="19"/>
              </w:rPr>
              <w:t xml:space="preserve"> facility.</w:t>
            </w:r>
          </w:p>
        </w:tc>
      </w:tr>
      <w:tr>
        <w:tc>
          <w:tcPr>
            <w:tcW w:type="dxa" w:w="1656"/>
          </w:tcPr>
          <w:p>
            <w:r/>
            <w:r>
              <w:rPr>
                <w:b w:val="0"/>
                <w:i w:val="0"/>
                <w:sz w:val="19"/>
              </w:rPr>
              <w:t>SUMF ¶ 26</w:t>
            </w:r>
          </w:p>
        </w:tc>
        <w:tc>
          <w:tcPr>
            <w:tcW w:type="dxa" w:w="2304"/>
          </w:tcPr>
          <w:p>
            <w:r/>
            <w:r>
              <w:rPr>
                <w:b w:val="0"/>
                <w:i w:val="0"/>
                <w:sz w:val="19"/>
              </w:rPr>
              <w:t>Carry-forward satisfied Fund III shortfalls</w:t>
            </w:r>
          </w:p>
        </w:tc>
        <w:tc>
          <w:tcPr>
            <w:tcW w:type="dxa" w:w="1440"/>
          </w:tcPr>
          <w:p>
            <w:r/>
            <w:r>
              <w:rPr>
                <w:b w:val="0"/>
                <w:i w:val="0"/>
                <w:sz w:val="19"/>
              </w:rPr>
              <w:t>Quillen ¶ 34</w:t>
            </w:r>
          </w:p>
        </w:tc>
        <w:tc>
          <w:tcPr>
            <w:tcW w:type="dxa" w:w="4248"/>
          </w:tcPr>
          <w:p>
            <w:r/>
            <w:r>
              <w:rPr>
                <w:b w:val="0"/>
                <w:i w:val="0"/>
                <w:sz w:val="19"/>
              </w:rPr>
              <w:t>¶ 34: Fund V election timing. ¶ 42 says Fund III allocations were funded from realized gains in-year.</w:t>
            </w:r>
          </w:p>
        </w:tc>
      </w:tr>
      <w:tr>
        <w:tc>
          <w:tcPr>
            <w:tcW w:type="dxa" w:w="1656"/>
          </w:tcPr>
          <w:p>
            <w:r/>
            <w:r>
              <w:rPr>
                <w:b w:val="0"/>
                <w:i w:val="0"/>
                <w:sz w:val="19"/>
              </w:rPr>
              <w:t>SUMF ¶ 29 n.8</w:t>
            </w:r>
          </w:p>
        </w:tc>
        <w:tc>
          <w:tcPr>
            <w:tcW w:type="dxa" w:w="2304"/>
          </w:tcPr>
          <w:p>
            <w:r/>
            <w:r>
              <w:rPr>
                <w:b w:val="0"/>
                <w:i w:val="0"/>
                <w:sz w:val="19"/>
              </w:rPr>
              <w:t>Prevalence of fee waivers in the industry</w:t>
            </w:r>
          </w:p>
        </w:tc>
        <w:tc>
          <w:tcPr>
            <w:tcW w:type="dxa" w:w="1440"/>
          </w:tcPr>
          <w:p>
            <w:r/>
            <w:r>
              <w:rPr>
                <w:b w:val="0"/>
                <w:i w:val="0"/>
                <w:sz w:val="19"/>
              </w:rPr>
              <w:t>Quillen ¶ 38</w:t>
            </w:r>
          </w:p>
        </w:tc>
        <w:tc>
          <w:tcPr>
            <w:tcW w:type="dxa" w:w="4248"/>
          </w:tcPr>
          <w:p>
            <w:r/>
            <w:r>
              <w:rPr>
                <w:b w:val="0"/>
                <w:i w:val="0"/>
                <w:sz w:val="19"/>
              </w:rPr>
              <w:t>¶ 38: K-1 allocation amounts</w:t>
            </w:r>
          </w:p>
        </w:tc>
      </w:tr>
      <w:tr>
        <w:tc>
          <w:tcPr>
            <w:tcW w:type="dxa" w:w="1656"/>
          </w:tcPr>
          <w:p>
            <w:r/>
            <w:r>
              <w:rPr>
                <w:b w:val="0"/>
                <w:i w:val="0"/>
                <w:sz w:val="19"/>
              </w:rPr>
              <w:t>Arg. IV.A.2 (Factor 3); IV.C.2</w:t>
            </w:r>
          </w:p>
        </w:tc>
        <w:tc>
          <w:tcPr>
            <w:tcW w:type="dxa" w:w="2304"/>
          </w:tcPr>
          <w:p>
            <w:r/>
            <w:r>
              <w:rPr>
                <w:b w:val="0"/>
                <w:i w:val="0"/>
                <w:sz w:val="19"/>
              </w:rPr>
              <w:t>Conversion was “sole objective”; HCP cited only “alignment”</w:t>
            </w:r>
          </w:p>
        </w:tc>
        <w:tc>
          <w:tcPr>
            <w:tcW w:type="dxa" w:w="1440"/>
          </w:tcPr>
          <w:p>
            <w:r/>
            <w:r>
              <w:rPr>
                <w:b w:val="0"/>
                <w:i w:val="0"/>
                <w:sz w:val="19"/>
              </w:rPr>
              <w:t>Quillen ¶ 44; Ashford ¶ 18</w:t>
            </w:r>
          </w:p>
        </w:tc>
        <w:tc>
          <w:tcPr>
            <w:tcW w:type="dxa" w:w="4248"/>
          </w:tcPr>
          <w:p>
            <w:r/>
            <w:r>
              <w:rPr>
                <w:b w:val="0"/>
                <w:i w:val="0"/>
                <w:sz w:val="19"/>
              </w:rPr>
              <w:t>¶ 44: summary that Fund III/IV allocations were satisfied and Fund V's carried forward. Ashford ¶ 18: tax-benefit math.</w:t>
            </w:r>
          </w:p>
        </w:tc>
      </w:tr>
      <w:tr>
        <w:tc>
          <w:tcPr>
            <w:tcW w:type="dxa" w:w="1656"/>
          </w:tcPr>
          <w:p>
            <w:r/>
            <w:r>
              <w:rPr>
                <w:b w:val="0"/>
                <w:i w:val="0"/>
                <w:sz w:val="19"/>
              </w:rPr>
              <w:t>Arg. IV.A.2 (Factor 1)</w:t>
            </w:r>
          </w:p>
        </w:tc>
        <w:tc>
          <w:tcPr>
            <w:tcW w:type="dxa" w:w="2304"/>
          </w:tcPr>
          <w:p>
            <w:r/>
            <w:r>
              <w:rPr>
                <w:b w:val="0"/>
                <w:i w:val="0"/>
                <w:sz w:val="19"/>
              </w:rPr>
              <w:t>Risk “de minimis”</w:t>
            </w:r>
          </w:p>
        </w:tc>
        <w:tc>
          <w:tcPr>
            <w:tcW w:type="dxa" w:w="1440"/>
          </w:tcPr>
          <w:p>
            <w:r/>
            <w:r>
              <w:rPr>
                <w:b w:val="0"/>
                <w:i w:val="0"/>
                <w:sz w:val="19"/>
              </w:rPr>
              <w:t>Ashford ¶ 22</w:t>
            </w:r>
          </w:p>
        </w:tc>
        <w:tc>
          <w:tcPr>
            <w:tcW w:type="dxa" w:w="4248"/>
          </w:tcPr>
          <w:p>
            <w:r/>
            <w:r>
              <w:rPr>
                <w:b w:val="0"/>
                <w:i w:val="0"/>
                <w:sz w:val="19"/>
              </w:rPr>
              <w:t xml:space="preserve">Ashford ¶ 22: Fund V had </w:t>
            </w:r>
            <w:r>
              <w:rPr>
                <w:b w:val="0"/>
                <w:i/>
                <w:sz w:val="19"/>
              </w:rPr>
              <w:t>no</w:t>
            </w:r>
            <w:r>
              <w:rPr>
                <w:b w:val="0"/>
                <w:i w:val="0"/>
                <w:sz w:val="19"/>
              </w:rPr>
              <w:t xml:space="preserve"> realized gains; phrase does not appear</w:t>
            </w:r>
          </w:p>
        </w:tc>
      </w:tr>
      <w:tr>
        <w:tc>
          <w:tcPr>
            <w:tcW w:type="dxa" w:w="1656"/>
          </w:tcPr>
          <w:p>
            <w:r/>
            <w:r>
              <w:rPr>
                <w:b w:val="0"/>
                <w:i w:val="0"/>
                <w:sz w:val="19"/>
              </w:rPr>
              <w:t>SUMF ¶ 20</w:t>
            </w:r>
          </w:p>
        </w:tc>
        <w:tc>
          <w:tcPr>
            <w:tcW w:type="dxa" w:w="2304"/>
          </w:tcPr>
          <w:p>
            <w:r/>
            <w:r>
              <w:rPr>
                <w:b w:val="0"/>
                <w:i w:val="0"/>
                <w:sz w:val="19"/>
              </w:rPr>
              <w:t>Dollar-for-dollar matching</w:t>
            </w:r>
          </w:p>
        </w:tc>
        <w:tc>
          <w:tcPr>
            <w:tcW w:type="dxa" w:w="1440"/>
          </w:tcPr>
          <w:p>
            <w:r/>
            <w:r>
              <w:rPr>
                <w:b w:val="0"/>
                <w:i w:val="0"/>
                <w:sz w:val="19"/>
              </w:rPr>
              <w:t>Ashford ¶ 14</w:t>
            </w:r>
          </w:p>
        </w:tc>
        <w:tc>
          <w:tcPr>
            <w:tcW w:type="dxa" w:w="4248"/>
          </w:tcPr>
          <w:p>
            <w:r/>
            <w:r>
              <w:rPr>
                <w:b w:val="0"/>
                <w:i w:val="0"/>
                <w:sz w:val="19"/>
              </w:rPr>
              <w:t>Ashford ¶ 14: general description of program (point is made at ¶¶ 31, 63)</w:t>
            </w:r>
          </w:p>
        </w:tc>
      </w:tr>
    </w:tbl>
    <w:p>
      <w:pPr>
        <w:spacing w:after="40"/>
      </w:pPr>
    </w:p>
    <w:p>
      <w:pPr>
        <w:pStyle w:val="Heading1"/>
      </w:pPr>
      <w:r>
        <w:rPr>
          <w:b w:val="0"/>
          <w:i w:val="0"/>
        </w:rPr>
        <w:t>IV. Category (A): Factual Errors</w:t>
      </w:r>
    </w:p>
    <w:p>
      <w:pPr>
        <w:pStyle w:val="Heading3"/>
      </w:pPr>
      <w:r>
        <w:rPr>
          <w:b w:val="0"/>
          <w:i w:val="0"/>
        </w:rPr>
        <w:t>A-1. The Brief Misdates the Fund IV TY 2020 Election and Conflates It with the Fund V Election</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17: “Both the Fund IV and Fund V waiver elections for Tax Year 2020 were executed after the start of the fiscal year. . . . [T]he Fund IV election was likewise executed after the commencement of the 2020 fiscal year.”</w:t>
            </w:r>
          </w:p>
          <w:p>
            <w:pPr>
              <w:spacing w:after="60"/>
            </w:pPr>
            <w:r>
              <w:rPr>
                <w:b w:val="0"/>
                <w:i w:val="0"/>
                <w:sz w:val="20"/>
              </w:rPr>
              <w:t>Arg. IV.C.2 (“Second”): “The TY 2020 elections for both Fund IV and Fund V were executed after the commencement of the fiscal year, demonstrating that the waivers were retroactive adjustments rather than genuine prospective business decisions.” See also n.13.</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 Fund IV TY 2020 election (Form HCP-2020-IV-005) was executed on </w:t>
            </w:r>
            <w:r>
              <w:rPr>
                <w:b/>
                <w:i w:val="0"/>
                <w:sz w:val="20"/>
              </w:rPr>
              <w:t>December 10, 2019</w:t>
            </w:r>
            <w:r>
              <w:rPr>
                <w:b w:val="0"/>
                <w:i w:val="0"/>
                <w:sz w:val="20"/>
              </w:rPr>
              <w:t>, three weeks before the fiscal year began. The government's own exhibit list says so: Quillen Decl. ¶ 89, Ex. 5-E (“Date: December 10, 2019. Countersigned by Hargrove GP IV LLC”). HCP's compiled summary marks it “Executed Prior to Fiscal Year Start: Yes.”</w:t>
            </w:r>
          </w:p>
          <w:p>
            <w:pPr>
              <w:spacing w:after="60"/>
            </w:pPr>
            <w:r>
              <w:rPr>
                <w:b w:val="0"/>
                <w:i w:val="0"/>
                <w:sz w:val="20"/>
              </w:rPr>
              <w:t xml:space="preserve">Quillen herself never claims the Fund IV election was late. Her ¶ 32 omits the date, and ¶ 34 contrasts </w:t>
            </w:r>
            <w:r>
              <w:rPr>
                <w:b w:val="0"/>
                <w:i/>
                <w:sz w:val="20"/>
              </w:rPr>
              <w:t>only</w:t>
            </w:r>
            <w:r>
              <w:rPr>
                <w:b w:val="0"/>
                <w:i w:val="0"/>
                <w:sz w:val="20"/>
              </w:rPr>
              <w:t xml:space="preserve"> the Fund V election with “the TY 2018 and TY 2019 elections.” The January 15, 2020 Greystone borrowing base certificate already referenced the TY 2020 election (Quillen Decl. ¶ 79), which is independent third-party corroboration that the Fund IV election existed at the start of the year.</w:t>
            </w:r>
          </w:p>
          <w:p>
            <w:pPr>
              <w:spacing w:after="60"/>
            </w:pPr>
            <w:r>
              <w:rPr>
                <w:b w:val="0"/>
                <w:i w:val="0"/>
                <w:sz w:val="20"/>
              </w:rPr>
              <w:t>The Brief notably gives a specific date for Fund V but none for Fund IV (“likewise executed after”), which suggests counsel inferred rather than checked.</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The “retroactive election” theme is a pillar of the economic substance argument (Arg. IV.C.2) and the timing argument under the Treas. Reg. § 1.707-2 framework (n.13). Correcting the record confines any timing argument to a single election worth $6,000,000 (12.6% of the adjustment) and leaves $41,612,000 (87.4%) indisputably prospective. It is also a clean, document-based credibility hit that the Court can verify in seconds.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Lead the Counterstatement of Facts with an election-by-election table (Part III.A above) citing Exs. 5-A through 5-F and the Election Forms. Characterize the error precisely and without hyperbole: the government “conflated” two elections with different execution dates.</w:t>
            </w:r>
          </w:p>
          <w:p>
            <w:pPr>
              <w:spacing w:after="60"/>
            </w:pPr>
            <w:r>
              <w:rPr>
                <w:b w:val="0"/>
                <w:i w:val="0"/>
                <w:sz w:val="20"/>
              </w:rPr>
              <w:t>In the argument, use the corrected facts to show that the government's own legal standard (n.13: a genuine waiver “must be made before the period to which it relates”) is satisfied for every election except Fund V, which is addressed separately (Issue A-2).</w:t>
            </w:r>
          </w:p>
          <w:p>
            <w:pPr>
              <w:spacing w:after="60"/>
            </w:pPr>
            <w:r>
              <w:rPr>
                <w:b w:val="0"/>
                <w:i w:val="0"/>
                <w:sz w:val="20"/>
              </w:rPr>
              <w:t>Obtain a short declaration from HCP's CFO or the GP IV signatory authenticating the December 10, 2019 execution and delivery to the GP.</w:t>
            </w:r>
          </w:p>
        </w:tc>
      </w:tr>
    </w:tbl>
    <w:p>
      <w:pPr>
        <w:spacing w:after="40"/>
      </w:pPr>
    </w:p>
    <w:p>
      <w:pPr>
        <w:pStyle w:val="Heading3"/>
      </w:pPr>
      <w:r>
        <w:rPr>
          <w:b w:val="0"/>
          <w:i w:val="0"/>
        </w:rPr>
        <w:t>A-2. The Brief's Characterization of the Fund V Election as “Retroactive” Ignores That Fund V Did Not Exist Until February 1, 2020</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17: the Fund V election “was signed on January 28, 2020, twenty-eight days into the fiscal year.” Arg. IV.C.2: “This retroactive timing is inconsistent with a genuine pre-commitment to accept investment risk and is instead consistent with a post hoc adjustment.”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 government's own SUMF ¶ 5 and Quillen Decl. ¶ 15 state that Fund V was formed on </w:t>
            </w:r>
            <w:r>
              <w:rPr>
                <w:b/>
                <w:i w:val="0"/>
                <w:sz w:val="20"/>
              </w:rPr>
              <w:t>February 1, 2020</w:t>
            </w:r>
            <w:r>
              <w:rPr>
                <w:b w:val="0"/>
                <w:i w:val="0"/>
                <w:sz w:val="20"/>
              </w:rPr>
              <w:t>. The Election Form itself recites that Fund V was “formed on February 1, 2020” and that its LPA was “to be dated on or about February 1, 2020.” The election therefore preceded the Fund's legal existence, its LPA, any capital call, any investment, and any accrual of management fees. A partnership cannot have a taxable year that begins before it exists [cite-check: Treas. Reg. § 1.708-1 / § 1.6031(a)-1 regarding commencement of partnership taxable year].</w:t>
            </w:r>
          </w:p>
          <w:p>
            <w:pPr>
              <w:spacing w:after="60"/>
            </w:pPr>
            <w:r>
              <w:rPr>
                <w:b w:val="0"/>
                <w:i w:val="0"/>
                <w:sz w:val="20"/>
              </w:rPr>
              <w:t>The “hindsight” rationale (Quillen Decl. ¶ 36: retroactive election “may suggest that the election was made with the benefit of hindsight regarding the fund's anticipated investment activity”) is impossible on these facts: on January 28, 2020, Fund V had no portfolio, no investments, and no track record. Indeed, the outcome proves the point — Fund V realized nothing in 2020 (Issue A-3).</w:t>
            </w:r>
          </w:p>
          <w:p>
            <w:pPr>
              <w:spacing w:after="60"/>
            </w:pPr>
            <w:r>
              <w:rPr>
                <w:b w:val="0"/>
                <w:i w:val="0"/>
                <w:sz w:val="20"/>
              </w:rPr>
              <w:t>Caution: HCP's own compiled summary marks this election “No” and describes it as “twenty-eight days after the commencement of the fiscal year beginning January 1, 2020,” and the Form recites a fiscal year “commencing January 1, 2020” and a representation (§ 5(a)) that the election was made “prior to the commencement of the fiscal year.” We cannot dispute the date, and the form's internal recitals are imperfect.</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This is the only election with any timing issue. Properly framed, it is a drafting artifact rather than evidence of hindsight. Improperly framed (e.g., denying it was late), it would cost credibility, because our own documents concede the date.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Concede the execution date; reframe its significance. Argue that the relevant period for prospectivity is the period during which services were rendered and fees accrued, which could not begin before Fund V's formation on February 1, 2020.</w:t>
            </w:r>
          </w:p>
          <w:p>
            <w:pPr>
              <w:spacing w:after="60"/>
            </w:pPr>
            <w:r>
              <w:rPr>
                <w:b w:val="0"/>
                <w:i w:val="0"/>
                <w:sz w:val="20"/>
              </w:rPr>
              <w:t>Confirm with HCP: Fund V's first closing date, LPA execution date, management fee commencement date, first capital call, and first investment date. If no fees accrued before February 1, 2020, obtain a declaration to that effect.</w:t>
            </w:r>
          </w:p>
          <w:p>
            <w:pPr>
              <w:spacing w:after="60"/>
            </w:pPr>
            <w:r>
              <w:rPr>
                <w:b w:val="0"/>
                <w:i w:val="0"/>
                <w:sz w:val="20"/>
              </w:rPr>
              <w:t>Coordinate with the penalty analysis: the Ridgeline Opinion expressly says it “should not be relied upon for any waiver election that is not timely executed” (see Issue D-9).</w:t>
            </w:r>
          </w:p>
        </w:tc>
      </w:tr>
    </w:tbl>
    <w:p>
      <w:pPr>
        <w:spacing w:after="40"/>
      </w:pPr>
    </w:p>
    <w:p>
      <w:pPr>
        <w:pStyle w:val="Heading3"/>
      </w:pPr>
      <w:r>
        <w:rPr>
          <w:b w:val="0"/>
          <w:i w:val="0"/>
        </w:rPr>
        <w:t>A-3. The Brief Asserts That Fund V Had “Substantial Capital Gains Activity” in 2020; the Government's Own Exhibit 4 Shows Zero Realized Gains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25: Fund V “had substantial capital gains activity during Tax Year 2020, providing the basis for the $6,000,000 priority allocation to HCP.”</w:t>
            </w:r>
          </w:p>
          <w:p>
            <w:pPr>
              <w:spacing w:after="60"/>
            </w:pPr>
            <w:r>
              <w:rPr>
                <w:b w:val="0"/>
                <w:i w:val="0"/>
                <w:sz w:val="20"/>
              </w:rPr>
              <w:t>Arg. IV.C.2 (“Fourth”): “[A]ll three Funds generated substantial capital gains during the relevant tax years . . . . HCP's decision to participate in the waiver program only when the Funds had sufficient realized gains . . . further evidences the tax-driven nature of the arrangement.”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Quillen Decl. ¶ 40 and Ex. 4: Fund V realized </w:t>
            </w:r>
            <w:r>
              <w:rPr>
                <w:b/>
                <w:i w:val="0"/>
                <w:sz w:val="20"/>
              </w:rPr>
              <w:t>$0</w:t>
            </w:r>
            <w:r>
              <w:rPr>
                <w:b w:val="0"/>
                <w:i w:val="0"/>
                <w:sz w:val="20"/>
              </w:rPr>
              <w:t xml:space="preserve"> in gains (short- or long-term) and $0 in losses in TY 2020; its portfolio was entirely unrealized; the ~$41 million of unrealized appreciation was “subsequently written down in Q2 2021.” ¶ 41: the $6,000,000 allocation “could not have been satisfied from realized gains” and was carried forward. ¶ 44: the Fund V allocation “remained unsatisfied.” Ashford Decl. ¶¶ 22–23, 47 agree.</w:t>
            </w:r>
          </w:p>
          <w:p>
            <w:pPr>
              <w:spacing w:after="60"/>
            </w:pPr>
            <w:r>
              <w:rPr>
                <w:b w:val="0"/>
                <w:i w:val="0"/>
                <w:sz w:val="20"/>
              </w:rPr>
              <w:t>The Brief's own carried-interest section contradicts SUMF ¶ 25, describing Fund V as having no “realized investment returns” and a “nonexistent” track record (Arg. IV.B).</w:t>
            </w:r>
          </w:p>
          <w:p>
            <w:pPr>
              <w:spacing w:after="60"/>
            </w:pPr>
            <w:r>
              <w:rPr>
                <w:b w:val="0"/>
                <w:i w:val="0"/>
                <w:sz w:val="20"/>
              </w:rPr>
              <w:t>Substantively, Fund V is the only fund-year in which the contingency was tested, and HCP lost: it gave up $6,000,000 of fee income that would have been payable regardless of performance and received nothing in 2020, with the unrealized gains that might have funded a future allocation written down months later.</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This misstatement goes to the heart of the entrepreneurial-risk inquiry (the primary factor under Prop. Treas. Reg. § 1.707-2(c)) and to the objective prong of § 7701(o)(1)(A). The government's own declarant establishes, at a minimum, a genuine dispute about whether HCP bore meaningful risk.</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Make Fund V the centerpiece of the risk argument: “The one time the contingency was tested, HCP lost.” Quote Quillen ¶¶ 40–41 and Ex. 4 verbatim.</w:t>
            </w:r>
          </w:p>
          <w:p>
            <w:pPr>
              <w:spacing w:after="60"/>
            </w:pPr>
            <w:r>
              <w:rPr>
                <w:b w:val="0"/>
                <w:i w:val="0"/>
                <w:sz w:val="20"/>
              </w:rPr>
              <w:t>Use the point to rebut the “calibration” theory (Issue C-5) and Professor Ashford's claim that the carry-forward converted risk into “timing” (Issue D-4).</w:t>
            </w:r>
          </w:p>
          <w:p>
            <w:pPr>
              <w:spacing w:after="60"/>
            </w:pPr>
            <w:r>
              <w:rPr>
                <w:b w:val="0"/>
                <w:i w:val="0"/>
                <w:sz w:val="20"/>
              </w:rPr>
              <w:t>Before relying on it, resolve the TY 2020 reporting problem discussed at Issue D-8; we must be able to explain why HCP reported the $6,000,000 as long-term capital gain.</w:t>
            </w:r>
          </w:p>
        </w:tc>
      </w:tr>
    </w:tbl>
    <w:p>
      <w:pPr>
        <w:spacing w:after="40"/>
      </w:pPr>
    </w:p>
    <w:p>
      <w:pPr>
        <w:pStyle w:val="Heading3"/>
      </w:pPr>
      <w:r>
        <w:rPr>
          <w:b w:val="0"/>
          <w:i w:val="0"/>
        </w:rPr>
        <w:t>A-4. The Brief Invents a “Compounding Return Equal to the Applicable Federal Rate” and Misstates the Carry-Forward as Having “No Expiration”</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11: “There was no expiration date on the carry-forward, and the unfulfilled amount accumulated with a compounding return equal to the applicable federal rate.”</w:t>
            </w:r>
          </w:p>
          <w:p>
            <w:pPr>
              <w:spacing w:after="60"/>
            </w:pPr>
            <w:r>
              <w:rPr>
                <w:b w:val="0"/>
                <w:i w:val="0"/>
                <w:sz w:val="20"/>
              </w:rPr>
              <w:t>Repeated in Factor (1) (“with no expiration date and with a compounding return at the applicable federal rate”), Factor (2) (“the Carry-Forward Provision with its compounding return at the applicable federal rate further underscored the preferential nature”; HCP “occupied a creditor-like position”), Factor (6) (“Unfulfilled allocations were carried forward indefinitely and accrued a compounding return”), and Arg. IV.B (“carried forward indefinitely with a compounding return”).</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Section 4 of every Election Form provides only that an unfulfilled amount carries forward and is satisfied from future net long-term capital gains “until fully allocated,” and that the carry-forward “shall remain an obligation of the Fund until the Priority Allocation has been satisfied in its entirety </w:t>
            </w:r>
            <w:r>
              <w:rPr>
                <w:b/>
                <w:i w:val="0"/>
                <w:sz w:val="20"/>
              </w:rPr>
              <w:t>or until the dissolution and final liquidation of the Fund, whichever occurs first</w:t>
            </w:r>
            <w:r>
              <w:rPr>
                <w:b w:val="0"/>
                <w:i w:val="0"/>
                <w:sz w:val="20"/>
              </w:rPr>
              <w:t>.” There is no interest, no AFR accrual, and no compounding.</w:t>
            </w:r>
          </w:p>
          <w:p>
            <w:pPr>
              <w:spacing w:after="60"/>
            </w:pPr>
            <w:r>
              <w:rPr>
                <w:b w:val="0"/>
                <w:i w:val="0"/>
                <w:sz w:val="20"/>
              </w:rPr>
              <w:t>The Ridgeline Opinion (§ II.F; § III.B.3) confirms: no acceleration, no cash settlement, no payment from any source other than realized long-term capital gains; unfulfilled amounts “expire unsatisfied” on liquidation.</w:t>
            </w:r>
          </w:p>
          <w:p>
            <w:pPr>
              <w:spacing w:after="60"/>
            </w:pPr>
            <w:r>
              <w:rPr>
                <w:b w:val="0"/>
                <w:i w:val="0"/>
                <w:sz w:val="20"/>
              </w:rPr>
              <w:t>Neither of the government's declarants supports the AFR term. Quillen Decl. ¶ 23 and Ashford Decl. ¶¶ 16, 40 describe the carry-forward without any return. (Their statement that it had “no stated expiration” is itself inaccurate in light of the liquidation cut-off.)</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The AFR “return” is the sole factual basis for the Brief's “preferred return” and “creditor-like” characterizations (Factor 2) and a principal support for the “no ceiling” argument (Factor 6). Without it, the carry-forward is an unsecured, non-interest-bearing, subordinated-to-realization, expiring contingent right — which is the antithesis of a debt claim. This misstatement also damages the government's credibility because the operative documents are short and unambiguous.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Quote § 4 of an Election Form in full in the Counterstatement and the argument. Point out that no declarant supports the AFR assertion.</w:t>
            </w:r>
          </w:p>
          <w:p>
            <w:pPr>
              <w:spacing w:after="60"/>
            </w:pPr>
            <w:r>
              <w:rPr>
                <w:b w:val="0"/>
                <w:i w:val="0"/>
                <w:sz w:val="20"/>
              </w:rPr>
              <w:t>Emphasize the liquidation cut-off: a fund that winds up without sufficient net long-term capital gains extinguishes the claim. Ask Dr. Chu to model the time value cost of an interest-free deferral (even a fully satisfied carry-forward is economically worth less than the waived fee).</w:t>
            </w:r>
          </w:p>
          <w:p>
            <w:pPr>
              <w:spacing w:after="60"/>
            </w:pPr>
            <w:r>
              <w:rPr>
                <w:b w:val="0"/>
                <w:i w:val="0"/>
                <w:sz w:val="20"/>
              </w:rPr>
              <w:t>Confirm with HCP and Ridgeline that the LPA amendments (Ex. 6) contain no different or additional carry-forward terms (e.g., an interest accrual) that the government may have drawn on.</w:t>
            </w:r>
          </w:p>
        </w:tc>
      </w:tr>
    </w:tbl>
    <w:p>
      <w:pPr>
        <w:spacing w:after="40"/>
      </w:pPr>
    </w:p>
    <w:p>
      <w:pPr>
        <w:pStyle w:val="Heading3"/>
      </w:pPr>
      <w:r>
        <w:rPr>
          <w:b w:val="0"/>
          <w:i w:val="0"/>
        </w:rPr>
        <w:t>A-5. The Brief Wrongly Asserts That Only a “Total and Permanent Loss” of Fund Capital Could Defeat the Priority Allocation</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12: “barring a total and permanent loss of a Fund's invested capital, HCP would eventually receive the full dollar amount.” Factor (1): “The only circumstance under which HCP would fail to receive the full priority allocation was if a Fund suffered a total and permanent loss of all invested capital.”</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allocation is payable only from “net long-term capital gains (as defined under Section 1222)” (Election Forms § 3). A fund can lose money, merely return its capital, realize only short-term gains or ordinary income, or have net capital losses in its remaining years — any of which defeats the allocation without a “total loss.” Because the claim expires at liquidation, a fund with a 0.9x or 1.0x outcome would never satisfy it.</w:t>
            </w:r>
          </w:p>
          <w:p>
            <w:pPr>
              <w:spacing w:after="60"/>
            </w:pPr>
            <w:r>
              <w:rPr>
                <w:b w:val="0"/>
                <w:i w:val="0"/>
                <w:sz w:val="20"/>
              </w:rPr>
              <w:t>The Brief's own description of Fund III as a “below-median” “difficult” vintage (SUMF ¶ 25; Quillen Decl. ¶ 13) and the Fund V write-down (Ex. 4) show that sub-par outcomes are realistic, not “catastrophic.”</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This overstatement is the predicate for the conclusion that risk was “negligible” (Factor 1). Correcting it reframes the risk question as an ordinary investment-performance question, which is quintessentially factual.</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Have Dr. Chu quantify, at each election date, the probability that each Fund would fail to generate sufficient net long-term capital gains over its remaining life, using vintage-year dispersion data (the government's own Preqin/McKinsey sources can be used for this purpose).</w:t>
            </w:r>
          </w:p>
          <w:p>
            <w:pPr>
              <w:spacing w:after="60"/>
            </w:pPr>
            <w:r>
              <w:rPr>
                <w:b w:val="0"/>
                <w:i w:val="0"/>
                <w:sz w:val="20"/>
              </w:rPr>
              <w:t>Cite the Election Forms' § 5(b) representation that HCP “assumes the entrepreneurial risk that the Priority Allocation may never be satisfied in whole or in part.”</w:t>
            </w:r>
          </w:p>
        </w:tc>
      </w:tr>
    </w:tbl>
    <w:p>
      <w:pPr>
        <w:spacing w:after="40"/>
      </w:pPr>
    </w:p>
    <w:p>
      <w:pPr>
        <w:pStyle w:val="Heading3"/>
      </w:pPr>
      <w:r>
        <w:rPr>
          <w:b w:val="0"/>
          <w:i w:val="0"/>
        </w:rPr>
        <w:t>A-6. The Brief Says the Carry-Forward “Ensured” Fund III Shortfalls Were Satisfied; the Government's Declarant Says There Were No Fund III Shortfalls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26: “Notwithstanding Fund III's relatively modest returns, HCP received the full amount of the priority profit allocations attributable to Fund III waiver elections. The Carry-Forward Provision ensured that any shortfall . . . was carried forward and eventually satisfied from subsequent gains.” (citing Quillen Decl. ¶ 34).</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Quillen Decl. ¶ 42: Fund III's allocations “were funded from actual realized long-term capital gains of the fund” in TY 2018 and TY 2019, and “the priority allocations in both years were allocated from realized long-term capital gains.” ¶ 43 says the same for Fund IV. The carry-forward was never triggered for Fund III or Fund IV. The only carry-forward in the record is Fund V's, which remains unsatisfied.</w:t>
            </w:r>
          </w:p>
          <w:p>
            <w:pPr>
              <w:spacing w:after="60"/>
            </w:pPr>
            <w:r>
              <w:rPr>
                <w:b w:val="0"/>
                <w:i w:val="0"/>
                <w:sz w:val="20"/>
              </w:rPr>
              <w:t>The cited paragraph (¶ 34) concerns the Fund V election date.</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The government uses Fund III to argue that the carry-forward “guaranteed” payment even for a poor performer. The record shows no such thing; the carry-forward has never paid HCP a dollar.</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Point out that the carry-forward's “guarantee” function is entirely hypothetical on this record, and that the one actual carry-forward (Fund V) remains unpaid.</w:t>
            </w:r>
          </w:p>
          <w:p>
            <w:pPr>
              <w:spacing w:after="60"/>
            </w:pPr>
            <w:r>
              <w:rPr>
                <w:b w:val="0"/>
                <w:i w:val="0"/>
                <w:sz w:val="20"/>
              </w:rPr>
              <w:t>Pair with the ex ante/ex post methodological critique of Professor Ashford (Issue D-4).</w:t>
            </w:r>
          </w:p>
        </w:tc>
      </w:tr>
    </w:tbl>
    <w:p>
      <w:pPr>
        <w:spacing w:after="40"/>
      </w:pPr>
    </w:p>
    <w:p>
      <w:pPr>
        <w:pStyle w:val="Heading3"/>
      </w:pPr>
      <w:r>
        <w:rPr>
          <w:b w:val="0"/>
          <w:i w:val="0"/>
        </w:rPr>
        <w:t>A-7. Fund III and Fund IV Performance Metrics Are Mislabeled and Inconsistently Dated</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25: Fund III's $298 million of realized net gains “represented a net multiple on invested capital of approximately 0.36x on total committed capital, a below-median performance” “as of the end of Tax Year 2020.” Arg. IV.B: “a net multiple of approximately 0.36x.” Ashford Decl. ¶ 21: Fund IV “net multiple of approximately 0.55x.”</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0.36 is simply $298M ÷ $820M — a ratio of realized </w:t>
            </w:r>
            <w:r>
              <w:rPr>
                <w:b w:val="0"/>
                <w:i/>
                <w:sz w:val="20"/>
              </w:rPr>
              <w:t>gains</w:t>
            </w:r>
            <w:r>
              <w:rPr>
                <w:b w:val="0"/>
                <w:i w:val="0"/>
                <w:sz w:val="20"/>
              </w:rPr>
              <w:t xml:space="preserve"> to </w:t>
            </w:r>
            <w:r>
              <w:rPr>
                <w:b w:val="0"/>
                <w:i/>
                <w:sz w:val="20"/>
              </w:rPr>
              <w:t>committed</w:t>
            </w:r>
            <w:r>
              <w:rPr>
                <w:b w:val="0"/>
                <w:i w:val="0"/>
                <w:sz w:val="20"/>
              </w:rPr>
              <w:t xml:space="preserve"> capital. A multiple on invested capital (MOIC) measures total value returned (including return of capital) against capital invested; a fund with $298 million of net gains on fully invested capital would have a MOIC of roughly 1.36x, not 0.36x. The phrase “net multiple on invested capital . . . on total committed capital” is internally incoherent. The same error infects Ashford's 0.55x for Fund IV ($742M ÷ $1.35B).</w:t>
            </w:r>
          </w:p>
          <w:p>
            <w:pPr>
              <w:spacing w:after="60"/>
            </w:pPr>
            <w:r>
              <w:rPr>
                <w:b w:val="0"/>
                <w:i w:val="0"/>
                <w:sz w:val="20"/>
              </w:rPr>
              <w:t>The measurement date is inconsistent: “as of the end of Tax Year 2020” (Brief), “as of the close of its investment period on June 1, 2019” (Ashford Decl. ¶ 20), and “[b]y the close of the examination period” (Quillen Decl. ¶ 13). The Brief also cites Ex. 10 (internal emails) for these figures.</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The mislabeling does not change the outcome of any legal issue, but it suggests the government does not understand the performance data on which its “below-median” narrative depends, and a sub-1.0x multiple implies a loss that did not occur.</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Correct the metric in the Counterstatement; have Dr. Chu state Fund III's actual MOIC, TVPI, and DPI. Avoid overplaying — a short footnote suffices.</w:t>
            </w:r>
          </w:p>
          <w:p>
            <w:pPr>
              <w:spacing w:after="60"/>
            </w:pPr>
            <w:r>
              <w:rPr>
                <w:b w:val="0"/>
                <w:i w:val="0"/>
                <w:sz w:val="20"/>
              </w:rPr>
              <w:t>Do not contest the judicial notice request for the Preqin/McKinsey data (Part VIII); contest only the inference.</w:t>
            </w:r>
          </w:p>
        </w:tc>
      </w:tr>
    </w:tbl>
    <w:p>
      <w:pPr>
        <w:spacing w:after="40"/>
      </w:pPr>
    </w:p>
    <w:p>
      <w:pPr>
        <w:pStyle w:val="Heading3"/>
      </w:pPr>
      <w:r>
        <w:rPr>
          <w:b w:val="0"/>
          <w:i w:val="0"/>
        </w:rPr>
        <w:t>A-8. The Brief Attributes Fund IV's Subscription Credit Facility to Fund V</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25 &amp; n.7: “Fund V utilized a subscription credit facility provided by Greystone National Bank . . . . Quillen Decl. ¶ 33; Ex. 13.”</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Quillen Decl. ¶¶ 78–80 and Ex. 13: the Greystone facility is between </w:t>
            </w:r>
            <w:r>
              <w:rPr>
                <w:b/>
                <w:i w:val="0"/>
                <w:sz w:val="20"/>
              </w:rPr>
              <w:t>Fund IV</w:t>
            </w:r>
            <w:r>
              <w:rPr>
                <w:b w:val="0"/>
                <w:i w:val="0"/>
                <w:sz w:val="20"/>
              </w:rPr>
              <w:t>, as borrower, and Greystone, entered December 1, 2017 and amended June 15, 2019 and January 10, 2020. There is no Fund V facility in the record.</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Low substantive impact, but it is another verifiable inaccuracy and it bears on the government's apparent intent to argue that the facility “integrated” the waiver into fund finance (Quillen Decl. ¶ 79).</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Note in the Counterstatement. Separately review Ex. 13 in full (see Issue D-11) before the government reframes the borrowing base disclosure as credit support.</w:t>
            </w:r>
          </w:p>
        </w:tc>
      </w:tr>
    </w:tbl>
    <w:p>
      <w:pPr>
        <w:spacing w:after="40"/>
      </w:pPr>
    </w:p>
    <w:p>
      <w:pPr>
        <w:pStyle w:val="Heading3"/>
      </w:pPr>
      <w:r>
        <w:rPr>
          <w:b w:val="0"/>
          <w:i w:val="0"/>
        </w:rPr>
        <w:t>A-9. The Brief Misidentifies HCP's Partnership Representative and Uses Repealed TEFRA Terminology</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Prelim. Stmt.: “Notice of the FPAA was served on Diane K. Sato, Tax Matters Partner of HCP.” SUMF ¶ 7: “Diane K. Sato served as HCP's Tax Matters Partner during the tax years at issue.” Quillen Decl. ¶¶ 11, 59.</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All three years are governed by the BBA centralized partnership audit regime (tax years beginning after December 31, 2017). The “tax matters partner” role was repealed for those years; the BBA requires a </w:t>
            </w:r>
            <w:r>
              <w:rPr>
                <w:b/>
                <w:i w:val="0"/>
                <w:sz w:val="20"/>
              </w:rPr>
              <w:t>partnership representative</w:t>
            </w:r>
            <w:r>
              <w:rPr>
                <w:b w:val="0"/>
                <w:i w:val="0"/>
                <w:sz w:val="20"/>
              </w:rPr>
              <w:t xml:space="preserve"> (§ 6223). Exhibit 7 (TY 2018 Form 1065, p. 5) designates “Partnership Representative: </w:t>
            </w:r>
            <w:r>
              <w:rPr>
                <w:b/>
                <w:i w:val="0"/>
                <w:sz w:val="20"/>
              </w:rPr>
              <w:t>Elliot R. Hargrove</w:t>
            </w:r>
            <w:r>
              <w:rPr>
                <w:b w:val="0"/>
                <w:i w:val="0"/>
                <w:sz w:val="20"/>
              </w:rPr>
              <w:t>.” Quillen herself acknowledges the PR designation (¶¶ 12, 47) while simultaneously asserting that Sato was TMP “since the entity's formation in 2014” (¶ 11) and that all notices “including the [FPAA] were served upon Ms. Sato in her capacity as Tax Matters Partner” (¶ 59).</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Standing alone this is a terminology error, but it signals that the IRS may have run this examination under TEFRA procedures and supports the procedural and limitations arguments at Issue B-14. Its ultimate weight depends on facts we must confirm (to whom the FPA was actually mailed; PR designations for TY 2019 and TY 2020).</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Raise it as part of the procedural-validity argument (Issue B-14), not as a stand-alone point.</w:t>
            </w:r>
          </w:p>
          <w:p>
            <w:pPr>
              <w:spacing w:after="60"/>
            </w:pPr>
            <w:r>
              <w:rPr>
                <w:b w:val="0"/>
                <w:i w:val="0"/>
                <w:sz w:val="20"/>
              </w:rPr>
              <w:t>Pull the TY 2019 and TY 2020 Forms 1065 to confirm the PR designation for each year and confirm whether any designation was revoked or changed.</w:t>
            </w:r>
          </w:p>
        </w:tc>
      </w:tr>
    </w:tbl>
    <w:p>
      <w:pPr>
        <w:spacing w:after="40"/>
      </w:pPr>
    </w:p>
    <w:p>
      <w:pPr>
        <w:pStyle w:val="Heading3"/>
      </w:pPr>
      <w:r>
        <w:rPr>
          <w:b w:val="0"/>
          <w:i w:val="0"/>
        </w:rPr>
        <w:t>A-10. The Brief Misstates Who Owns the Funds' General Partners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3–4: Hargrove GP III LLC and Hargrove GP IV LLC are “wholly owned and controlled by Hargrove and Sato.” Ashford Decl. ¶ 12 (GPs “controlled by Messrs. Hargrove and Sato”).</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Quillen Decl. ¶¶ 13–15: each GP (III, IV and V) is “a Delaware limited liability company </w:t>
            </w:r>
            <w:r>
              <w:rPr>
                <w:b/>
                <w:i w:val="0"/>
                <w:sz w:val="20"/>
              </w:rPr>
              <w:t>wholly owned by HCP</w:t>
            </w:r>
            <w:r>
              <w:rPr>
                <w:b w:val="0"/>
                <w:i w:val="0"/>
                <w:sz w:val="20"/>
              </w:rPr>
              <w:t>.” The Ridgeline Opinion (§ III.A.2, Factors 2 and 6) likewise treats HCP as a partner in the Funds “through its affiliated general partner entities.”</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HCP's status as a partner of each Fund is a predicate of the government's own theories (§ 707(a)(2)(A) applies only where “a partner performs services”; § 707(c) applies only to payments “to a partner”), and of HCP's position that the priority allocations are distributive shares under § 702(b). The government's version (GPs owned by the individuals) would undermine both sides' frameworks and is contradicted by its declarant.</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Correct the record using Ex. 3 (organizational chart) and the GP LLC agreements, and establish that each GP is a single-member LLC owned by HCP and disregarded for tax purposes (confirm no Form 8832 election). Frame this affirmatively (HCP is a partner with a continuing interest in Fund profits and losses, including its carried interest) rather than as a “gotcha.”</w:t>
            </w:r>
          </w:p>
          <w:p>
            <w:pPr>
              <w:spacing w:after="60"/>
            </w:pPr>
            <w:r>
              <w:rPr>
                <w:b w:val="0"/>
                <w:i w:val="0"/>
                <w:sz w:val="20"/>
              </w:rPr>
              <w:t>Confirm whether the priority allocations were made to HCP directly or to the GP as HCP's designee (Election Forms § 3 permits either), and conform our characterization.</w:t>
            </w:r>
          </w:p>
        </w:tc>
      </w:tr>
    </w:tbl>
    <w:p>
      <w:pPr>
        <w:spacing w:after="40"/>
      </w:pPr>
    </w:p>
    <w:p>
      <w:pPr>
        <w:pStyle w:val="Heading3"/>
      </w:pPr>
      <w:r>
        <w:rPr>
          <w:b w:val="0"/>
          <w:i w:val="0"/>
        </w:rPr>
        <w:t>A-11. The Brief Refers to “Waiver Side Letters” That Do Not Exist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10: the program terms are “set forth in the side letters executed between HCP and each Fund (collectively, the ‘Waiver Side Letters’).” SUMF ¶ 11 (“The Waiver Side Letters contained a ‘carry-forward’ or ‘make-whole’ provision”).</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operative instruments are the Election Forms (executed under § 8.4(b) of each Fund's LPA) and the LPA amendments (Quillen Decl. ¶ 24; Ex. 6). The Ridgeline Opinion's analysis expressly assumes there is no “guarantee, indemnity, side letter, or other contractual mechanism” supporting the allocation (§ II.H; § IV). The government's declarant never uses the term “side letter.”</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 xml:space="preserve">Significant — The label is not harmless: in private fund practice “side letters” connote bespoke, off-LPA arrangements, and the Ridgeline Opinion and </w:t>
            </w:r>
            <w:r>
              <w:rPr>
                <w:b w:val="0"/>
                <w:i/>
                <w:sz w:val="20"/>
              </w:rPr>
              <w:t>Pinnacle</w:t>
            </w:r>
            <w:r>
              <w:rPr>
                <w:b w:val="0"/>
                <w:i w:val="0"/>
                <w:sz w:val="20"/>
              </w:rPr>
              <w:t xml:space="preserve"> both treat side arrangements and credit support as decisive. An uncorrected reference could become a “fact” in the Court's opinion.</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Respond to SUMF ¶¶ 10–11 as “Disputed” and identify the actual instruments. Confirm with HCP that no side letters relating to the waiver program exist with any LP (if any LP side letters mention the program, we need to know now).</w:t>
            </w:r>
          </w:p>
        </w:tc>
      </w:tr>
    </w:tbl>
    <w:p>
      <w:pPr>
        <w:spacing w:after="40"/>
      </w:pPr>
    </w:p>
    <w:p>
      <w:pPr>
        <w:pStyle w:val="Heading3"/>
      </w:pPr>
      <w:r>
        <w:rPr>
          <w:b w:val="0"/>
          <w:i w:val="0"/>
        </w:rPr>
        <w:t>A-12. The Brief Dates the Program to 2016, Contradicting the Government's Declarant and the Ridgeline Opinion</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9: “Beginning in 2016, HCP implemented a management fee waiver program.” Ashford Decl. ¶ 14 (same) and ¶ 74 (“HCP elected to waive fees in every year from 2016 through the tax years at issue”).</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Quillen Decl. ¶ 65: the Ridgeline Opinion “was obtained by HCP prior to the execution of any management fee waiver elections,” and “the earliest waiver elections (for TY 2018) were executed on December 15, 2017.” The Ridgeline Opinion (November 1, 2017) describes a “proposed” program with initial elections “expected to be executed in December 2017.” Fund IV did not exist until September 2017. Quillen ¶ 21 refers to “late 2016,” an internal inconsistency within the government's own record.</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The point matters chiefly because Professor Ashford's “routine and repeated annually” theory (¶ 74) depends on a multi-year history the record does not support.</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Confirm with HCP that no waivers were made before TY 2018 (if any 2016 or 2017 waivers exist, we need the documents immediately). If confirmed, use the point to impeach Ashford ¶ 74 as lacking foundation.</w:t>
            </w:r>
          </w:p>
        </w:tc>
      </w:tr>
    </w:tbl>
    <w:p>
      <w:pPr>
        <w:spacing w:after="40"/>
      </w:pPr>
    </w:p>
    <w:p>
      <w:pPr>
        <w:pStyle w:val="Heading3"/>
      </w:pPr>
      <w:r>
        <w:rPr>
          <w:b w:val="0"/>
          <w:i w:val="0"/>
        </w:rPr>
        <w:t>A-13. The Brief Overstates the Absence of Limited Partner Involvement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21: “No limited partners of the Funds participated in the waiver decisions. . . . The limited partnership agreements of each Fund authorized the general partner . . . to approve such arrangements without limited partner consent.” (citing Quillen Decl. ¶ 27).</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Each Election Form § 5(c) provides that an election is irrevocable and “may not be modified, amended, or rescinded without the prior written consent of the General Partner </w:t>
            </w:r>
            <w:r>
              <w:rPr>
                <w:b/>
                <w:i w:val="0"/>
                <w:sz w:val="20"/>
              </w:rPr>
              <w:t>and the Advisory Committee of the Fund</w:t>
            </w:r>
            <w:r>
              <w:rPr>
                <w:b w:val="0"/>
                <w:i w:val="0"/>
                <w:sz w:val="20"/>
              </w:rPr>
              <w:t>.” The priority allocation mechanism was “authorized by amendments to the LPAs” (Quillen Decl. ¶¶ 21, 24; Ex. 6); an amendment giving the manager a first-dollar priority over LP capital gains ordinarily requires LP consent. The program was disclosed to Fund IV's lender (Quillen Decl. ¶ 79). Quillen ¶ 27 (cited) says nothing about LP involvement.</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LP and Advisory Committee involvement is evidence of arm's-length dealing, of genuine economic effect on the LPs (Issue C-6), and of a non-tax business purpose (LP alignment). It also undercuts the “paper exercise” theme.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Obtain the LPA amendment consent records, any LPAC minutes or consents, and LP communications describing the program (annual meeting materials, quarterly letters, fundraising materials for Fund V). Use them in the Counterstatement; dispute SUMF ¶ 21.</w:t>
            </w:r>
          </w:p>
        </w:tc>
      </w:tr>
    </w:tbl>
    <w:p>
      <w:pPr>
        <w:spacing w:after="40"/>
      </w:pPr>
    </w:p>
    <w:p>
      <w:pPr>
        <w:pStyle w:val="Heading3"/>
      </w:pPr>
      <w:r>
        <w:rPr>
          <w:b w:val="0"/>
          <w:i w:val="0"/>
        </w:rPr>
        <w:t>A-14. The Brief Misstates the Business Purposes HCP Identified</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IV.C.2 (“First”): “HCP has never articulated any business justification . . . other than tax savings. . . . HCP's responses . . . cited only ‘alignment of interests’ . . . . Quillen Decl. ¶ 44.”</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Quillen Decl. ¶ 44 says nothing about HCP's stated business purposes. The Ridgeline Opinion, which HCP produced and cited in its protest (Quillen Decl. ¶¶ 60, 70), identifies three non-tax purposes: alignment of interests, LP relations and fundraising, and capital efficiency (§ III.C.3). HCP's protest argued that the allocations were “subject to entrepreneurial risk” (Quillen Decl. ¶ 60). The government's own footnote 8 concedes that fee waivers are “increasingly common” among “a significant number of mid-market and large-cap fund managers.”</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Business purpose is a fact issue on which the government bears the summary-judgment burden of showing no genuine dispute. Mischaracterizing HCP's stated purposes, with a citation that does not support the point, invites the Court to find a dispute.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Submit declarations from Hargrove and Sato (and ideally an LP or placement agent) describing the non-tax reasons for the program, contemporaneous LP communications, and Fund V fundraising materials. Use footnote 8's industry-practice concession affirmatively.</w:t>
            </w:r>
          </w:p>
        </w:tc>
      </w:tr>
    </w:tbl>
    <w:p>
      <w:pPr>
        <w:spacing w:after="40"/>
      </w:pPr>
    </w:p>
    <w:p>
      <w:pPr>
        <w:pStyle w:val="Heading3"/>
      </w:pPr>
      <w:r>
        <w:rPr>
          <w:b w:val="0"/>
          <w:i w:val="0"/>
        </w:rPr>
        <w:t>A-15. Mr. Hargrove's Professional Background Is Asserted Without Record Support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6; Arg. IV.C.2 (“Third”) &amp; n.14; Part V.B.4: Hargrove “practiced as a tax attorney at Thornfield &amp; Locke LLP . . . for approximately eight years.”</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only citations (Quillen Decl. ¶ 9; Ex. 5) concern HCP's formation and the Election Forms. Nothing in the Quillen or Ashford Declarations addresses Mr. Hargrove's background.</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As a matter of evidence, the assertion is unsupported and may be disregarded on summary judgment. But the underlying fact (if accurate) is legitimately relevant to the penalty inquiry and has serious internal implications for this firm (Issue D-12).</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In the Counterstatement, respond “Disputed — no record support,” without denying the fact if it is true. Do </w:t>
            </w:r>
            <w:r>
              <w:rPr>
                <w:b/>
                <w:i w:val="0"/>
                <w:sz w:val="20"/>
              </w:rPr>
              <w:t>not</w:t>
            </w:r>
            <w:r>
              <w:rPr>
                <w:b w:val="0"/>
                <w:i w:val="0"/>
                <w:sz w:val="20"/>
              </w:rPr>
              <w:t xml:space="preserve"> argue that a taxpayer's expertise is irrelevant to reasonable cause; it is a standard factor (Part VIII).</w:t>
            </w:r>
          </w:p>
        </w:tc>
      </w:tr>
    </w:tbl>
    <w:p>
      <w:pPr>
        <w:spacing w:after="40"/>
      </w:pPr>
    </w:p>
    <w:p>
      <w:pPr>
        <w:pStyle w:val="Heading3"/>
      </w:pPr>
      <w:r>
        <w:rPr>
          <w:b w:val="0"/>
          <w:i w:val="0"/>
        </w:rPr>
        <w:t>A-16. The Brief Overstates the Scope of the “Conversion”: HCP Waived Only Part of Its Fees and Reported the Rest as Ordinary Income</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Prelim. Stmt.; SUMF ¶ 18: waived amounts “tracked the growth in management fees payable to HCP as the Funds increased in size.” Arg. IV.C.3: the arrangement “did not change the amount of compensation HCP received.”</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Quillen Decl. ¶ 46: the TY 2018 return reported ordinary management fee income for “fees that were not subject to waiver elections.” Using the government's 2.0% investment-period rate (Quillen Decl. ¶ 18), Fund IV's annual fee alone was roughly $27 million, of which $5.2 million was waived for 2018. Waived amounts also </w:t>
            </w:r>
            <w:r>
              <w:rPr>
                <w:b w:val="0"/>
                <w:i/>
                <w:sz w:val="20"/>
              </w:rPr>
              <w:t>fell</w:t>
            </w:r>
            <w:r>
              <w:rPr>
                <w:b w:val="0"/>
                <w:i w:val="0"/>
                <w:sz w:val="20"/>
              </w:rPr>
              <w:t xml:space="preserve"> in 2020 ($16.362M) from 2019 ($18.85M) even though Fund V ($1.75B) was added — the opposite of “tracking growth.” And for Fund V in 2020, HCP's compensation demonstrably </w:t>
            </w:r>
            <w:r>
              <w:rPr>
                <w:b w:val="0"/>
                <w:i/>
                <w:sz w:val="20"/>
              </w:rPr>
              <w:t>did</w:t>
            </w:r>
            <w:r>
              <w:rPr>
                <w:b w:val="0"/>
                <w:i w:val="0"/>
                <w:sz w:val="20"/>
              </w:rPr>
              <w:t xml:space="preserve"> change: it received nothing in place of $6 million of fees.</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Useful color showing that the program was a calibrated, partial at-risk commitment rather than wholesale relabeling of fee income.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Have HCP's CFO prepare a schedule of fees earned, waived, and collected by Fund and year (confirm fee base and rates). Use sparingly in the business purpose discussion.</w:t>
            </w:r>
          </w:p>
        </w:tc>
      </w:tr>
    </w:tbl>
    <w:p>
      <w:pPr>
        <w:spacing w:after="40"/>
      </w:pPr>
    </w:p>
    <w:p>
      <w:pPr>
        <w:pStyle w:val="Heading1"/>
      </w:pPr>
      <w:r>
        <w:rPr>
          <w:b w:val="0"/>
          <w:i w:val="0"/>
        </w:rPr>
        <w:t>V. Category (B): Legal Errors</w:t>
      </w:r>
    </w:p>
    <w:p>
      <w:pPr>
        <w:pStyle w:val="Heading3"/>
      </w:pPr>
      <w:r>
        <w:rPr>
          <w:b w:val="0"/>
          <w:i w:val="0"/>
        </w:rPr>
        <w:t xml:space="preserve">B-1. The Brief Inverts Rev. Proc. 93-27, Which Provides That Receipt of a Profits Interest Is Generally </w:t>
      </w:r>
      <w:r>
        <w:rPr>
          <w:b w:val="0"/>
          <w:i/>
        </w:rPr>
        <w:t>Not</w:t>
      </w:r>
      <w:r>
        <w:rPr>
          <w:b w:val="0"/>
          <w:i w:val="0"/>
        </w:rPr>
        <w:t xml:space="preserve"> a Taxable Event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IV.A.4: “[T]he IRS has long recognized that profits interests received in exchange for services are taxed at the time of receipt if they have a determinable value. See Rev. Proc. 93-27, 1993-2 C.B. 343.”</w:t>
            </w:r>
          </w:p>
          <w:p>
            <w:pPr>
              <w:spacing w:after="60"/>
            </w:pPr>
            <w:r>
              <w:rPr>
                <w:b w:val="0"/>
                <w:i w:val="0"/>
                <w:sz w:val="20"/>
              </w:rPr>
              <w:t>Ashford Decl. ¶¶ 50–55 (Opinion 3): Rev. Proc. 93-27 “establishes that profits interests received in exchange for services are taxed at the time of receipt if they have a determinable value” and “supports the conclusion that the profits interests received in exchange for waived fees should be taxed upon receipt.”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Rev. Proc. 93-27 § 4.01 provides that, if a person receives a profits interest for services to or for the benefit of a partnership in a partner capacity, the IRS </w:t>
            </w:r>
            <w:r>
              <w:rPr>
                <w:b/>
                <w:i w:val="0"/>
                <w:sz w:val="20"/>
              </w:rPr>
              <w:t>will not treat the receipt as a taxable event</w:t>
            </w:r>
            <w:r>
              <w:rPr>
                <w:b w:val="0"/>
                <w:i w:val="0"/>
                <w:sz w:val="20"/>
              </w:rPr>
              <w:t xml:space="preserve">. Section 4.02 lists three exceptions: (1) the profits interest relates to a substantially certain and predictable stream of income from partnership assets, </w:t>
            </w:r>
            <w:r>
              <w:rPr>
                <w:b w:val="0"/>
                <w:i/>
                <w:sz w:val="20"/>
              </w:rPr>
              <w:t>such as income from high-quality debt securities or a high-quality net lease</w:t>
            </w:r>
            <w:r>
              <w:rPr>
                <w:b w:val="0"/>
                <w:i w:val="0"/>
                <w:sz w:val="20"/>
              </w:rPr>
              <w:t xml:space="preserve">; (2) the partner disposes of the interest within two years; or (3) the interest is a limited partnership interest in a publicly traded partnership. Rev. Proc. 2001-43 supplements it. The “determinable value” language is not in the revenue procedure; it echoes the pre-1993 </w:t>
            </w:r>
            <w:r>
              <w:rPr>
                <w:b w:val="0"/>
                <w:i/>
                <w:sz w:val="20"/>
              </w:rPr>
              <w:t>Diamond</w:t>
            </w:r>
            <w:r>
              <w:rPr>
                <w:b w:val="0"/>
                <w:i w:val="0"/>
                <w:sz w:val="20"/>
              </w:rPr>
              <w:t>/</w:t>
            </w:r>
            <w:r>
              <w:rPr>
                <w:b w:val="0"/>
                <w:i/>
                <w:sz w:val="20"/>
              </w:rPr>
              <w:t>Campbell</w:t>
            </w:r>
            <w:r>
              <w:rPr>
                <w:b w:val="0"/>
                <w:i w:val="0"/>
                <w:sz w:val="20"/>
              </w:rPr>
              <w:t xml:space="preserve"> case law that Rev. Proc. 93-27 was issued to address. The Ridgeline Opinion describes Rev. Proc. 93-27 correctly (§ III.D).</w:t>
            </w:r>
          </w:p>
          <w:p>
            <w:pPr>
              <w:spacing w:after="60"/>
            </w:pPr>
            <w:r>
              <w:rPr>
                <w:b w:val="0"/>
                <w:i w:val="0"/>
                <w:sz w:val="20"/>
              </w:rPr>
              <w:t xml:space="preserve">Professor Ashford's reliance on the first exception is misplaced: it addresses income streams from </w:t>
            </w:r>
            <w:r>
              <w:rPr>
                <w:b w:val="0"/>
                <w:i/>
                <w:sz w:val="20"/>
              </w:rPr>
              <w:t>partnership assets</w:t>
            </w:r>
            <w:r>
              <w:rPr>
                <w:b w:val="0"/>
                <w:i w:val="0"/>
                <w:sz w:val="20"/>
              </w:rPr>
              <w:t xml:space="preserve"> of the high-grade-debt/net-lease type, not contingent realized gains from a mid-market buyout portfolio — the paradigm of uncertain income.</w:t>
            </w:r>
          </w:p>
          <w:p>
            <w:pPr>
              <w:spacing w:after="60"/>
            </w:pPr>
            <w:r>
              <w:rPr>
                <w:b w:val="0"/>
                <w:i w:val="0"/>
                <w:sz w:val="20"/>
              </w:rPr>
              <w:t xml:space="preserve">When Treasury proposed the § 707(a)(2)(A) regulations in 2015, the preamble announced that the IRS </w:t>
            </w:r>
            <w:r>
              <w:rPr>
                <w:b w:val="0"/>
                <w:i/>
                <w:sz w:val="20"/>
              </w:rPr>
              <w:t>intended</w:t>
            </w:r>
            <w:r>
              <w:rPr>
                <w:b w:val="0"/>
                <w:i w:val="0"/>
                <w:sz w:val="20"/>
              </w:rPr>
              <w:t xml:space="preserve"> to issue a revenue procedure adding a new exception to Rev. Proc. 93-27 for profits interests issued in conjunction with a partner forgoing payment of a substantially fixed amount (i.e., fee waivers). 80 Fed. Reg. 43652 (July 23, 2015) [cite-check]. To my knowledge, no such revenue procedure has issued. The government's position therefore requires an exception the IRS itself acknowledged does not yet exist.</w:t>
            </w:r>
          </w:p>
          <w:p>
            <w:pPr>
              <w:spacing w:after="60"/>
            </w:pPr>
            <w:r>
              <w:rPr>
                <w:b w:val="0"/>
                <w:i w:val="0"/>
                <w:sz w:val="20"/>
              </w:rPr>
              <w:t>Even on its own terms, a “taxed at receipt” theory would (i) tax HCP on the fair market value of the interest at grant, not on $47,612,000 of later allocations, and (ii) place the income in the year of grant — e.g., TY 2017 for the December 2017 elections (a year not in the FPAA and outside the BBA regime), TY 2018 for the November 2018 elections, and TY 2019 for the December 2019 Fund IV election. That is irreconcilable with the FPAA's adjustments.</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This is the clearest misstatement of law in the Brief. Exposing that the government and its expert have described an authority as standing for the opposite of what it says will color the Court's view of every other legal proposition in the motion, and it eliminates an entire theory (Ashford Opinion 3).</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Quote §§ 4.01–4.02 of Rev. Proc. 93-27 verbatim and juxtapose them with the Brief's sentence. Note the 2015 preamble's announced (and unissued) fee-waiver exception.</w:t>
            </w:r>
          </w:p>
          <w:p>
            <w:pPr>
              <w:spacing w:after="60"/>
            </w:pPr>
            <w:r>
              <w:rPr>
                <w:b w:val="0"/>
                <w:i w:val="0"/>
                <w:sz w:val="20"/>
              </w:rPr>
              <w:t>Point out the timing/valuation incoherence of a “taxed at receipt” theory and that it is not the basis of the FPAA (Quillen Decl. ¶ 61).</w:t>
            </w:r>
          </w:p>
          <w:p>
            <w:pPr>
              <w:spacing w:after="60"/>
            </w:pPr>
            <w:r>
              <w:rPr>
                <w:b w:val="0"/>
                <w:i w:val="0"/>
                <w:sz w:val="20"/>
              </w:rPr>
              <w:t>Tone: measured. One clean paragraph is more effective than rhetoric.</w:t>
            </w:r>
          </w:p>
        </w:tc>
      </w:tr>
    </w:tbl>
    <w:p>
      <w:pPr>
        <w:spacing w:after="40"/>
      </w:pPr>
    </w:p>
    <w:p>
      <w:pPr>
        <w:pStyle w:val="Heading3"/>
      </w:pPr>
      <w:r>
        <w:rPr>
          <w:b w:val="0"/>
          <w:i w:val="0"/>
        </w:rPr>
        <w:t>B-2. The Brief Misstates the Treas. Reg. § 1.707-2(c) Factors, Omits Factor (4), Imports the § 704(b) “Transitory Allocation” Framework, and Ignores That the Regulation Is Only Proposed</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IV.A.2: “The Treasury Regulations provide a six-factor test . . . . The government submits that each applicable factor weighs decisively in favor of recharacterization.” The Brief then labels Factors (1), (2), (3), (5) and (6) and, in place of Factor (4), inserts a heading “The Priority Allocations Constitute Transitory Allocations Lacking Substantial Economic Effect,” relying on Treas. Reg. § 1.704-1(b)(2)(iii). Arg. IV.A.5: “Every applicable factor . . . weighs in favor” — listing five.</w:t>
            </w:r>
          </w:p>
        </w:tc>
      </w:tr>
      <w:tr>
        <w:tc>
          <w:tcPr>
            <w:tcW w:type="dxa" w:w="1944"/>
            <w:shd w:val="clear" w:color="auto" w:fill="EDEDED"/>
          </w:tcPr>
          <w:p>
            <w:r/>
            <w:r>
              <w:rPr>
                <w:b/>
                <w:i w:val="0"/>
                <w:sz w:val="20"/>
              </w:rPr>
              <w:t>Why it is wrong or vulnerable</w:t>
            </w:r>
          </w:p>
        </w:tc>
        <w:tc>
          <w:tcPr>
            <w:tcW w:type="dxa" w:w="7416"/>
          </w:tcPr>
          <w:p>
            <w:pPr>
              <w:spacing w:after="60"/>
            </w:pPr>
            <w:r/>
            <w:r>
              <w:rPr>
                <w:b/>
                <w:i w:val="0"/>
                <w:sz w:val="20"/>
              </w:rPr>
              <w:t>Status.</w:t>
            </w:r>
            <w:r>
              <w:rPr>
                <w:b w:val="0"/>
                <w:i w:val="0"/>
                <w:sz w:val="20"/>
              </w:rPr>
              <w:t xml:space="preserve"> Section 1.707-2 is a </w:t>
            </w:r>
            <w:r>
              <w:rPr>
                <w:b w:val="0"/>
                <w:i/>
                <w:sz w:val="20"/>
              </w:rPr>
              <w:t>proposed</w:t>
            </w:r>
            <w:r>
              <w:rPr>
                <w:b w:val="0"/>
                <w:i w:val="0"/>
                <w:sz w:val="20"/>
              </w:rPr>
              <w:t xml:space="preserve"> regulation (REG-115452-14, 80 Fed. Reg. 43652 (July 23, 2015)) that has never been finalized. By its terms it would apply to arrangements entered into or modified after final regulations are published [cite-check proposed effective date provision]. Proposed regulations are not binding and receive no deference, although they may be considered for their persuasive value. The Brief repeatedly calls them “the Treasury Regulations” and “the implementing regulations.”</w:t>
            </w:r>
          </w:p>
          <w:p>
            <w:pPr>
              <w:spacing w:after="60"/>
            </w:pPr>
            <w:r>
              <w:rPr>
                <w:b/>
                <w:i w:val="0"/>
                <w:sz w:val="20"/>
              </w:rPr>
              <w:t>Content.</w:t>
            </w:r>
            <w:r>
              <w:rPr>
                <w:b w:val="0"/>
                <w:i w:val="0"/>
                <w:sz w:val="20"/>
              </w:rPr>
              <w:t xml:space="preserve"> Prop. Treas. Reg. § 1.707-2(c) makes </w:t>
            </w:r>
            <w:r>
              <w:rPr>
                <w:b/>
                <w:i w:val="0"/>
                <w:sz w:val="20"/>
              </w:rPr>
              <w:t>significant entrepreneurial risk</w:t>
            </w:r>
            <w:r>
              <w:rPr>
                <w:b w:val="0"/>
                <w:i w:val="0"/>
                <w:sz w:val="20"/>
              </w:rPr>
              <w:t xml:space="preserve"> the most important factor ((c)(1)) and then lists five secondary factors: whether the service provider (2) holds a transitory or short-duration interest; (3) receives allocations and distributions in a time frame comparable to a non-partner service provider; (4) became a partner primarily to obtain tax benefits not otherwise available; (5) has a continuing interest in general partnership profits that is small relative to the allocation; and (6) receives different allocations for different services with significantly different entrepreneurial risk [cite-check exact text]. The government's Factors (2) (“guaranteed payment or preferred return”), (3) (“converting ordinary income to capital gain”), (5) (“relatively fixed in relation to the services”), and (6) (“subject to a ceiling”) do not appear in the proposed regulation. Several are drawn loosely from the (c)(1) list of facts that create a presumption of insufficient risk, and one is inverted: under the proposed regulation it is a </w:t>
            </w:r>
            <w:r>
              <w:rPr>
                <w:b w:val="0"/>
                <w:i/>
                <w:sz w:val="20"/>
              </w:rPr>
              <w:t>cap</w:t>
            </w:r>
            <w:r>
              <w:rPr>
                <w:b w:val="0"/>
                <w:i w:val="0"/>
                <w:sz w:val="20"/>
              </w:rPr>
              <w:t xml:space="preserve"> (“capped allocations . . . if the cap would reasonably be expected to apply in most years”) that signals insufficient risk, so the </w:t>
            </w:r>
            <w:r>
              <w:rPr>
                <w:b w:val="0"/>
                <w:i/>
                <w:sz w:val="20"/>
              </w:rPr>
              <w:t>absence</w:t>
            </w:r>
            <w:r>
              <w:rPr>
                <w:b w:val="0"/>
                <w:i w:val="0"/>
                <w:sz w:val="20"/>
              </w:rPr>
              <w:t xml:space="preserve"> of a ceiling cannot support recharacterization.</w:t>
            </w:r>
          </w:p>
          <w:p>
            <w:pPr>
              <w:spacing w:after="60"/>
            </w:pPr>
            <w:r>
              <w:rPr>
                <w:b/>
                <w:i w:val="0"/>
                <w:sz w:val="20"/>
              </w:rPr>
              <w:t>Omitted factors favor HCP.</w:t>
            </w:r>
            <w:r>
              <w:rPr>
                <w:b w:val="0"/>
                <w:i w:val="0"/>
                <w:sz w:val="20"/>
              </w:rPr>
              <w:t xml:space="preserve"> The factors the Brief skips are the ones HCP wins: HCP's interest in the Funds (through its wholly owned GPs) is long-term, not transitory; the GPs were partners with carried interests independent of the waiver, so HCP did not “become a partner” to obtain tax benefits; and the value of HCP's continuing interest in general Fund profits (including its 20% carry, Ridgeline § III.A.2 Factor 6) is not small relative to the priority allocations.</w:t>
            </w:r>
          </w:p>
          <w:p>
            <w:pPr>
              <w:spacing w:after="60"/>
            </w:pPr>
            <w:r>
              <w:rPr>
                <w:b/>
                <w:i w:val="0"/>
                <w:sz w:val="20"/>
              </w:rPr>
              <w:t>Imported framework.</w:t>
            </w:r>
            <w:r>
              <w:rPr>
                <w:b w:val="0"/>
                <w:i w:val="0"/>
                <w:sz w:val="20"/>
              </w:rPr>
              <w:t xml:space="preserve"> The § 704(b) transitory-allocation rule (Treas. Reg. § 1.704-1(b)(2)(iii)(c)) asks whether an </w:t>
            </w:r>
            <w:r>
              <w:rPr>
                <w:b w:val="0"/>
                <w:i/>
                <w:sz w:val="20"/>
              </w:rPr>
              <w:t>allocation among partners</w:t>
            </w:r>
            <w:r>
              <w:rPr>
                <w:b w:val="0"/>
                <w:i w:val="0"/>
                <w:sz w:val="20"/>
              </w:rPr>
              <w:t xml:space="preserve"> is likely to be offset by </w:t>
            </w:r>
            <w:r>
              <w:rPr>
                <w:b w:val="0"/>
                <w:i/>
                <w:sz w:val="20"/>
              </w:rPr>
              <w:t>subsequent allocations</w:t>
            </w:r>
            <w:r>
              <w:rPr>
                <w:b w:val="0"/>
                <w:i w:val="0"/>
                <w:sz w:val="20"/>
              </w:rPr>
              <w:t xml:space="preserve"> so that capital accounts end where they would have been. A waived management fee is not a partnership allocation, so it cannot be an “offsetting allocation.” Moreover, the remedy for an allocation lacking substantial economic effect is reallocation in accordance with the partners' interests in the partnership, not recharacterization of capital gain as ordinary income — and the FPAA made no § 704(b) adjustment (Quillen Decl. ¶ 61). The Ridgeline Opinion specifically warned that the two frameworks are “distinct” and “should not be conflated” (§ III.A.4).</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The § 707(a)(2)(A) argument is the government's lead theory. A Court that sees the government has mis-described the test it asks the Court to apply, omitted the factors that favor the taxpayer, and substituted an unrelated framework is unlikely to find the issue suitable for summary judgment.</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Set out the proposed regulation's actual text in a table and walk through each factor, with record citations. Note the regulation's proposed status in one sentence, but argue primarily that HCP prevails even under the IRS's own proposed standard (see caution below).</w:t>
            </w:r>
          </w:p>
          <w:p>
            <w:pPr>
              <w:spacing w:after="60"/>
            </w:pPr>
            <w:r>
              <w:rPr>
                <w:b/>
                <w:i w:val="0"/>
                <w:sz w:val="20"/>
              </w:rPr>
              <w:t>Caution:</w:t>
            </w:r>
            <w:r>
              <w:rPr>
                <w:b w:val="0"/>
                <w:i w:val="0"/>
                <w:sz w:val="20"/>
              </w:rPr>
              <w:t xml:space="preserve"> the Ridgeline Opinion also cites “Treasury Regulations § 1.707-2(c)” as if final and uses its own, non-textual factor labels (e.g., “clawback,” “reasonably certain”). The opposition should rely on the regulatory text, not on Ridgeline's labels, and should not overemphasize the “proposed” point in a way that suggests HCP's adviser misunderstood the law. The (c)(1) presumption list also contains facts the government may invoke in reply (see Issue D-3).</w:t>
            </w:r>
          </w:p>
        </w:tc>
      </w:tr>
    </w:tbl>
    <w:p>
      <w:pPr>
        <w:spacing w:after="40"/>
      </w:pPr>
    </w:p>
    <w:p>
      <w:pPr>
        <w:pStyle w:val="Heading3"/>
      </w:pPr>
      <w:r>
        <w:rPr>
          <w:b w:val="0"/>
          <w:i w:val="0"/>
        </w:rPr>
        <w:t>B-3. The Brief Treats Character Conversion as a “Dispositive” Factor, Which Would Make § 707(a)(2)(A) Swallow § 702(b)</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Arg. IV.A.2, Factor (3): “This factor is dispositive in the present case.” Quoting </w:t>
            </w:r>
            <w:r>
              <w:rPr>
                <w:b w:val="0"/>
                <w:i/>
                <w:sz w:val="20"/>
              </w:rPr>
              <w:t>Pinnacle Partners</w:t>
            </w:r>
            <w:r>
              <w:rPr>
                <w:b w:val="0"/>
                <w:i w:val="0"/>
                <w:sz w:val="20"/>
              </w:rPr>
              <w:t xml:space="preserve"> for the proposition that conversion “weighs heavily.”</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Every allocation of long-term capital gain to a service partner (including every carried interest) “converts” what could have been fee income into capital gain. Section 702(b) prescribes that result for distributive shares, and in § 1061 (2017) Congress addressed carried interest by lengthening the holding period, not by making the income ordinary. A test under which conversion is “dispositive” would recharacterize every carried interest. Character conversion is the </w:t>
            </w:r>
            <w:r>
              <w:rPr>
                <w:b w:val="0"/>
                <w:i/>
                <w:sz w:val="20"/>
              </w:rPr>
              <w:t>consequence</w:t>
            </w:r>
            <w:r>
              <w:rPr>
                <w:b w:val="0"/>
                <w:i w:val="0"/>
                <w:sz w:val="20"/>
              </w:rPr>
              <w:t xml:space="preserve"> of respecting the allocation, not a factor in deciding whether to respect it. The quoted </w:t>
            </w:r>
            <w:r>
              <w:rPr>
                <w:b w:val="0"/>
                <w:i/>
                <w:sz w:val="20"/>
              </w:rPr>
              <w:t>Pinnacle</w:t>
            </w:r>
            <w:r>
              <w:rPr>
                <w:b w:val="0"/>
                <w:i w:val="0"/>
                <w:sz w:val="20"/>
              </w:rPr>
              <w:t xml:space="preserve"> language does not appear in Exhibit 12.</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Undercuts the analytical core of the Brief's § 707(a)(2)(A) section and its § 702(b) section (Issue B-8).</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Pair with the carried-interest contradiction (Issue C-2): the government concedes carried interest receives capital gain treatment, so conversion alone cannot be disqualifying.</w:t>
            </w:r>
          </w:p>
        </w:tc>
      </w:tr>
    </w:tbl>
    <w:p>
      <w:pPr>
        <w:spacing w:after="40"/>
      </w:pPr>
    </w:p>
    <w:p>
      <w:pPr>
        <w:pStyle w:val="Heading3"/>
      </w:pPr>
      <w:r>
        <w:rPr>
          <w:b w:val="0"/>
          <w:i w:val="0"/>
        </w:rPr>
        <w:t xml:space="preserve">B-4. The Brief Misrepresents </w:t>
      </w:r>
      <w:r>
        <w:rPr>
          <w:b w:val="0"/>
          <w:i/>
        </w:rPr>
        <w:t>Pinnacle Partners</w:t>
      </w:r>
      <w:r>
        <w:rPr>
          <w:b w:val="0"/>
          <w:i w:val="0"/>
        </w:rPr>
        <w:t>: The Holding Turned on a Deficit Restoration Obligation and Was Expressly Limited to Its Facts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Arg. IV.A.3: the </w:t>
            </w:r>
            <w:r>
              <w:rPr>
                <w:b w:val="0"/>
                <w:i/>
                <w:sz w:val="20"/>
              </w:rPr>
              <w:t>Pinnacle</w:t>
            </w:r>
            <w:r>
              <w:rPr>
                <w:b w:val="0"/>
                <w:i w:val="0"/>
                <w:sz w:val="20"/>
              </w:rPr>
              <w:t xml:space="preserve"> arrangement was “substantially identical to HCP's Fee Waiver Program”; </w:t>
            </w:r>
            <w:r>
              <w:rPr>
                <w:b w:val="0"/>
                <w:i/>
                <w:sz w:val="20"/>
              </w:rPr>
              <w:t>Pinnacle</w:t>
            </w:r>
            <w:r>
              <w:rPr>
                <w:b w:val="0"/>
                <w:i w:val="0"/>
                <w:sz w:val="20"/>
              </w:rPr>
              <w:t xml:space="preserve"> “categorically establishes that management fee waivers of this type fail to shift meaningful entrepreneurial risk.” Factor (1): </w:t>
            </w:r>
            <w:r>
              <w:rPr>
                <w:b w:val="0"/>
                <w:i/>
                <w:sz w:val="20"/>
              </w:rPr>
              <w:t>Pinnacle</w:t>
            </w:r>
            <w:r>
              <w:rPr>
                <w:b w:val="0"/>
                <w:i w:val="0"/>
                <w:sz w:val="20"/>
              </w:rPr>
              <w:t xml:space="preserve"> found “a substantially identical carry-forward mechanism eliminated meaningful risk.” Part V.B.3–4 (penalty).</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 government's own Exhibit 12 (and Quillen Decl. ¶¶ 75–76) shows the decisive fact was a </w:t>
            </w:r>
            <w:r>
              <w:rPr>
                <w:b/>
                <w:i w:val="0"/>
                <w:sz w:val="20"/>
              </w:rPr>
              <w:t>deficit restoration obligation</w:t>
            </w:r>
            <w:r>
              <w:rPr>
                <w:b w:val="0"/>
                <w:i w:val="0"/>
                <w:sz w:val="20"/>
              </w:rPr>
              <w:t xml:space="preserve"> that “effectively guaranteed that Pinnacle Partners would receive the full amount of the waived fees regardless of the fund's investment performance,” and that “[t]he court emphasizes that its holding is based on the specific facts before it, including the presence of the deficit restoration obligation.” The Brief never mentions the DRO.</w:t>
            </w:r>
          </w:p>
          <w:p>
            <w:pPr>
              <w:spacing w:after="60"/>
            </w:pPr>
            <w:r>
              <w:rPr>
                <w:b w:val="0"/>
                <w:i w:val="0"/>
                <w:sz w:val="20"/>
              </w:rPr>
              <w:t xml:space="preserve">HCP's arrangement has no DRO, guarantee, indemnity, or credit support (Ridgeline Opinion §§ II.H, III.A.2; Election Forms §§ 3–4). Exhibit 12 does not mention any carry-forward provision at all, so the Brief's assertion that </w:t>
            </w:r>
            <w:r>
              <w:rPr>
                <w:b w:val="0"/>
                <w:i/>
                <w:sz w:val="20"/>
              </w:rPr>
              <w:t>Pinnacle</w:t>
            </w:r>
            <w:r>
              <w:rPr>
                <w:b w:val="0"/>
                <w:i w:val="0"/>
                <w:sz w:val="20"/>
              </w:rPr>
              <w:t xml:space="preserve"> involved a “substantially identical carry-forward mechanism” is unsupported by the excerpts the government chose to file.</w:t>
            </w:r>
          </w:p>
          <w:p>
            <w:pPr>
              <w:spacing w:after="60"/>
            </w:pPr>
            <w:r>
              <w:rPr>
                <w:b w:val="0"/>
                <w:i w:val="0"/>
                <w:sz w:val="20"/>
              </w:rPr>
              <w:t xml:space="preserve">The quotations the Brief attributes to </w:t>
            </w:r>
            <w:r>
              <w:rPr>
                <w:b w:val="0"/>
                <w:i/>
                <w:sz w:val="20"/>
              </w:rPr>
              <w:t>Pinnacle</w:t>
            </w:r>
            <w:r>
              <w:rPr>
                <w:b w:val="0"/>
                <w:i w:val="0"/>
                <w:sz w:val="20"/>
              </w:rPr>
              <w:t xml:space="preserve"> (e.g., the carry-forward “ensured that the manager would ultimately receive the full amount”; “a re-labeling exercise designed to achieve a tax result”) do not appear in Exhibit 12. We need the full opinion to determine whether they exist.</w:t>
            </w:r>
          </w:p>
          <w:p>
            <w:pPr>
              <w:spacing w:after="60"/>
            </w:pPr>
            <w:r>
              <w:rPr>
                <w:b w:val="0"/>
                <w:i/>
                <w:sz w:val="20"/>
              </w:rPr>
              <w:t>Pinnacle</w:t>
            </w:r>
            <w:r>
              <w:rPr>
                <w:b w:val="0"/>
                <w:i w:val="0"/>
                <w:sz w:val="20"/>
              </w:rPr>
              <w:t xml:space="preserve"> is a Tax Court memorandum opinion (not precedential even in the Tax Court, and not binding on this Court), and it was decided June 14, 2019 (Quillen Decl. ¶ 71) — after the Ridgeline Opinion and after the TY 2018 and TY 2019 elections were executed.</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 xml:space="preserve">Critical — </w:t>
            </w:r>
            <w:r>
              <w:rPr>
                <w:b w:val="0"/>
                <w:i/>
                <w:sz w:val="20"/>
              </w:rPr>
              <w:t>Pinnacle</w:t>
            </w:r>
            <w:r>
              <w:rPr>
                <w:b w:val="0"/>
                <w:i w:val="0"/>
                <w:sz w:val="20"/>
              </w:rPr>
              <w:t xml:space="preserve"> is the only fee-waiver case the government cites and it anchors both the merits and the penalty arguments (“substantial authority,” negligence). Its own excerpt distinguishes it.</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Quote the two Exhibit 12 passages in full. Argue that </w:t>
            </w:r>
            <w:r>
              <w:rPr>
                <w:b w:val="0"/>
                <w:i/>
                <w:sz w:val="20"/>
              </w:rPr>
              <w:t>Pinnacle</w:t>
            </w:r>
            <w:r>
              <w:rPr>
                <w:b w:val="0"/>
                <w:i w:val="0"/>
                <w:sz w:val="20"/>
              </w:rPr>
              <w:t xml:space="preserve"> supports HCP: by limiting its holding to the DRO, the court implicitly recognized that a fee waiver without a backstop can bear real entrepreneurial risk.</w:t>
            </w:r>
          </w:p>
          <w:p>
            <w:pPr>
              <w:spacing w:after="60"/>
            </w:pPr>
            <w:r>
              <w:rPr>
                <w:b w:val="0"/>
                <w:i w:val="0"/>
                <w:sz w:val="20"/>
              </w:rPr>
              <w:t xml:space="preserve">Obtain and read the complete </w:t>
            </w:r>
            <w:r>
              <w:rPr>
                <w:b w:val="0"/>
                <w:i/>
                <w:sz w:val="20"/>
              </w:rPr>
              <w:t>Pinnacle</w:t>
            </w:r>
            <w:r>
              <w:rPr>
                <w:b w:val="0"/>
                <w:i w:val="0"/>
                <w:sz w:val="20"/>
              </w:rPr>
              <w:t xml:space="preserve"> opinion immediately to verify the government's quotations and pin cites, and to identify any additional distinguishing facts (election timing, binding nature, allocation source). If the quoted language does not exist, say so precisely.</w:t>
            </w:r>
          </w:p>
        </w:tc>
      </w:tr>
    </w:tbl>
    <w:p>
      <w:pPr>
        <w:spacing w:after="40"/>
      </w:pPr>
    </w:p>
    <w:p>
      <w:pPr>
        <w:pStyle w:val="Heading3"/>
      </w:pPr>
      <w:r>
        <w:rPr>
          <w:b w:val="0"/>
          <w:i w:val="0"/>
        </w:rPr>
        <w:t>B-5. The § 707(c) Guaranteed-Payment Remedy Is Legally Unavailable and Is Not the Basis of the FPAA</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Part V.A: “The priority allocations are, in substance, guaranteed payments within the meaning of IRC § 707(c). They were determined without regard to the partnership's income . . . . Recharacterization of the priority allocations as guaranteed payments is therefore the appropriate remedy.” Ashford Decl. ¶¶ 37–48 (Opinion 2).</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Section 707(c) reaches only payments “determined without regard to the income of the partnership.” The priority allocation is payable “solely from the Fund's net long-term capital gains” (Election Forms § 3), and if there are none the allocation is zero for that year and may never be paid. The government concedes as much (SUMF ¶ 10: “payable solely from realized long-term capital gains”), and Professor Ashford acknowledges that the allocations “appear to be ‘determined with regard to the income of the partnership’” (¶ 42). An amount computed by reference to partnership income is a distributive share, not a guaranteed payment [cite-check: Treas. Reg. § 1.707-1(c)].</w:t>
            </w:r>
          </w:p>
          <w:p>
            <w:pPr>
              <w:spacing w:after="60"/>
            </w:pPr>
            <w:r>
              <w:rPr>
                <w:b w:val="0"/>
                <w:i w:val="0"/>
                <w:sz w:val="20"/>
              </w:rPr>
              <w:t>Sections 707(a) and 707(c) are mutually exclusive: § 707(a)(2)(A) treats the recipient as a non-partner; § 707(c) treats the recipient as a partner receiving a fixed payment. The Brief asks for both.</w:t>
            </w:r>
          </w:p>
          <w:p>
            <w:pPr>
              <w:spacing w:after="60"/>
            </w:pPr>
            <w:r>
              <w:rPr>
                <w:b w:val="0"/>
                <w:i w:val="0"/>
                <w:sz w:val="20"/>
              </w:rPr>
              <w:t>The FPAA rests on § 707(a)(2)(A) and economic substance (Quillen Decl. ¶ 61). A § 707(c) recharacterization is a new theory on which the government should bear the burden (Issue B-15).</w:t>
            </w:r>
          </w:p>
          <w:p>
            <w:pPr>
              <w:spacing w:after="60"/>
            </w:pPr>
            <w:r>
              <w:rPr>
                <w:b w:val="0"/>
                <w:i w:val="0"/>
                <w:sz w:val="20"/>
              </w:rPr>
              <w:t>A guaranteed-payment remedy would carry correlative consequences the government ignores (a § 162 deduction or § 263 capitalization at the Fund level, which reduces the LPs' gains). The government seeks only the one-sided adjustment to HCP.</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The remedy section is where the government tells the Court what judgment to enter. A remedy that is unavailable as a matter of statutory text, and inconsistent with the liability theory, is a strong reason to deny the motion as framed.</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Argue that, because the government itself cannot identify which provision governs the recharacterization, it has not shown entitlement to judgment as a matter of law. Use the statutory text and Ashford ¶ 42's concession.</w:t>
            </w:r>
          </w:p>
        </w:tc>
      </w:tr>
    </w:tbl>
    <w:p>
      <w:pPr>
        <w:spacing w:after="40"/>
      </w:pPr>
    </w:p>
    <w:p>
      <w:pPr>
        <w:pStyle w:val="Heading3"/>
      </w:pPr>
      <w:r>
        <w:rPr>
          <w:b w:val="0"/>
          <w:i w:val="0"/>
        </w:rPr>
        <w:t>B-6. The Economic Substance Argument Does Not Satisfy § 7701(o) or Address Second Circuit Law</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Arg. IV.C (relying on </w:t>
            </w:r>
            <w:r>
              <w:rPr>
                <w:b w:val="0"/>
                <w:i/>
                <w:sz w:val="20"/>
              </w:rPr>
              <w:t>Gregory</w:t>
            </w:r>
            <w:r>
              <w:rPr>
                <w:b w:val="0"/>
                <w:i w:val="0"/>
                <w:sz w:val="20"/>
              </w:rPr>
              <w:t xml:space="preserve">, </w:t>
            </w:r>
            <w:r>
              <w:rPr>
                <w:b w:val="0"/>
                <w:i/>
                <w:sz w:val="20"/>
              </w:rPr>
              <w:t>ASA Investerings</w:t>
            </w:r>
            <w:r>
              <w:rPr>
                <w:b w:val="0"/>
                <w:i w:val="0"/>
                <w:sz w:val="20"/>
              </w:rPr>
              <w:t xml:space="preserve"> (D.C. Cir.), </w:t>
            </w:r>
            <w:r>
              <w:rPr>
                <w:b w:val="0"/>
                <w:i/>
                <w:sz w:val="20"/>
              </w:rPr>
              <w:t>Frank Lyon</w:t>
            </w:r>
            <w:r>
              <w:rPr>
                <w:b w:val="0"/>
                <w:i w:val="0"/>
                <w:sz w:val="20"/>
              </w:rPr>
              <w:t xml:space="preserve">; TOA also lists </w:t>
            </w:r>
            <w:r>
              <w:rPr>
                <w:b w:val="0"/>
                <w:i/>
                <w:sz w:val="20"/>
              </w:rPr>
              <w:t>Coltec</w:t>
            </w:r>
            <w:r>
              <w:rPr>
                <w:b w:val="0"/>
                <w:i w:val="0"/>
                <w:sz w:val="20"/>
              </w:rPr>
              <w:t xml:space="preserve"> (Fed. Cir.) and </w:t>
            </w:r>
            <w:r>
              <w:rPr>
                <w:b w:val="0"/>
                <w:i/>
                <w:sz w:val="20"/>
              </w:rPr>
              <w:t>Klamath</w:t>
            </w:r>
            <w:r>
              <w:rPr>
                <w:b w:val="0"/>
                <w:i w:val="0"/>
                <w:sz w:val="20"/>
              </w:rPr>
              <w:t xml:space="preserve"> (5th Cir.)). Ashford Decl. ¶ 27 (“I focus primarily on whether HCP had a substantial non-tax business purpose”).</w:t>
            </w:r>
          </w:p>
        </w:tc>
      </w:tr>
      <w:tr>
        <w:tc>
          <w:tcPr>
            <w:tcW w:type="dxa" w:w="1944"/>
            <w:shd w:val="clear" w:color="auto" w:fill="EDEDED"/>
          </w:tcPr>
          <w:p>
            <w:r/>
            <w:r>
              <w:rPr>
                <w:b/>
                <w:i w:val="0"/>
                <w:sz w:val="20"/>
              </w:rPr>
              <w:t>Why it is wrong or vulnerable</w:t>
            </w:r>
          </w:p>
        </w:tc>
        <w:tc>
          <w:tcPr>
            <w:tcW w:type="dxa" w:w="7416"/>
          </w:tcPr>
          <w:p>
            <w:pPr>
              <w:spacing w:after="60"/>
            </w:pPr>
            <w:r/>
            <w:r>
              <w:rPr>
                <w:b/>
                <w:i w:val="0"/>
                <w:sz w:val="20"/>
              </w:rPr>
              <w:t>No relevance analysis.</w:t>
            </w:r>
            <w:r>
              <w:rPr>
                <w:b w:val="0"/>
                <w:i w:val="0"/>
                <w:sz w:val="20"/>
              </w:rPr>
              <w:t xml:space="preserve"> Section 7701(o)(5)(C) provides that whether the doctrine is “relevant” to a transaction is determined as if § 7701(o) had never been enacted. The Brief simply assumes relevance. The legislative history (Joint Committee on Taxation, JCX-18-10, at 152–53 (2010) [cite-check]) states that codification was not intended to disturb basic business choices respected under longstanding practice. The choice between taking compensation as a fee or as a profits-based partnership allocation is precisely such a choice; Congress has repeatedly legislated in this space (§§ 707(a)(2)(A), 1061) without treating profit-share compensation as lacking substance. LB&amp;I's own directive requires examiners to analyze relevance and obtain executive-level approval before asserting the codified doctrine [cite-check: LB&amp;I-4-0711-015 (July 15, 2011), as updated]; the record is silent on compliance.</w:t>
            </w:r>
          </w:p>
          <w:p>
            <w:pPr>
              <w:spacing w:after="60"/>
            </w:pPr>
            <w:r>
              <w:rPr>
                <w:b/>
                <w:i w:val="0"/>
                <w:sz w:val="20"/>
              </w:rPr>
              <w:t>Objective prong never analyzed.</w:t>
            </w:r>
            <w:r>
              <w:rPr>
                <w:b w:val="0"/>
                <w:i w:val="0"/>
                <w:sz w:val="20"/>
              </w:rPr>
              <w:t xml:space="preserve"> Section 7701(o)(1)(A) asks whether the transaction changes the taxpayer's economic position in a meaningful way. The Brief's analysis is almost entirely about purpose (“The Fee Waiver Arrangement Lacks a Genuine Business Purpose”), followed by a conclusory sentence that nothing changed (Arg. IV.C.3). The record shows that HCP exchanged a fixed fee payable regardless of performance for an unsecured, non-interest-bearing claim subordinated to the realization of net long-term capital gains and extinguished on liquidation — and, for Fund V, actually received nothing (Issue A-3).</w:t>
            </w:r>
          </w:p>
          <w:p>
            <w:pPr>
              <w:spacing w:after="60"/>
            </w:pPr>
            <w:r>
              <w:rPr>
                <w:b/>
                <w:i w:val="0"/>
                <w:sz w:val="20"/>
              </w:rPr>
              <w:t>Purpose prong misstated.</w:t>
            </w:r>
            <w:r>
              <w:rPr>
                <w:b w:val="0"/>
                <w:i w:val="0"/>
                <w:sz w:val="20"/>
              </w:rPr>
              <w:t xml:space="preserve"> The statute requires “a substantial purpose” apart from tax effects, not the absence of a tax purpose. The Brief repeatedly argues that tax savings were the “sole” purpose, but its citations do not support that, and the Ridgeline Opinion documents three non-tax purposes (Issue A-14). Purpose and intent are classic jury-type questions ill-suited to summary judgment.</w:t>
            </w:r>
          </w:p>
          <w:p>
            <w:pPr>
              <w:spacing w:after="60"/>
            </w:pPr>
            <w:r>
              <w:rPr>
                <w:b/>
                <w:i w:val="0"/>
                <w:sz w:val="20"/>
              </w:rPr>
              <w:t>Wrong circuit.</w:t>
            </w:r>
            <w:r>
              <w:rPr>
                <w:b w:val="0"/>
                <w:i w:val="0"/>
                <w:sz w:val="20"/>
              </w:rPr>
              <w:t xml:space="preserve"> The Brief cites no Second Circuit economic substance authority. The opposition should address </w:t>
            </w:r>
            <w:r>
              <w:rPr>
                <w:b w:val="0"/>
                <w:i/>
                <w:sz w:val="20"/>
              </w:rPr>
              <w:t>Gilman v. Commissioner</w:t>
            </w:r>
            <w:r>
              <w:rPr>
                <w:b w:val="0"/>
                <w:i w:val="0"/>
                <w:sz w:val="20"/>
              </w:rPr>
              <w:t xml:space="preserve">, 933 F.2d 143 (2d Cir. 1991), and </w:t>
            </w:r>
            <w:r>
              <w:rPr>
                <w:b w:val="0"/>
                <w:i/>
                <w:sz w:val="20"/>
              </w:rPr>
              <w:t>Bank of New York Mellon Corp. v. Commissioner</w:t>
            </w:r>
            <w:r>
              <w:rPr>
                <w:b w:val="0"/>
                <w:i w:val="0"/>
                <w:sz w:val="20"/>
              </w:rPr>
              <w:t xml:space="preserve">, 801 F.3d 104 (2d Cir. 2015) [cite-check]. (Note: </w:t>
            </w:r>
            <w:r>
              <w:rPr>
                <w:b w:val="0"/>
                <w:i/>
                <w:sz w:val="20"/>
              </w:rPr>
              <w:t>BNY Mellon</w:t>
            </w:r>
            <w:r>
              <w:rPr>
                <w:b w:val="0"/>
                <w:i w:val="0"/>
                <w:sz w:val="20"/>
              </w:rPr>
              <w:t xml:space="preserve"> is pro-government on its facts and emphasizes pre-tax profit potential; we should distinguish it rather than ignore it.) </w:t>
            </w:r>
            <w:r>
              <w:rPr>
                <w:b w:val="0"/>
                <w:i/>
                <w:sz w:val="20"/>
              </w:rPr>
              <w:t>Frank Lyon</w:t>
            </w:r>
            <w:r>
              <w:rPr>
                <w:b w:val="0"/>
                <w:i w:val="0"/>
                <w:sz w:val="20"/>
              </w:rPr>
              <w:t xml:space="preserve"> in fact supports respecting the form of a transaction “imbued with tax-independent considerations” and involving genuine third-party economic stakes.</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Economic substance is the government's broadest theory and the predicate for its § 7701(o)-based penalty argument. The missing relevance and objective-prong analyses are legal deficiencies, and the purpose prong presents a fact dispute.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Structure the response in three steps: (1) the doctrine is not relevant to a choice of compensation form within a statutory regime Congress has specifically addressed; (2) even if relevant, the objective prong is satisfied as a matter of record fact (Fund V; liquidation cut-off; subordination); (3) the purpose prong presents, at minimum, a genuine dispute (Ridgeline § III.C.3; declarations of Hargrove, Sato, LP witness).</w:t>
            </w:r>
          </w:p>
          <w:p>
            <w:pPr>
              <w:spacing w:after="60"/>
            </w:pPr>
            <w:r>
              <w:rPr>
                <w:b w:val="0"/>
                <w:i w:val="0"/>
                <w:sz w:val="20"/>
              </w:rPr>
              <w:t>Request, through discovery or a Rule 56(d) declaration if needed, any LB&amp;I relevance analysis and approval for asserting the doctrine.</w:t>
            </w:r>
          </w:p>
        </w:tc>
      </w:tr>
    </w:tbl>
    <w:p>
      <w:pPr>
        <w:spacing w:after="40"/>
      </w:pPr>
    </w:p>
    <w:p>
      <w:pPr>
        <w:pStyle w:val="Heading3"/>
      </w:pPr>
      <w:r>
        <w:rPr>
          <w:b w:val="0"/>
          <w:i w:val="0"/>
        </w:rPr>
        <w:t>B-7. The Step Transaction Argument Collapses Steps That Never Occurred and Relies on Misattributed Authority</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Arg. IV.E: the four “steps” are (1) waiver, (2) non-payment of the fee, (3) priority allocation, and (4) “the Fund distributes cash to HCP in satisfaction of the priority allocation”; “[w]hen collapsed . . . the multi-step arrangement reduces to a single transaction: the payment of ordinary management fee income.” Citing </w:t>
            </w:r>
            <w:r>
              <w:rPr>
                <w:b w:val="0"/>
                <w:i/>
                <w:sz w:val="20"/>
              </w:rPr>
              <w:t>Gregory v. Helvering</w:t>
            </w:r>
            <w:r>
              <w:rPr>
                <w:b w:val="0"/>
                <w:i w:val="0"/>
                <w:sz w:val="20"/>
              </w:rPr>
              <w:t xml:space="preserve"> and </w:t>
            </w:r>
            <w:r>
              <w:rPr>
                <w:b w:val="0"/>
                <w:i/>
                <w:sz w:val="20"/>
              </w:rPr>
              <w:t>Klamath</w:t>
            </w:r>
            <w:r>
              <w:rPr>
                <w:b w:val="0"/>
                <w:i w:val="0"/>
                <w:sz w:val="20"/>
              </w:rPr>
              <w:t>, 568 F.3d at 544.</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 step transaction doctrine combines steps that actually occurred to determine their tax effect; it does not authorize the IRS to invent a step (here, payment of a management fee) that never happened. </w:t>
            </w:r>
            <w:r>
              <w:rPr>
                <w:b w:val="0"/>
                <w:i/>
                <w:sz w:val="20"/>
              </w:rPr>
              <w:t>See Grove v. Commissioner</w:t>
            </w:r>
            <w:r>
              <w:rPr>
                <w:b w:val="0"/>
                <w:i w:val="0"/>
                <w:sz w:val="20"/>
              </w:rPr>
              <w:t xml:space="preserve">, 490 F.2d 241, 247–48 (2d Cir. 1973); </w:t>
            </w:r>
            <w:r>
              <w:rPr>
                <w:b w:val="0"/>
                <w:i/>
                <w:sz w:val="20"/>
              </w:rPr>
              <w:t>Esmark, Inc. v. Commissioner</w:t>
            </w:r>
            <w:r>
              <w:rPr>
                <w:b w:val="0"/>
                <w:i w:val="0"/>
                <w:sz w:val="20"/>
              </w:rPr>
              <w:t xml:space="preserve">, 90 T.C. 171, 195–96 (1988), </w:t>
            </w:r>
            <w:r>
              <w:rPr>
                <w:b w:val="0"/>
                <w:i/>
                <w:sz w:val="20"/>
              </w:rPr>
              <w:t>aff'd</w:t>
            </w:r>
            <w:r>
              <w:rPr>
                <w:b w:val="0"/>
                <w:i w:val="0"/>
                <w:sz w:val="20"/>
              </w:rPr>
              <w:t xml:space="preserve">, 886 F.2d 1318 (7th Cir. 1989) [cite-check]. Collapsing a fee </w:t>
            </w:r>
            <w:r>
              <w:rPr>
                <w:b w:val="0"/>
                <w:i/>
                <w:sz w:val="20"/>
              </w:rPr>
              <w:t>waiver</w:t>
            </w:r>
            <w:r>
              <w:rPr>
                <w:b w:val="0"/>
                <w:i w:val="0"/>
                <w:sz w:val="20"/>
              </w:rPr>
              <w:t xml:space="preserve"> and a contingent allocation does not yield a fee payment.</w:t>
            </w:r>
          </w:p>
          <w:p>
            <w:pPr>
              <w:spacing w:after="60"/>
            </w:pPr>
            <w:r>
              <w:rPr>
                <w:b w:val="0"/>
                <w:i w:val="0"/>
                <w:sz w:val="20"/>
              </w:rPr>
              <w:t>The record contains no evidence of step (4). Neither declaration identifies any cash distribution; Quillen describes only allocations reflected on capital account statements (¶¶ 28, 42–43). For Fund V there was neither an allocation nor a distribution.</w:t>
            </w:r>
          </w:p>
          <w:p>
            <w:pPr>
              <w:spacing w:after="60"/>
            </w:pPr>
            <w:r>
              <w:rPr>
                <w:b w:val="0"/>
                <w:i/>
                <w:sz w:val="20"/>
              </w:rPr>
              <w:t>Klamath</w:t>
            </w:r>
            <w:r>
              <w:rPr>
                <w:b w:val="0"/>
                <w:i w:val="0"/>
                <w:sz w:val="20"/>
              </w:rPr>
              <w:t xml:space="preserve"> is a Fifth Circuit economic substance case about leveraged foreign-currency transactions; the Brief's quotation of the “mutual interdependence” and “end result” tests at 568 F.3d at 544 should be verified, as I do not believe </w:t>
            </w:r>
            <w:r>
              <w:rPr>
                <w:b w:val="0"/>
                <w:i/>
                <w:sz w:val="20"/>
              </w:rPr>
              <w:t>Klamath</w:t>
            </w:r>
            <w:r>
              <w:rPr>
                <w:b w:val="0"/>
                <w:i w:val="0"/>
                <w:sz w:val="20"/>
              </w:rPr>
              <w:t xml:space="preserve"> is a step-transaction authority. </w:t>
            </w:r>
            <w:r>
              <w:rPr>
                <w:b w:val="0"/>
                <w:i/>
                <w:sz w:val="20"/>
              </w:rPr>
              <w:t>Gregory</w:t>
            </w:r>
            <w:r>
              <w:rPr>
                <w:b w:val="0"/>
                <w:i w:val="0"/>
                <w:sz w:val="20"/>
              </w:rPr>
              <w:t xml:space="preserve"> is a substance-over-form case. The Brief cites no Second Circuit step-transaction authority [consider </w:t>
            </w:r>
            <w:r>
              <w:rPr>
                <w:b w:val="0"/>
                <w:i/>
                <w:sz w:val="20"/>
              </w:rPr>
              <w:t>Greene v. United States</w:t>
            </w:r>
            <w:r>
              <w:rPr>
                <w:b w:val="0"/>
                <w:i w:val="0"/>
                <w:sz w:val="20"/>
              </w:rPr>
              <w:t>, 13 F.3d 577 (2d Cir. 1994) (cite-check)].</w:t>
            </w:r>
          </w:p>
          <w:p>
            <w:pPr>
              <w:spacing w:after="60"/>
            </w:pPr>
            <w:r>
              <w:rPr>
                <w:b w:val="0"/>
                <w:i w:val="0"/>
                <w:sz w:val="20"/>
              </w:rPr>
              <w:t>The Brief names the “binding commitment” test but never applies it, and the “end result” test turns on subjective intent — again a fact question.</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The step transaction theory is pleaded as “alternative and supplementary” and is unlikely to drive the outcome, but its defects reinforce the theme that the government is stacking theories without analysis.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Address briefly (one to two pages). Emphasize the absence of distribution evidence (which also matters for § 707(a)(2)(A), which requires a related “allocation </w:t>
            </w:r>
            <w:r>
              <w:rPr>
                <w:b w:val="0"/>
                <w:i/>
                <w:sz w:val="20"/>
              </w:rPr>
              <w:t>and distribution</w:t>
            </w:r>
            <w:r>
              <w:rPr>
                <w:b w:val="0"/>
                <w:i w:val="0"/>
                <w:sz w:val="20"/>
              </w:rPr>
              <w:t>”) and the doctrine's inability to create a fee payment that was never made.</w:t>
            </w:r>
          </w:p>
        </w:tc>
      </w:tr>
    </w:tbl>
    <w:p>
      <w:pPr>
        <w:spacing w:after="40"/>
      </w:pPr>
    </w:p>
    <w:p>
      <w:pPr>
        <w:pStyle w:val="Heading3"/>
      </w:pPr>
      <w:r>
        <w:rPr>
          <w:b w:val="0"/>
          <w:i w:val="0"/>
        </w:rPr>
        <w:t>B-8. The § 702(b) Argument Is Not an Independent Ground and Misplaces the “Cherry-Picking” Concern</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IV.D: the priority allocations “do not properly qualify as long-term capital gains . . . under IRC § 702(b)”; “This character cherry-picking is not consistent with the principles of IRC § 702(b) when the underlying allocation is, as the government has demonstrated, a disguised payment for services.”</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government concedes that the Funds' gains are long-term capital gains and that § 702(b) determines the character of a distributive share at the partnership level. Its argument is expressly derivative: it applies only if the allocation is “in substance compensation for services.” It therefore adds nothing to the § 707(a)(2)(A) analysis. Whether a partnership may specially allocate a particular class of income to a partner is governed by § 704(b), and the government has not shown (apart from the misapplied transitory-allocation argument) that the allocation lacks substantial economic effect. The hypotheticals about dividends and tax-exempt interest are not this case.</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Low risk on its own; useful to show the Court that the government's “five independent theories” reduce to one or two.</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Argue in a short section that § 702(b) “rises and falls” with § 707(a)(2)(A). Note the Conclusion's characterization that HCP “improperly invoked” § 702(b) is not an independent basis for judgment.</w:t>
            </w:r>
          </w:p>
        </w:tc>
      </w:tr>
    </w:tbl>
    <w:p>
      <w:pPr>
        <w:spacing w:after="40"/>
      </w:pPr>
    </w:p>
    <w:p>
      <w:pPr>
        <w:pStyle w:val="Heading3"/>
      </w:pPr>
      <w:r>
        <w:rPr>
          <w:b w:val="0"/>
          <w:i w:val="0"/>
        </w:rPr>
        <w:t>B-9. The Brief Misuses § 1061, Which Reflects a Congressional Choice to Preserve Capital Gain Treatment for Profits Interests Held More Than Three Years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IV.B: § 1061 “reflects a broader Congressional policy judgment that gains derived from fund management activities should not automatically receive preferential capital gains treatment.”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In the Tax Cuts and Jobs Act of 2017, Congress considered the treatment of carried interest and chose to </w:t>
            </w:r>
            <w:r>
              <w:rPr>
                <w:b w:val="0"/>
                <w:i/>
                <w:sz w:val="20"/>
              </w:rPr>
              <w:t>retain</w:t>
            </w:r>
            <w:r>
              <w:rPr>
                <w:b w:val="0"/>
                <w:i w:val="0"/>
                <w:sz w:val="20"/>
              </w:rPr>
              <w:t xml:space="preserve"> long-term capital gain treatment for applicable partnership interests, subject to a three-year holding period. It did not recharacterize such gains as ordinary income, and it did not legislate on fee waivers (the Brief concedes § 1061 “does not directly apply”). Treasury's 2015 fee-waiver proposals likewise remain unfinalized. If anything, the legislative and regulatory history shows that the policy the government asks this Court to impose has been considered and not adopted.</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Turns one of the government's policy arguments against it and supports the substantial-authority defense.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Use in the carried-interest response and the penalty section. </w:t>
            </w:r>
            <w:r>
              <w:rPr>
                <w:b/>
                <w:i w:val="0"/>
                <w:sz w:val="20"/>
              </w:rPr>
              <w:t>Caution:</w:t>
            </w:r>
            <w:r>
              <w:rPr>
                <w:b w:val="0"/>
                <w:i w:val="0"/>
                <w:sz w:val="20"/>
              </w:rPr>
              <w:t xml:space="preserve"> do not invite a § 1061 analysis of the priority allocations themselves (Issue D-13).</w:t>
            </w:r>
          </w:p>
        </w:tc>
      </w:tr>
    </w:tbl>
    <w:p>
      <w:pPr>
        <w:spacing w:after="40"/>
      </w:pPr>
    </w:p>
    <w:p>
      <w:pPr>
        <w:pStyle w:val="Heading3"/>
      </w:pPr>
      <w:r>
        <w:rPr>
          <w:b w:val="0"/>
          <w:i w:val="0"/>
        </w:rPr>
        <w:t>B-10. The Penalty Argument Misquotes § 7701(o)(5)(A) and Relies on a No-Fault Economic Substance Penalty the FPAA Did Not Assert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Part V.B.3: “Section 7701(o)(5)(A) provides that ‘[n]o penalty shall be imposed under [§ 6662] with respect to any portion of an underpayment which is attributable to one or more non-economic substance transactions if — (i) the relevant facts . . . are adequately disclosed . . . and (ii) there is a reasonable basis for the tax treatment.’ HCP did not adequately disclose the fee waiver arrangement on its returns.”</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Section 7701(o)(5)(A) is a </w:t>
            </w:r>
            <w:r>
              <w:rPr>
                <w:b w:val="0"/>
                <w:i/>
                <w:sz w:val="20"/>
              </w:rPr>
              <w:t>definition</w:t>
            </w:r>
            <w:r>
              <w:rPr>
                <w:b w:val="0"/>
                <w:i w:val="0"/>
                <w:sz w:val="20"/>
              </w:rPr>
              <w:t xml:space="preserve"> (“The term ‘economic substance doctrine’ means the common law doctrine . . .”). It contains no penalty rule. The penalty for transactions lacking economic substance is in § 6662(b)(6) (20%), increased to 40% for nondisclosed transactions by § 6662(i), with the reasonable cause defense removed by § 6664(c)(2). The quoted “reasonable basis” exception does not appear in the enacted statute.</w:t>
            </w:r>
          </w:p>
          <w:p>
            <w:pPr>
              <w:spacing w:after="60"/>
            </w:pPr>
            <w:r>
              <w:rPr>
                <w:b w:val="0"/>
                <w:i w:val="0"/>
                <w:sz w:val="20"/>
              </w:rPr>
              <w:t>The FPAA asserted the penalty only on substantial understatement and/or negligence grounds (§ 6662(b)(1)–(2)); it did not assert § 6662(b)(6) or (i) (Quillen Decl. ¶ 62; SUMF ¶ 30). The government cannot obtain summary judgment on a penalty ground not determined in the FPAA, and it would bear the burden on any such new matter.</w:t>
            </w:r>
          </w:p>
          <w:p>
            <w:pPr>
              <w:spacing w:after="60"/>
            </w:pPr>
            <w:r>
              <w:rPr>
                <w:b w:val="0"/>
                <w:i w:val="0"/>
                <w:sz w:val="20"/>
              </w:rPr>
              <w:t>The assertion that HCP “did not adequately disclose” has no record citation.</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If the Court were to accept the misquoted provision, it could conclude that reasonable cause is unavailable — the most dangerous penalty outcome for HCP. Correcting it keeps the reasonable cause defense fully in play.</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Quote §§ 7701(o)(5)(A), 6662(b)(6), 6662(i) and 6664(c)(2) accurately and note that none was asserted. Confirm in the FPAA itself (Ex. 14 is only workpapers; obtain the FPAA and penalty lead sheet) that no (b)(6) penalty was determined.</w:t>
            </w:r>
          </w:p>
          <w:p>
            <w:pPr>
              <w:spacing w:after="60"/>
            </w:pPr>
            <w:r>
              <w:rPr>
                <w:b w:val="0"/>
                <w:i w:val="0"/>
                <w:sz w:val="20"/>
              </w:rPr>
              <w:t>Review the TY 2018–2020 returns for any disclosure (e.g., Form 8275, statements, K-1 footnotes) in case the government pursues the point in reply.</w:t>
            </w:r>
          </w:p>
        </w:tc>
      </w:tr>
    </w:tbl>
    <w:p>
      <w:pPr>
        <w:spacing w:after="40"/>
      </w:pPr>
    </w:p>
    <w:p>
      <w:pPr>
        <w:pStyle w:val="Heading3"/>
      </w:pPr>
      <w:r>
        <w:rPr>
          <w:b w:val="0"/>
          <w:i w:val="0"/>
        </w:rPr>
        <w:t>B-11. The Brief Ignores the Reasonable Cause and Good Faith Defense Under § 6664(c)(1)</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Part V.B (entire penalty section). The Table of Authorities lists § 6664(c) (p. 42) and </w:t>
            </w:r>
            <w:r>
              <w:rPr>
                <w:b w:val="0"/>
                <w:i/>
                <w:sz w:val="20"/>
              </w:rPr>
              <w:t>United States v. Boyle</w:t>
            </w:r>
            <w:r>
              <w:rPr>
                <w:b w:val="0"/>
                <w:i w:val="0"/>
                <w:sz w:val="20"/>
              </w:rPr>
              <w:t xml:space="preserve"> (p. 41), but neither is discussed in the text.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No accuracy-related penalty may be imposed where the taxpayer shows reasonable cause and good faith. § 6664(c)(1); Treas. Reg. § 1.6664-4(b)–(c). Reliance on professional advice qualifies where (1) the adviser was a competent professional with sufficient expertise to justify reliance, (2) the taxpayer provided necessary and accurate information, and (3) the taxpayer actually relied in good faith. </w:t>
            </w:r>
            <w:r>
              <w:rPr>
                <w:b w:val="0"/>
                <w:i/>
                <w:sz w:val="20"/>
              </w:rPr>
              <w:t>Neonatology Assocs., P.A. v. Commissioner</w:t>
            </w:r>
            <w:r>
              <w:rPr>
                <w:b w:val="0"/>
                <w:i w:val="0"/>
                <w:sz w:val="20"/>
              </w:rPr>
              <w:t xml:space="preserve">, 115 T.C. 43, 99 (2000), </w:t>
            </w:r>
            <w:r>
              <w:rPr>
                <w:b w:val="0"/>
                <w:i/>
                <w:sz w:val="20"/>
              </w:rPr>
              <w:t>aff'd</w:t>
            </w:r>
            <w:r>
              <w:rPr>
                <w:b w:val="0"/>
                <w:i w:val="0"/>
                <w:sz w:val="20"/>
              </w:rPr>
              <w:t>, 299 F.3d 221 (3d Cir. 2002) [cite-check].</w:t>
            </w:r>
          </w:p>
          <w:p>
            <w:pPr>
              <w:spacing w:after="60"/>
            </w:pPr>
            <w:r>
              <w:rPr>
                <w:b w:val="0"/>
                <w:i w:val="0"/>
                <w:sz w:val="20"/>
              </w:rPr>
              <w:t>The government's own declarant establishes much of the defense: HCP “sought professional tax advice regarding the proposed structure before implementing it” (Quillen Decl. ¶ 67); the opinion was a written, reasoned, “more likely than not” opinion addressing §§ 707(a)(2)(A), 707(c), 7701(o), Rev. Proc. 93-27 and 702(b) (¶¶ 64–66, 69); it preceded the first election by six to seven weeks (¶ 65); and HCP asserted reasonable cause in its protest (¶ 70).</w:t>
            </w:r>
          </w:p>
          <w:p>
            <w:pPr>
              <w:spacing w:after="60"/>
            </w:pPr>
            <w:r>
              <w:rPr>
                <w:b w:val="0"/>
                <w:i w:val="0"/>
                <w:sz w:val="20"/>
              </w:rPr>
              <w:t>Reasonable cause is determined case by case on all facts and circumstances (Treas. Reg. § 1.6664-4(b)(1)) and is ordinarily unsuitable for summary judgment, particularly against the taxpayer.</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The government has not carried its burden of showing the absence of a genuine dispute on the penalty. This is likely the easiest part of the motion to defeat, even if the Court were inclined toward the government on the merits.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Devote a full section to reasonable cause, supported by declarations from Hargrove and Sato (reliance, information provided) and, if strategically appropriate, Moreau. Address the vulnerabilities in Issue D-10 directly rather than leaving them for reply.</w:t>
            </w:r>
          </w:p>
          <w:p>
            <w:pPr>
              <w:spacing w:after="60"/>
            </w:pPr>
            <w:r>
              <w:rPr>
                <w:b w:val="0"/>
                <w:i w:val="0"/>
                <w:sz w:val="20"/>
              </w:rPr>
              <w:t>Anticipate that the TOA entries signal a reasonable-cause rebuttal held back for reply (Issue C-11). Consider whether to request leave for a sur-reply if new penalty arguments appear.</w:t>
            </w:r>
          </w:p>
        </w:tc>
      </w:tr>
    </w:tbl>
    <w:p>
      <w:pPr>
        <w:spacing w:after="40"/>
      </w:pPr>
    </w:p>
    <w:p>
      <w:pPr>
        <w:pStyle w:val="Heading3"/>
      </w:pPr>
      <w:r>
        <w:rPr>
          <w:b w:val="0"/>
          <w:i w:val="0"/>
        </w:rPr>
        <w:t>B-12. The Government Has Not Shown Written Supervisory Approval of the Penalty Under § 6751(b)</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Part V.B; Quillen Decl. ¶¶ 57–62 (no reference to penalty approval).</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Section 6751(b)(1) requires that the “initial determination” of a penalty be “personally approved (in writing) by the immediate supervisor of the individual making such determination.” In the Second Circuit, approval must be obtained no later than the issuance of the notice asserting the penalty. </w:t>
            </w:r>
            <w:r>
              <w:rPr>
                <w:b w:val="0"/>
                <w:i/>
                <w:sz w:val="20"/>
              </w:rPr>
              <w:t>Chai v. Commissioner</w:t>
            </w:r>
            <w:r>
              <w:rPr>
                <w:b w:val="0"/>
                <w:i w:val="0"/>
                <w:sz w:val="20"/>
              </w:rPr>
              <w:t xml:space="preserve">, 851 F.3d 190, 221 (2d Cir. 2017) [cite-check]. Quillen describes group-manager approval of the </w:t>
            </w:r>
            <w:r>
              <w:rPr>
                <w:b w:val="0"/>
                <w:i/>
                <w:sz w:val="20"/>
              </w:rPr>
              <w:t>expansion</w:t>
            </w:r>
            <w:r>
              <w:rPr>
                <w:b w:val="0"/>
                <w:i w:val="0"/>
                <w:sz w:val="20"/>
              </w:rPr>
              <w:t xml:space="preserve"> of the examination (¶ 57), but says nothing about penalty approval. Note that § 7491(c) (burden of production) does not apply in partnership-level proceedings, </w:t>
            </w:r>
            <w:r>
              <w:rPr>
                <w:b w:val="0"/>
                <w:i/>
                <w:sz w:val="20"/>
              </w:rPr>
              <w:t>see Dynamo Holdings L.P. v. Commissioner</w:t>
            </w:r>
            <w:r>
              <w:rPr>
                <w:b w:val="0"/>
                <w:i w:val="0"/>
                <w:sz w:val="20"/>
              </w:rPr>
              <w:t>, 150 T.C. 224 (2018) [cite-check], so HCP should raise the issue affirmatively.</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A § 6751(b) failure would eliminate the penalty entirely regardless of the merits. At minimum, the silence of the record defeats summary judgment on the penalty.</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Raise expressly in the opposition and confirm the answer pleaded it; if not, consider amendment. Serve targeted discovery (penalty approval form, lead sheet, Letter 1807/30-day letter penalty workpapers) or submit a Rule 56(d) declaration.</w:t>
            </w:r>
          </w:p>
        </w:tc>
      </w:tr>
    </w:tbl>
    <w:p>
      <w:pPr>
        <w:spacing w:after="40"/>
      </w:pPr>
    </w:p>
    <w:p>
      <w:pPr>
        <w:pStyle w:val="Heading3"/>
      </w:pPr>
      <w:r>
        <w:rPr>
          <w:b w:val="0"/>
          <w:i w:val="0"/>
        </w:rPr>
        <w:t>B-13. The Substantial Authority and Negligence Arguments Apply the Wrong Standards and Anachronistic Authority</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Part V.B.3: “No reasonable taxpayer could have concluded that the conversion . . . would be sustained”; “[t]he weight of authority is overwhelmingly against the position adopted by HCP.” Part V.B.4: negligence based on “the Tax Court's holding in </w:t>
            </w:r>
            <w:r>
              <w:rPr>
                <w:b w:val="0"/>
                <w:i/>
                <w:sz w:val="20"/>
              </w:rPr>
              <w:t>Pinnacle Partners</w:t>
            </w:r>
            <w:r>
              <w:rPr>
                <w:b w:val="0"/>
                <w:i w:val="0"/>
                <w:sz w:val="20"/>
              </w:rPr>
              <w:t>” and Hargrove's background. Part V.B.2: understatement “vastly exceeds” the thresholds.</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Substantial authority is an objective weighing of the authorities, assessed as of the last day of the taxable year or the date the return is filed (Treas. Reg. § 1.6662-4(d)(2)–(3)); a “reasonable taxpayer could not have concluded” test is not the standard. Proposed regulations are themselves “authority” (§ 1.6662-4(d)(3)(iii)), and the 2015 proposed regulations expressly contemplate that fee waivers bearing significant entrepreneurial risk are respected. No statute, final regulation, or precedential decision held fee waivers of this type invalid.</w:t>
            </w:r>
          </w:p>
          <w:p>
            <w:pPr>
              <w:spacing w:after="60"/>
            </w:pPr>
            <w:r>
              <w:rPr>
                <w:b w:val="0"/>
                <w:i w:val="0"/>
                <w:sz w:val="20"/>
              </w:rPr>
              <w:t xml:space="preserve">For the TY 2018 elections (December 2017) and TY 2019 elections (November 2018), </w:t>
            </w:r>
            <w:r>
              <w:rPr>
                <w:b w:val="0"/>
                <w:i/>
                <w:sz w:val="20"/>
              </w:rPr>
              <w:t>Pinnacle</w:t>
            </w:r>
            <w:r>
              <w:rPr>
                <w:b w:val="0"/>
                <w:i w:val="0"/>
                <w:sz w:val="20"/>
              </w:rPr>
              <w:t xml:space="preserve"> (June 14, 2019) did not exist; it cannot render HCP negligent in structuring those transactions. (</w:t>
            </w:r>
            <w:r>
              <w:rPr>
                <w:b w:val="0"/>
                <w:i/>
                <w:sz w:val="20"/>
              </w:rPr>
              <w:t>Pinnacle</w:t>
            </w:r>
            <w:r>
              <w:rPr>
                <w:b w:val="0"/>
                <w:i w:val="0"/>
                <w:sz w:val="20"/>
              </w:rPr>
              <w:t xml:space="preserve"> did exist when the TY 2018 return was filed on September 15, 2019 — see Issue D-10.)</w:t>
            </w:r>
          </w:p>
          <w:p>
            <w:pPr>
              <w:spacing w:after="60"/>
            </w:pPr>
            <w:r>
              <w:rPr>
                <w:b w:val="0"/>
                <w:i w:val="0"/>
                <w:sz w:val="20"/>
              </w:rPr>
              <w:t>The government offers no computation of the understatement for any year, and the BBA imputed-underpayment computation (§ 6225) is not in the record. The 10%/$5,000 test it recites (§ 6662(d)(1)(A)) is the individual-taxpayer threshold; the Brief does not explain how it applies at the partnership level.</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These errors prevent summary judgment on the penalty even before reasonable cause is considered.</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Argue substantial authority affirmatively (proposed regulation framework; Rev. Proc. 93-27; § 702(b); </w:t>
            </w:r>
            <w:r>
              <w:rPr>
                <w:b w:val="0"/>
                <w:i/>
                <w:sz w:val="20"/>
              </w:rPr>
              <w:t>Pinnacle</w:t>
            </w:r>
            <w:r>
              <w:rPr>
                <w:b w:val="0"/>
                <w:i w:val="0"/>
                <w:sz w:val="20"/>
              </w:rPr>
              <w:t>'s DRO limitation) and that the penalty cannot be resolved without a computation.</w:t>
            </w:r>
          </w:p>
        </w:tc>
      </w:tr>
    </w:tbl>
    <w:p>
      <w:pPr>
        <w:spacing w:after="40"/>
      </w:pPr>
    </w:p>
    <w:p>
      <w:pPr>
        <w:pStyle w:val="Heading3"/>
      </w:pPr>
      <w:r>
        <w:rPr>
          <w:b w:val="0"/>
          <w:i w:val="0"/>
        </w:rPr>
        <w:t>B-14. The Government Ignores BBA Procedure and the Timeliness and Validity of the FPAA</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Prelim. Stmt.; SUMF ¶¶ 7, 30–31 (FPAA served on Sato as “Tax Matters Partner”; TY 2018 return filed September 15, 2019, “pursuant to an extension”). Quillen Decl. ¶¶ 11, 55–63. The Brief contains no discussion of §§ 6231 or 6235.</w:t>
            </w:r>
          </w:p>
        </w:tc>
      </w:tr>
      <w:tr>
        <w:tc>
          <w:tcPr>
            <w:tcW w:type="dxa" w:w="1944"/>
            <w:shd w:val="clear" w:color="auto" w:fill="EDEDED"/>
          </w:tcPr>
          <w:p>
            <w:r/>
            <w:r>
              <w:rPr>
                <w:b/>
                <w:i w:val="0"/>
                <w:sz w:val="20"/>
              </w:rPr>
              <w:t>Why it is wrong or vulnerable</w:t>
            </w:r>
          </w:p>
        </w:tc>
        <w:tc>
          <w:tcPr>
            <w:tcW w:type="dxa" w:w="7416"/>
          </w:tcPr>
          <w:p>
            <w:pPr>
              <w:spacing w:after="60"/>
            </w:pPr>
            <w:r/>
            <w:r>
              <w:rPr>
                <w:b/>
                <w:i w:val="0"/>
                <w:sz w:val="20"/>
              </w:rPr>
              <w:t>Regime.</w:t>
            </w:r>
            <w:r>
              <w:rPr>
                <w:b w:val="0"/>
                <w:i w:val="0"/>
                <w:sz w:val="20"/>
              </w:rPr>
              <w:t xml:space="preserve"> TY 2018–2020 are BBA years. The notices required are a notice of proposed partnership adjustment (NOPPA) and a notice of final partnership adjustment (FPA), mailed to the partnership and its partnership representative (§ 6231(a)). The record identifies the PR as Elliot R. Hargrove (Ex. 7), yet the FPAA was “served upon Ms. Sato in her capacity as Tax Matters Partner” (Quillen Decl. ¶ 59).</w:t>
            </w:r>
          </w:p>
          <w:p>
            <w:pPr>
              <w:spacing w:after="60"/>
            </w:pPr>
            <w:r>
              <w:rPr>
                <w:b/>
                <w:i w:val="0"/>
                <w:sz w:val="20"/>
              </w:rPr>
              <w:t>Missing NOPPA / premature FPA.</w:t>
            </w:r>
            <w:r>
              <w:rPr>
                <w:b w:val="0"/>
                <w:i w:val="0"/>
                <w:sz w:val="20"/>
              </w:rPr>
              <w:t xml:space="preserve"> Under § 6231(b)(2)(A), an FPA may not be mailed earlier than 270 days after the NOPPA unless the partnership waives. The record describes only a “30-day letter” dated February 7, 2022, a protest on March 9, 2022, and an FPAA on June 15, 2022 — 128 days later (Quillen Decl. ¶¶ 60–61). If the February 7 letter was the NOPPA, the FPA was premature (270 days would have run on November 4, 2022); if it was not, the record shows no NOPPA at all.</w:t>
            </w:r>
          </w:p>
          <w:p>
            <w:pPr>
              <w:spacing w:after="60"/>
            </w:pPr>
            <w:r>
              <w:rPr>
                <w:b/>
                <w:i w:val="0"/>
                <w:sz w:val="20"/>
              </w:rPr>
              <w:t>Limitations.</w:t>
            </w:r>
            <w:r>
              <w:rPr>
                <w:b w:val="0"/>
                <w:i w:val="0"/>
                <w:sz w:val="20"/>
              </w:rPr>
              <w:t xml:space="preserve"> Under § 6235(a), the period for making partnership adjustments is generally three years from the later of the return filing date or due date (with extensions keyed to the NOPPA in § 6235(a)(2)–(3)). For TY 2018 (filed September 15, 2019) the three-year period ran on </w:t>
            </w:r>
            <w:r>
              <w:rPr>
                <w:b/>
                <w:i w:val="0"/>
                <w:sz w:val="20"/>
              </w:rPr>
              <w:t>September 15, 2022</w:t>
            </w:r>
            <w:r>
              <w:rPr>
                <w:b w:val="0"/>
                <w:i w:val="0"/>
                <w:sz w:val="20"/>
              </w:rPr>
              <w:t xml:space="preserve">; the FPAA was within that period </w:t>
            </w:r>
            <w:r>
              <w:rPr>
                <w:b w:val="0"/>
                <w:i/>
                <w:sz w:val="20"/>
              </w:rPr>
              <w:t>if valid</w:t>
            </w:r>
            <w:r>
              <w:rPr>
                <w:b w:val="0"/>
                <w:i w:val="0"/>
                <w:sz w:val="20"/>
              </w:rPr>
              <w:t>. But if the FPAA is invalid for procedural defects, a new FPA for TY 2018 would now be time-barred, and TY 2019 (filed on extension, presumably September 15, 2020) likely expired September 15, 2023, absent a § 6235(b) extension or NOPPA-based extension. TY 2020 may remain open until approximately September 15, 2024. The TY 2019 and TY 2020 filing dates are not in the record.</w:t>
            </w:r>
          </w:p>
          <w:p>
            <w:pPr>
              <w:spacing w:after="60"/>
            </w:pPr>
            <w:r>
              <w:rPr>
                <w:b/>
                <w:i w:val="0"/>
                <w:sz w:val="20"/>
              </w:rPr>
              <w:t>Election out.</w:t>
            </w:r>
            <w:r>
              <w:rPr>
                <w:b w:val="0"/>
                <w:i w:val="0"/>
                <w:sz w:val="20"/>
              </w:rPr>
              <w:t xml:space="preserve"> HCP appears to have six partners, all individuals (Quillen Decl. ¶ 10). Such a partnership may elect out of the BBA under § 6221(b) on a timely filed return. The PR designation on the TY 2018 return suggests no election out for that year, but we must confirm for each year. If HCP elected out for any year, a partnership-level FPA would be a nullity for that year.</w:t>
            </w:r>
          </w:p>
          <w:p>
            <w:pPr>
              <w:spacing w:after="60"/>
            </w:pPr>
            <w:r>
              <w:rPr>
                <w:b/>
                <w:i w:val="0"/>
                <w:sz w:val="20"/>
              </w:rPr>
              <w:t>Candor point.</w:t>
            </w:r>
            <w:r>
              <w:rPr>
                <w:b w:val="0"/>
                <w:i w:val="0"/>
                <w:sz w:val="20"/>
              </w:rPr>
              <w:t xml:space="preserve"> HCP's timely petition (September 8, 2022, within 90 days of June 15, 2022, § 6234(a)) shows actual receipt, and courts are generally reluctant to invalidate a notice that the taxpayer actually received and timely contested. The strength of the argument depends on whether a NOPPA issued, whether HCP waived the 270-day period, and whether any extension was signed.</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Contingent on verification. If the procedural defects are established, they could eliminate the TY 2018 and TY 2019 adjustments ($31,250,000, or 65.6% of the total) regardless of the merits. Even if not ultimately dispositive, the government's failure to address timeliness is a gap in its summary-judgment showing if HCP has pleaded the defense.</w:t>
            </w:r>
          </w:p>
        </w:tc>
      </w:tr>
      <w:tr>
        <w:tc>
          <w:tcPr>
            <w:tcW w:type="dxa" w:w="1944"/>
            <w:shd w:val="clear" w:color="auto" w:fill="EDEDED"/>
          </w:tcPr>
          <w:p>
            <w:r/>
            <w:r>
              <w:rPr>
                <w:b/>
                <w:i w:val="0"/>
                <w:sz w:val="20"/>
              </w:rPr>
              <w:t>Recommendation</w:t>
            </w:r>
          </w:p>
        </w:tc>
        <w:tc>
          <w:tcPr>
            <w:tcW w:type="dxa" w:w="7416"/>
          </w:tcPr>
          <w:p>
            <w:pPr>
              <w:spacing w:after="60"/>
            </w:pPr>
            <w:r/>
            <w:r>
              <w:rPr>
                <w:b/>
                <w:i w:val="0"/>
                <w:sz w:val="20"/>
              </w:rPr>
              <w:t>Immediately</w:t>
            </w:r>
            <w:r>
              <w:rPr>
                <w:b w:val="0"/>
                <w:i w:val="0"/>
                <w:sz w:val="20"/>
              </w:rPr>
              <w:t xml:space="preserve"> pull the administrative file: all IRS letters (including any Letter 5893 NOPPA), any 270-day waiver, any extension of the § 6235 period, the FPA itself and its mailing addresses, Forms 1065 for all three years (PR designation; Schedule B-2 election out), and the Form 2848.</w:t>
            </w:r>
          </w:p>
          <w:p>
            <w:pPr>
              <w:spacing w:after="60"/>
            </w:pPr>
            <w:r>
              <w:rPr>
                <w:b w:val="0"/>
                <w:i w:val="0"/>
                <w:sz w:val="20"/>
              </w:rPr>
              <w:t>Confirm that our answer/petition pleaded limitations and notice defects as affirmative defenses (Fed. R. Civ. P. 8(c)). If not, evaluate a prompt Rule 15(a) motion.</w:t>
            </w:r>
          </w:p>
          <w:p>
            <w:pPr>
              <w:spacing w:after="60"/>
            </w:pPr>
            <w:r>
              <w:rPr>
                <w:b w:val="0"/>
                <w:i w:val="0"/>
                <w:sz w:val="20"/>
              </w:rPr>
              <w:t>Confirm that the § 6234(b) jurisdictional deposit for district court review was made and in what amount (see Part X).</w:t>
            </w:r>
          </w:p>
          <w:p>
            <w:pPr>
              <w:spacing w:after="60"/>
            </w:pPr>
            <w:r>
              <w:rPr>
                <w:b w:val="0"/>
                <w:i w:val="0"/>
                <w:sz w:val="20"/>
              </w:rPr>
              <w:t>If the facts support it, consider a cross-motion for partial summary judgment on TY 2018/2019 timeliness; otherwise raise it as a genuine dispute precluding judgment.</w:t>
            </w:r>
          </w:p>
        </w:tc>
      </w:tr>
    </w:tbl>
    <w:p>
      <w:pPr>
        <w:spacing w:after="40"/>
      </w:pPr>
    </w:p>
    <w:p>
      <w:pPr>
        <w:pStyle w:val="Heading3"/>
      </w:pPr>
      <w:r>
        <w:rPr>
          <w:b w:val="0"/>
          <w:i w:val="0"/>
        </w:rPr>
        <w:t>B-15. The Brief Overstates the Presumption of Correctness and Ignores the Government's Burden on New Matter</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Part III: “The FPAA carries a presumption of correctness, and HCP bears the burden of overcoming that presumption.” (citing </w:t>
            </w:r>
            <w:r>
              <w:rPr>
                <w:b w:val="0"/>
                <w:i/>
                <w:sz w:val="20"/>
              </w:rPr>
              <w:t>Welch v. Helvering</w:t>
            </w:r>
            <w:r>
              <w:rPr>
                <w:b w:val="0"/>
                <w:i w:val="0"/>
                <w:sz w:val="20"/>
              </w:rPr>
              <w:t>, which does not appear in the Table of Authorities).</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 presumption attaches to the determinations actually made in the FPAA — here, § 707(a)(2)(A) and economic substance recharacterization with § 6662(b)(1)/(b)(2) penalties (Quillen Decl. ¶¶ 61–62). The Brief and the Ashford Declaration add new theories: § 707(c) guaranteed payments, taxation at grant under Rev. Proc. 93-27, § 704(b) transitory allocations, the step transaction doctrine, and a § 7701(o)-based penalty. The government bears the burden on new matter and on theories requiring different evidence [cite-check: </w:t>
            </w:r>
            <w:r>
              <w:rPr>
                <w:b w:val="0"/>
                <w:i/>
                <w:sz w:val="20"/>
              </w:rPr>
              <w:t>Shea v. Commissioner</w:t>
            </w:r>
            <w:r>
              <w:rPr>
                <w:b w:val="0"/>
                <w:i w:val="0"/>
                <w:sz w:val="20"/>
              </w:rPr>
              <w:t>, 112 T.C. 183, 191 (1999); Tax Ct. R. 142(a) by analogy]. The caption also inverts the parties' roles: HCP initiated this proceeding by petition (§ 6234), and the government's framing as “Plaintiff” should not be allowed to obscure the burden allocation.</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Even where HCP bears the ultimate burden, the government as summary-judgment movant must show no genuine dispute; the new-matter burden strengthens HCP's position on the alternative theories.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Include a short burden section. Do not contest the general presumption for FPAA determinations (Part VIII); target only the new theories.</w:t>
            </w:r>
          </w:p>
        </w:tc>
      </w:tr>
    </w:tbl>
    <w:p>
      <w:pPr>
        <w:spacing w:after="40"/>
      </w:pPr>
    </w:p>
    <w:p>
      <w:pPr>
        <w:pStyle w:val="Heading1"/>
      </w:pPr>
      <w:r>
        <w:rPr>
          <w:b w:val="0"/>
          <w:i w:val="0"/>
        </w:rPr>
        <w:t>VI. Category (C): Internal Inconsistencies</w:t>
      </w:r>
    </w:p>
    <w:p>
      <w:pPr>
        <w:pStyle w:val="Heading3"/>
      </w:pPr>
      <w:r>
        <w:rPr>
          <w:b w:val="0"/>
          <w:i w:val="0"/>
        </w:rPr>
        <w:t>C-1. The Aggregate Tax Benefit Figure Is Arithmetically Wrong and Contradicted by the Government's Own Expert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Prelim. Stmt. &amp; n.1 (“The 17% differential . . . applied to $47,612,000 yields aggregate federal tax savings of $9,530,400”); Part V.A (same); Part VI (“generating tax savings of $9,530,400”).</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$47,612,000 × 17% = </w:t>
            </w:r>
            <w:r>
              <w:rPr>
                <w:b/>
                <w:i w:val="0"/>
                <w:sz w:val="20"/>
              </w:rPr>
              <w:t>$8,094,040</w:t>
            </w:r>
            <w:r>
              <w:rPr>
                <w:b w:val="0"/>
                <w:i w:val="0"/>
                <w:sz w:val="20"/>
              </w:rPr>
              <w:t xml:space="preserve">. The Brief overstates its own computation by </w:t>
            </w:r>
            <w:r>
              <w:rPr>
                <w:b/>
                <w:i w:val="0"/>
                <w:sz w:val="20"/>
              </w:rPr>
              <w:t>$1,436,360 (17.7%)</w:t>
            </w:r>
            <w:r>
              <w:rPr>
                <w:b w:val="0"/>
                <w:i w:val="0"/>
                <w:sz w:val="20"/>
              </w:rPr>
              <w:t>. Professor Ashford's ¶ 18 uses the correct $8,094,040. The Brief's figure equals 20% of $47,652,000, which matches neither the stated base nor the stated rate. Both figures also ignore the 3.8% net investment income tax that Quillen mentions (¶ 53) and the BBA imputed-underpayment mechanics, so neither is a reliable measure of anything at issue in the FPAA.</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The figure is not an element of any claim, but it is the headline number of the motion, appears three times, and anchors the “windfall” theme. A demonstrable arithmetic error the government's own expert contradicts is a credibility problem for the government.</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Point it out once, early, and factually (footnote or a sentence in the introduction): “The government's own expert calculates the figure at $8,094,040.” Do not dwell on it.</w:t>
            </w:r>
          </w:p>
        </w:tc>
      </w:tr>
    </w:tbl>
    <w:p>
      <w:pPr>
        <w:spacing w:after="40"/>
      </w:pPr>
    </w:p>
    <w:p>
      <w:pPr>
        <w:pStyle w:val="Heading3"/>
      </w:pPr>
      <w:r>
        <w:rPr>
          <w:b w:val="0"/>
          <w:i w:val="0"/>
        </w:rPr>
        <w:t>C-2. The Government Characterizes the Same Allocations Four Mutually Exclusive Ways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Arg. IV.A (§ 707(a)(2)(A): a transaction with HCP “acting other than in its capacity as a partner”); Arg. IV.B (“economically indistinguishable from carried interest” — a profits interest held </w:t>
            </w:r>
            <w:r>
              <w:rPr>
                <w:b w:val="0"/>
                <w:i/>
                <w:sz w:val="20"/>
              </w:rPr>
              <w:t>as a partner</w:t>
            </w:r>
            <w:r>
              <w:rPr>
                <w:b w:val="0"/>
                <w:i w:val="0"/>
                <w:sz w:val="20"/>
              </w:rPr>
              <w:t xml:space="preserve">); Part V.A (“guaranteed payments within the meaning of IRC § 707(c)” — payments to a partner </w:t>
            </w:r>
            <w:r>
              <w:rPr>
                <w:b w:val="0"/>
                <w:i/>
                <w:sz w:val="20"/>
              </w:rPr>
              <w:t>in its capacity as a partner</w:t>
            </w:r>
            <w:r>
              <w:rPr>
                <w:b w:val="0"/>
                <w:i w:val="0"/>
                <w:sz w:val="20"/>
              </w:rPr>
              <w:t>, determined without regard to income); Arg. IV.A.4 &amp; Ashford Opinion 3 (profits interests “taxed at the time of receipt” under Rev. Proc. 93-27). Ashford Decl. ¶ 35 (“a second carried interest layer on top of HCP's existing promote”) vs. ¶¶ 39–46 (§ 707(c)) vs. ¶¶ 61–66 (§ 707(a)(2)(A)).</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These characterizations cannot all be true. A § 707(a) payment is made to a </w:t>
            </w:r>
            <w:r>
              <w:rPr>
                <w:b w:val="0"/>
                <w:i/>
                <w:sz w:val="20"/>
              </w:rPr>
              <w:t>non-partner</w:t>
            </w:r>
            <w:r>
              <w:rPr>
                <w:b w:val="0"/>
                <w:i w:val="0"/>
                <w:sz w:val="20"/>
              </w:rPr>
              <w:t xml:space="preserve">; a § 707(c) payment is made to a </w:t>
            </w:r>
            <w:r>
              <w:rPr>
                <w:b w:val="0"/>
                <w:i/>
                <w:sz w:val="20"/>
              </w:rPr>
              <w:t>partner</w:t>
            </w:r>
            <w:r>
              <w:rPr>
                <w:b w:val="0"/>
                <w:i w:val="0"/>
                <w:sz w:val="20"/>
              </w:rPr>
              <w:t xml:space="preserve"> and is by definition independent of partnership income; carried interest is a </w:t>
            </w:r>
            <w:r>
              <w:rPr>
                <w:b w:val="0"/>
                <w:i/>
                <w:sz w:val="20"/>
              </w:rPr>
              <w:t>distributive share</w:t>
            </w:r>
            <w:r>
              <w:rPr>
                <w:b w:val="0"/>
                <w:i w:val="0"/>
                <w:sz w:val="20"/>
              </w:rPr>
              <w:t xml:space="preserve"> determined by partnership income and, under current law, taxed as capital gain (subject to § 1061); and a Rev. Proc. 93-27 inclusion occurs at </w:t>
            </w:r>
            <w:r>
              <w:rPr>
                <w:b w:val="0"/>
                <w:i/>
                <w:sz w:val="20"/>
              </w:rPr>
              <w:t>grant</w:t>
            </w:r>
            <w:r>
              <w:rPr>
                <w:b w:val="0"/>
                <w:i w:val="0"/>
                <w:sz w:val="20"/>
              </w:rPr>
              <w:t>, in a different year and amount. Each leads to a different remedy, different tax year, and different correlative adjustments.</w:t>
            </w:r>
          </w:p>
          <w:p>
            <w:pPr>
              <w:spacing w:after="60"/>
            </w:pPr>
            <w:r>
              <w:rPr>
                <w:b w:val="0"/>
                <w:i w:val="0"/>
                <w:sz w:val="20"/>
              </w:rPr>
              <w:t>The carried-interest section is especially damaging to the government: it concedes the allocations are a share of Fund profits paid to the manager as a partner, and it concedes that carried interest is taxed at capital gains rates under current law (“the current tax treatment of carried interest remains a matter of ongoing legislative debate”).</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A movant who cannot say which legal characterization applies has not shown entitlement to judgment as a matter of law, and the choice among characterizations depends on disputed facts (risk, partner capacity, contingency).</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Make this a thematic section of the opposition (“The Government Cannot Decide What the Allocations Are”). Use a four-row table: theory, capacity in which HCP is treated, statutory predicate, and why the record defeats it. Use the government's carried-interest concession to support capital gain treatment under § 702(b).</w:t>
            </w:r>
          </w:p>
        </w:tc>
      </w:tr>
    </w:tbl>
    <w:p>
      <w:pPr>
        <w:spacing w:after="40"/>
      </w:pPr>
    </w:p>
    <w:p>
      <w:pPr>
        <w:pStyle w:val="Heading3"/>
      </w:pPr>
      <w:r>
        <w:rPr>
          <w:b w:val="0"/>
          <w:i w:val="0"/>
        </w:rPr>
        <w:t>C-3. The Government Says the Allocations Were Both “Payable Solely From Realized Gains” and “Determined Without Regard to the Partnership's Income”</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10 (“payable solely from realized long-term capital gains”); Factor (6) (“nominally limited to the amount of realized long-term capital gains”); vs. Part V.A (“They were determined without regard to the partnership's income”). Ashford Decl. ¶ 42 (allocations “appear to be ‘determined with regard to the income of the partnership’”) vs. ¶ 46 (they were “in substance, determined without regard to the income”).</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record resolves the contradiction in HCP's favor: the Election Forms make the allocation payable only from net long-term capital gains, and Fund V shows the allocation is zero when there are none.</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Directly defeats the § 707(c) remedy (Issue B-5) and undermines the “guarantee” premise of the § 707(a)(2)(A) and economic substance arguments.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Quote SUMF ¶ 10 and Ashford ¶ 42 against Part V.A. Short and pointed.</w:t>
            </w:r>
          </w:p>
        </w:tc>
      </w:tr>
    </w:tbl>
    <w:p>
      <w:pPr>
        <w:spacing w:after="40"/>
      </w:pPr>
    </w:p>
    <w:p>
      <w:pPr>
        <w:pStyle w:val="Heading3"/>
      </w:pPr>
      <w:r>
        <w:rPr>
          <w:b w:val="0"/>
          <w:i w:val="0"/>
        </w:rPr>
        <w:t>C-4. The Government Concedes the 2018 and 2019 Elections Were Prospective, Then Argues Their Timing Shows Hindsight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SUMF ¶¶ 15–16 (elections executed “prior to the commencement” of each year) and n.13 (a genuine waiver “must be made before the period to which it relates”) vs. Arg. IV.C.2 (“Second”): late-November/December execution occurred “after HCP had full visibility into the Funds' portfolio performance and could predict with substantial confidence whether sufficient realized long-term capital gains would be generated in the coming year.” Ashford Decl. ¶¶ 72–74.</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Under the government's own standard, a pre-year election is what a genuine waiver requires; it cannot be both the test and the evidence of abuse. The hindsight theory is also factually implausible: the TY 2018 Fund IV election was executed December 18, 2017, three months after Fund IV was formed (September 15, 2017) when, per the Ridgeline Opinion, it was “currently in its fundraising and initial investment period.” Knowledge of the prior year's performance does not reveal whether exits will close and produce net long-term capital gains in the coming year, and Fund V's 2020 outcome shows how wrong such predictions can be. There is no evidence supporting the “substantial confidence” assertion.</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Neutralizes the government's fallback timing argument once Issue A-1 eliminates the Fund IV TY 2020 point.</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Juxtapose n.13 with Arg. IV.C.2. Have Dr. Chu address the unpredictability of annual realized gains for buyout funds.</w:t>
            </w:r>
          </w:p>
        </w:tc>
      </w:tr>
    </w:tbl>
    <w:p>
      <w:pPr>
        <w:spacing w:after="40"/>
      </w:pPr>
    </w:p>
    <w:p>
      <w:pPr>
        <w:pStyle w:val="Heading3"/>
      </w:pPr>
      <w:r>
        <w:rPr>
          <w:b w:val="0"/>
          <w:i w:val="0"/>
        </w:rPr>
        <w:t>C-5. The Government Argues Both That Waivers Were “Calibrated” to Available Gains and That the Carry-Forward Was Needed to Eliminate Risk</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IV.C.2 (“Fourth”): HCP participated “only when the Funds had sufficient realized gains” and “calibrate[d] the waiver amounts to match available gains” vs. Factor (1), SUMF ¶¶ 12, 26 (the Carry-Forward Provision ensured eventual payment when gains were insufficient).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If waivers were calibrated to gains already known to be available, the carry-forward would be irrelevant; if the carry-forward was the key to eliminating risk, then gains were not known in advance. Fund V — waived $6,000,000 with no gains ever realized in the year — refutes the calibration theory outright (Quillen Decl. ¶¶ 40–41).</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The two arguments are each central to a different theory (economic substance vs. disguised payment); exposing the contradiction weakens both.</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Address in the economic substance section, using Fund V as the counterexample.</w:t>
            </w:r>
          </w:p>
        </w:tc>
      </w:tr>
    </w:tbl>
    <w:p>
      <w:pPr>
        <w:spacing w:after="40"/>
      </w:pPr>
    </w:p>
    <w:p>
      <w:pPr>
        <w:pStyle w:val="Heading3"/>
      </w:pPr>
      <w:r>
        <w:rPr>
          <w:b w:val="0"/>
          <w:i w:val="0"/>
        </w:rPr>
        <w:t>C-6. The Government Claims the Waiver Had “Zero” Net Economic Effect While Also Claiming HCP Took a Senior, “Creditor-Like” Priority Over the Limited Partners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IV.A.2 (transitory-allocation heading): “The net economic impact on the Funds and their limited partners was zero.” Ashford Decl. ¶ 30 (LPs “economically indifferent”) vs. Factor (2): HCP's claim “was senior to the allocations of all other partners, including limited partners” and HCP “occupied a creditor-like position in the allocation waterfall”; Ashford ¶ 35 (allocations not subject to the hurdle or clawback of the carried interest waterfall).</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A first-dollar priority on net long-term capital gains necessarily changes the LPs' economics: in a year with gains, it reduces the LPs' share of gain; in a year without gains (Fund V, 2020), the LPs pay neither the fee nor the allocation. The LPs' outcome thus depends on Fund performance — which is the definition of a non-zero economic effect and of shared entrepreneurial risk.</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Undercuts the economic substance objective prong and the transitory-allocation argument; supports the existence of genuine third-party economic stakes.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Have Dr. Chu illustrate LP outcomes under fee vs. waiver across performance scenarios (including the actual Fund V outcome).</w:t>
            </w:r>
          </w:p>
        </w:tc>
      </w:tr>
    </w:tbl>
    <w:p>
      <w:pPr>
        <w:spacing w:after="40"/>
      </w:pPr>
    </w:p>
    <w:p>
      <w:pPr>
        <w:pStyle w:val="Heading3"/>
      </w:pPr>
      <w:r>
        <w:rPr>
          <w:b w:val="0"/>
          <w:i w:val="0"/>
        </w:rPr>
        <w:t xml:space="preserve">C-7. The Brief Describes </w:t>
      </w:r>
      <w:r>
        <w:rPr>
          <w:b w:val="0"/>
          <w:i/>
        </w:rPr>
        <w:t>Pinnacle</w:t>
      </w:r>
      <w:r>
        <w:rPr>
          <w:b w:val="0"/>
          <w:i w:val="0"/>
        </w:rPr>
        <w:t>'s Holding Two Different Ways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Arg. IV.A.3 text: </w:t>
            </w:r>
            <w:r>
              <w:rPr>
                <w:b w:val="0"/>
                <w:i/>
                <w:sz w:val="20"/>
              </w:rPr>
              <w:t>Pinnacle</w:t>
            </w:r>
            <w:r>
              <w:rPr>
                <w:b w:val="0"/>
                <w:i w:val="0"/>
                <w:sz w:val="20"/>
              </w:rPr>
              <w:t xml:space="preserve"> “held that the arrangement was a disguised payment for services under IRC § 707(a)(2)(A)”; n.10: </w:t>
            </w:r>
            <w:r>
              <w:rPr>
                <w:b w:val="0"/>
                <w:i/>
                <w:sz w:val="20"/>
              </w:rPr>
              <w:t>Pinnacle</w:t>
            </w:r>
            <w:r>
              <w:rPr>
                <w:b w:val="0"/>
                <w:i w:val="0"/>
                <w:sz w:val="20"/>
              </w:rPr>
              <w:t xml:space="preserve"> “held that a substantially identical fee waiver arrangement lacked economic substance because the priority allocation carried no genuine risk of non-payment.”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Exhibit 12 indicates the court reached both conclusions, but on the strength of the deficit restoration obligation (Issue B-4). The inconsistency is less important than the omission, but it shows that the government is using </w:t>
            </w:r>
            <w:r>
              <w:rPr>
                <w:b w:val="0"/>
                <w:i/>
                <w:sz w:val="20"/>
              </w:rPr>
              <w:t>Pinnacle</w:t>
            </w:r>
            <w:r>
              <w:rPr>
                <w:b w:val="0"/>
                <w:i w:val="0"/>
                <w:sz w:val="20"/>
              </w:rPr>
              <w:t xml:space="preserve"> as a general-purpose citation rather than engaging with what the court actually decided.</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 xml:space="preserve">Minor — Supports the broader point that </w:t>
            </w:r>
            <w:r>
              <w:rPr>
                <w:b w:val="0"/>
                <w:i/>
                <w:sz w:val="20"/>
              </w:rPr>
              <w:t>Pinnacle</w:t>
            </w:r>
            <w:r>
              <w:rPr>
                <w:b w:val="0"/>
                <w:i w:val="0"/>
                <w:sz w:val="20"/>
              </w:rPr>
              <w:t xml:space="preserve"> is mischaracterized.</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Mention in a footnote within the </w:t>
            </w:r>
            <w:r>
              <w:rPr>
                <w:b w:val="0"/>
                <w:i/>
                <w:sz w:val="20"/>
              </w:rPr>
              <w:t>Pinnacle</w:t>
            </w:r>
            <w:r>
              <w:rPr>
                <w:b w:val="0"/>
                <w:i w:val="0"/>
                <w:sz w:val="20"/>
              </w:rPr>
              <w:t xml:space="preserve"> discussion.</w:t>
            </w:r>
          </w:p>
        </w:tc>
      </w:tr>
    </w:tbl>
    <w:p>
      <w:pPr>
        <w:spacing w:after="40"/>
      </w:pPr>
    </w:p>
    <w:p>
      <w:pPr>
        <w:pStyle w:val="Heading3"/>
      </w:pPr>
      <w:r>
        <w:rPr>
          <w:b w:val="0"/>
          <w:i w:val="0"/>
        </w:rPr>
        <w:t>C-8. The Quillen Declaration Is Internally Inconsistent on the Partnership Representative, the Program's Start Date, and Other Facts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Quillen Decl. ¶ 11 (Sato “Tax Matters Partner . . . since the entity's formation in 2014”) and ¶ 59 (FPAA served on Sato as TMP) vs. ¶¶ 12, 47 and Ex. 7 (Hargrove designated Partnership Representative). ¶ 21 (“[b]eginning in late 2016”) vs. ¶ 65 (opinion obtained before </w:t>
            </w:r>
            <w:r>
              <w:rPr>
                <w:b w:val="0"/>
                <w:i/>
                <w:sz w:val="20"/>
              </w:rPr>
              <w:t>any</w:t>
            </w:r>
            <w:r>
              <w:rPr>
                <w:b w:val="0"/>
                <w:i w:val="0"/>
                <w:sz w:val="20"/>
              </w:rPr>
              <w:t xml:space="preserve"> elections; first elections December 2017). ¶ 83 (minutes produced in response to IDR No. 9 during the examination) vs. ¶ 84 (minutes “produced by HCP pursuant to the Court's discovery order”). ¶¶ 25–33 and Ex. 5 (each election “executed by Elliot R. Hargrove”) vs. the Election Forms (signed by both Hargrove and Sato for HCP; GP IV acknowledgments for TY 2019 and TY 2020 signed by Sato).</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Individually minor, these inconsistencies undercut the declarant's reliability as the government's sole fact witness and, in the case of the TMP/PR conflict, support the procedural argument at Issue B-14.</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Primarily credibility; the TMP/PR point is substantively Significant via Issue B-14.</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Use in the Rule 56.1 counterstatement; do not attack Quillen personally or move to strike (Part VIII).</w:t>
            </w:r>
          </w:p>
        </w:tc>
      </w:tr>
    </w:tbl>
    <w:p>
      <w:pPr>
        <w:spacing w:after="40"/>
      </w:pPr>
    </w:p>
    <w:p>
      <w:pPr>
        <w:pStyle w:val="Heading3"/>
      </w:pPr>
      <w:r>
        <w:rPr>
          <w:b w:val="0"/>
          <w:i w:val="0"/>
        </w:rPr>
        <w:t>C-9. The Government's Two Declarations Are Inconsistent With Each Other</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Ashford Decl. caption (“Hon. Laura Taylor Swain”) vs. Quillen Decl. caption (“Hon. Laura T. Sievert”). Ashford ¶ 8(e) (reviewed “the Declaration of Special Agent Teresa Quillen, sworn on February 15, 2024”) vs. Quillen's execution date (April 1, 2024). Ashford ¶ 8(g) (Greystone credit agreement “dated October 1, 2017”) vs. Quillen ¶ 78 (December 1, 2017). Ashford ¶ 13 (services under “management agreements between HCP and the general partner of each fund”) vs. Quillen ¶ 17 (services under each Fund's LPA). Ashford ¶ 12 (GPs controlled by Hargrove and Sato) vs. Quillen ¶¶ 13–15 (GPs wholly owned by HCP).</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 most consequential is the February 15, 2024 date: Professor Ashford reviewed a version of the Quillen Declaration that predates the one filed. Any differences between that version and the filed version are “facts or data considered” by the expert, which must be disclosed. Fed. R. Civ. P. 26(a)(2)(B)(ii). (The work-product protection for drafts in Rule 26(b)(4)(B) covers drafts of the </w:t>
            </w:r>
            <w:r>
              <w:rPr>
                <w:b w:val="0"/>
                <w:i/>
                <w:sz w:val="20"/>
              </w:rPr>
              <w:t>expert's</w:t>
            </w:r>
            <w:r>
              <w:rPr>
                <w:b w:val="0"/>
                <w:i w:val="0"/>
                <w:sz w:val="20"/>
              </w:rPr>
              <w:t xml:space="preserve"> report, not a fact witness's declaration.)</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The earlier Quillen draft may reveal changes in the government's factual account (e.g., to the election-date or Fund V assertions). The other discrepancies are credibility points.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Request the February 15, 2024 version of the Quillen Declaration and all materials Ashford considered. If not produced before May 17, include in a Rule 56(d) declaration. Confirm the assigned judge from the docket and use the correct caption in our papers; do not raise the caption error.</w:t>
            </w:r>
          </w:p>
        </w:tc>
      </w:tr>
    </w:tbl>
    <w:p>
      <w:pPr>
        <w:spacing w:after="40"/>
      </w:pPr>
    </w:p>
    <w:p>
      <w:pPr>
        <w:pStyle w:val="Heading3"/>
      </w:pPr>
      <w:r>
        <w:rPr>
          <w:b w:val="0"/>
          <w:i w:val="0"/>
        </w:rPr>
        <w:t>C-10. Professor Ashford Uses Fund V — Where HCP Received Nothing — as the “Exemplar” of a Guaranteed Payment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Ashford Decl. ¶ 23 (“HCP nonetheless received a $6,000,000 priority profit allocation from Fund V” … “[t]he allocation was presumably carried forward”); ¶¶ 47–48 (Fund V is “a particularly compelling illustration of the guaranteed nature of the arrangements”); ¶ 70.</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Ashford simultaneously says HCP “received” the allocation and that it was “presumably” carried forward — the latter is speculation that Quillen ¶ 41 resolves (it was carried forward, i.e., not received). A payment that was not made in the year, may never be made, and depends on future gains that were then written down is the opposite of a guaranteed payment. Her reasoning that HCP's </w:t>
            </w:r>
            <w:r>
              <w:rPr>
                <w:b w:val="0"/>
                <w:i/>
                <w:sz w:val="20"/>
              </w:rPr>
              <w:t>expectation</w:t>
            </w:r>
            <w:r>
              <w:rPr>
                <w:b w:val="0"/>
                <w:i w:val="0"/>
                <w:sz w:val="20"/>
              </w:rPr>
              <w:t xml:space="preserve"> of eventual payment makes it guaranteed would convert every profits interest into a guaranteed payment.</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Exposes the core analytical flaw in Opinion 2 and supports exclusion or discounting of that opinion (Issue D-2).</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Quote ¶ 23's internal contradiction. Emphasize that Ashford acknowledges the Q2 2021 write-down (¶¶ 22, 47).</w:t>
            </w:r>
          </w:p>
        </w:tc>
      </w:tr>
    </w:tbl>
    <w:p>
      <w:pPr>
        <w:spacing w:after="40"/>
      </w:pPr>
    </w:p>
    <w:p>
      <w:pPr>
        <w:pStyle w:val="Heading3"/>
      </w:pPr>
      <w:r>
        <w:rPr>
          <w:b w:val="0"/>
          <w:i w:val="0"/>
        </w:rPr>
        <w:t>C-11. The Table of Authorities Lists Authorities the Brief Never Discusses and Omits One It Relies On</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 xml:space="preserve">TOA lists </w:t>
            </w:r>
            <w:r>
              <w:rPr>
                <w:b w:val="0"/>
                <w:i/>
                <w:sz w:val="20"/>
              </w:rPr>
              <w:t>Commissioner v. Culbertson</w:t>
            </w:r>
            <w:r>
              <w:rPr>
                <w:b w:val="0"/>
                <w:i w:val="0"/>
                <w:sz w:val="20"/>
              </w:rPr>
              <w:t xml:space="preserve"> (p. 18), </w:t>
            </w:r>
            <w:r>
              <w:rPr>
                <w:b w:val="0"/>
                <w:i/>
                <w:sz w:val="20"/>
              </w:rPr>
              <w:t>Coltec</w:t>
            </w:r>
            <w:r>
              <w:rPr>
                <w:b w:val="0"/>
                <w:i w:val="0"/>
                <w:sz w:val="20"/>
              </w:rPr>
              <w:t xml:space="preserve"> (p. 29), </w:t>
            </w:r>
            <w:r>
              <w:rPr>
                <w:b w:val="0"/>
                <w:i/>
                <w:sz w:val="20"/>
              </w:rPr>
              <w:t>Sol Diamond</w:t>
            </w:r>
            <w:r>
              <w:rPr>
                <w:b w:val="0"/>
                <w:i w:val="0"/>
                <w:sz w:val="20"/>
              </w:rPr>
              <w:t xml:space="preserve"> (p. 25), </w:t>
            </w:r>
            <w:r>
              <w:rPr>
                <w:b w:val="0"/>
                <w:i/>
                <w:sz w:val="20"/>
              </w:rPr>
              <w:t>Boyle</w:t>
            </w:r>
            <w:r>
              <w:rPr>
                <w:b w:val="0"/>
                <w:i w:val="0"/>
                <w:sz w:val="20"/>
              </w:rPr>
              <w:t xml:space="preserve"> (p. 41), § 6664(c) (p. 42) and § 707(c) (pp. 37–38); none of the first five appears in the body, and § 707(c) appears only in the remedy section. </w:t>
            </w:r>
            <w:r>
              <w:rPr>
                <w:b w:val="0"/>
                <w:i/>
                <w:sz w:val="20"/>
              </w:rPr>
              <w:t>Welch v. Helvering</w:t>
            </w:r>
            <w:r>
              <w:rPr>
                <w:b w:val="0"/>
                <w:i w:val="0"/>
                <w:sz w:val="20"/>
              </w:rPr>
              <w:t xml:space="preserve"> is cited in the body (Part III) but not in the TOA.</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mismatch suggests the Brief was cut down from a longer draft that likely addressed reasonable cause (</w:t>
            </w:r>
            <w:r>
              <w:rPr>
                <w:b w:val="0"/>
                <w:i/>
                <w:sz w:val="20"/>
              </w:rPr>
              <w:t>Boyle</w:t>
            </w:r>
            <w:r>
              <w:rPr>
                <w:b w:val="0"/>
                <w:i w:val="0"/>
                <w:sz w:val="20"/>
              </w:rPr>
              <w:t>, § 6664(c)), profits-interest taxation (</w:t>
            </w:r>
            <w:r>
              <w:rPr>
                <w:b w:val="0"/>
                <w:i/>
                <w:sz w:val="20"/>
              </w:rPr>
              <w:t>Diamond</w:t>
            </w:r>
            <w:r>
              <w:rPr>
                <w:b w:val="0"/>
                <w:i w:val="0"/>
                <w:sz w:val="20"/>
              </w:rPr>
              <w:t>), partner status (</w:t>
            </w:r>
            <w:r>
              <w:rPr>
                <w:b w:val="0"/>
                <w:i/>
                <w:sz w:val="20"/>
              </w:rPr>
              <w:t>Culbertson</w:t>
            </w:r>
            <w:r>
              <w:rPr>
                <w:b w:val="0"/>
                <w:i w:val="0"/>
                <w:sz w:val="20"/>
              </w:rPr>
              <w:t>), and the objective economic substance prong (</w:t>
            </w:r>
            <w:r>
              <w:rPr>
                <w:b w:val="0"/>
                <w:i/>
                <w:sz w:val="20"/>
              </w:rPr>
              <w:t>Coltec</w:t>
            </w:r>
            <w:r>
              <w:rPr>
                <w:b w:val="0"/>
                <w:i w:val="0"/>
                <w:sz w:val="20"/>
              </w:rPr>
              <w:t>).</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Not worth raising. Strategically significant because it previews arguments the government may hold for reply, when HCP has no right to respond.</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Do not mention in the brief. Preempt in the opposition: address reasonable cause comprehensively (Issue B-11), </w:t>
            </w:r>
            <w:r>
              <w:rPr>
                <w:b w:val="0"/>
                <w:i/>
                <w:sz w:val="20"/>
              </w:rPr>
              <w:t>Diamond</w:t>
            </w:r>
            <w:r>
              <w:rPr>
                <w:b w:val="0"/>
                <w:i w:val="0"/>
                <w:sz w:val="20"/>
              </w:rPr>
              <w:t xml:space="preserve"> in the Rev. Proc. 93-27 discussion, and </w:t>
            </w:r>
            <w:r>
              <w:rPr>
                <w:b w:val="0"/>
                <w:i/>
                <w:sz w:val="20"/>
              </w:rPr>
              <w:t>Coltec</w:t>
            </w:r>
            <w:r>
              <w:rPr>
                <w:b w:val="0"/>
                <w:i w:val="0"/>
                <w:sz w:val="20"/>
              </w:rPr>
              <w:t>'s objective-prong formulation in the economic substance section. Be prepared to seek leave for a sur-reply.</w:t>
            </w:r>
          </w:p>
        </w:tc>
      </w:tr>
    </w:tbl>
    <w:p>
      <w:pPr>
        <w:spacing w:after="40"/>
      </w:pPr>
    </w:p>
    <w:p>
      <w:pPr>
        <w:pStyle w:val="Heading3"/>
      </w:pPr>
      <w:r>
        <w:rPr>
          <w:b w:val="0"/>
          <w:i w:val="0"/>
        </w:rPr>
        <w:t>C-12. The Brief Says the Case Presents a “Pure Question of Law” but Every Theory Depends on Disputed Facts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Part III: “The sole question presented is one of legal characterization . . . . This is a question of law, not of fact.” Part VI: “No genuine dispute of material fact exists.”</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government's own theories turn on facts: the degree of entrepreneurial risk (a facts-and-circumstances inquiry under Prop. Treas. Reg. § 1.707-2(c)); HCP's purpose and the managing partners' intent (§ 7701(o)(1)(B); end-result test); “hindsight” at the election dates; LP involvement; the nature of the carry-forward; and, for penalties, reasonable cause and negligence. The Brief itself relies on contested inferences (“pretextual,” “sole objective,” “predict with substantial confidence”) and on its declarant's characterizations. And the government's factual assertions on several material points are contradicted by its own exhibits (Category A).</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This is the frame for the entire opposition: the Court can deny the motion without resolving any contested legal question if HCP shows genuine disputes on risk, purpose, and reasonable cause.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Open the argument with a summary-judgment-standard section that lists, issue by issue, the material facts in dispute and the record evidence on each side. Emphasize that all inferences must be drawn in HCP's favor (</w:t>
            </w:r>
            <w:r>
              <w:rPr>
                <w:b w:val="0"/>
                <w:i/>
                <w:sz w:val="20"/>
              </w:rPr>
              <w:t>Anderson</w:t>
            </w:r>
            <w:r>
              <w:rPr>
                <w:b w:val="0"/>
                <w:i w:val="0"/>
                <w:sz w:val="20"/>
              </w:rPr>
              <w:t>, 477 U.S. at 255, which the government itself quotes).</w:t>
            </w:r>
          </w:p>
        </w:tc>
      </w:tr>
    </w:tbl>
    <w:p>
      <w:pPr>
        <w:spacing w:after="40"/>
      </w:pPr>
    </w:p>
    <w:p>
      <w:pPr>
        <w:pStyle w:val="Heading1"/>
      </w:pPr>
      <w:r>
        <w:rPr>
          <w:b w:val="0"/>
          <w:i w:val="0"/>
        </w:rPr>
        <w:t>VII. Category (D): Strategic Vulnerabilities</w:t>
      </w:r>
    </w:p>
    <w:p>
      <w:pPr>
        <w:spacing w:after="120"/>
      </w:pPr>
      <w:r>
        <w:rPr>
          <w:b w:val="0"/>
          <w:i w:val="0"/>
        </w:rPr>
        <w:t xml:space="preserve">This category has two parts: </w:t>
      </w:r>
      <w:r>
        <w:rPr>
          <w:b/>
          <w:i w:val="0"/>
        </w:rPr>
        <w:t>(A)</w:t>
      </w:r>
      <w:r>
        <w:rPr>
          <w:b w:val="0"/>
          <w:i w:val="0"/>
        </w:rPr>
        <w:t xml:space="preserve"> strategic weaknesses in the government's motion that HCP should exploit, and </w:t>
      </w:r>
      <w:r>
        <w:rPr>
          <w:b/>
          <w:i w:val="0"/>
        </w:rPr>
        <w:t>(B)</w:t>
      </w:r>
      <w:r>
        <w:rPr>
          <w:b w:val="0"/>
          <w:i w:val="0"/>
        </w:rPr>
        <w:t xml:space="preserve"> vulnerabilities in HCP's own position, revealed by the government's filings and our cross-check, that the opposition must address or that we must manage internally. Part B is at least as important as Part A: several of these points have not yet been fully exploited by the government and are likely to surface in reply or at trial.</w:t>
      </w:r>
    </w:p>
    <w:p>
      <w:pPr>
        <w:pStyle w:val="Heading2"/>
      </w:pPr>
      <w:r>
        <w:rPr>
          <w:b w:val="0"/>
          <w:i w:val="0"/>
        </w:rPr>
        <w:t>A. Weaknesses in the Government's Motion</w:t>
      </w:r>
    </w:p>
    <w:p>
      <w:pPr>
        <w:pStyle w:val="Heading3"/>
      </w:pPr>
      <w:r>
        <w:rPr>
          <w:b w:val="0"/>
          <w:i w:val="0"/>
        </w:rPr>
        <w:t>D-1. The Government's Own Record Creates the Genuine Disputes That Defeat Its Motion</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Throughout; see especially Quillen Decl. ¶¶ 40–44, 64–70, 75–76 and Exs. 4, 5-E, 9, 12; Brief n.8.</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 government's declarant supplies HCP's best evidence: Fund V's zero realized gains and write-down; the absence of any carry-forward payment for Funds III and IV; the pre-implementation Ridgeline Opinion; the Fund IV December 10, 2019 execution date; and </w:t>
            </w:r>
            <w:r>
              <w:rPr>
                <w:b w:val="0"/>
                <w:i/>
                <w:sz w:val="20"/>
              </w:rPr>
              <w:t>Pinnacle</w:t>
            </w:r>
            <w:r>
              <w:rPr>
                <w:b w:val="0"/>
                <w:i w:val="0"/>
                <w:sz w:val="20"/>
              </w:rPr>
              <w:t>'s DRO limitation. The Brief's footnote 8 concedes that fee waivers are common among “a significant number of mid-market and large-cap fund managers” — relevant to business purpose and substantial authority.</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HCP can defeat the motion largely with the government's own exhibits plus a small number of targeted declarations, reducing the risk that the Court views our evidence as self-serving.</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Build the Counterstatement around the government's exhibits first, HCP's documents second, and HCP witness declarations third. Prepare declarations from Hargrove, Sato, HCP's CFO, and (if available) an LP or LPAC member; consider a Moreau declaration after weighing Issue D-10.</w:t>
            </w:r>
          </w:p>
        </w:tc>
      </w:tr>
    </w:tbl>
    <w:p>
      <w:pPr>
        <w:spacing w:after="40"/>
      </w:pPr>
    </w:p>
    <w:p>
      <w:pPr>
        <w:pStyle w:val="Heading3"/>
      </w:pPr>
      <w:r>
        <w:rPr>
          <w:b w:val="0"/>
          <w:i w:val="0"/>
        </w:rPr>
        <w:t>D-2. The Ashford Declaration Is Largely Inadmissible Legal Opinion and Is Internally Contradictory</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Ashford Decl. ¶¶ 9, 24–76 (Opinions 1–4: the structure “lacks economic substance,” the allocations “are, in substance, guaranteed payments,” Rev. Proc. 93-27 “supports the conclusion” they are taxable at receipt, and the structure “constitutes a disguised payment”).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Expert testimony that tells the court what the law is or how it applies to the facts is inadmissible. </w:t>
            </w:r>
            <w:r>
              <w:rPr>
                <w:b w:val="0"/>
                <w:i/>
                <w:sz w:val="20"/>
              </w:rPr>
              <w:t>Marx &amp; Co. v. Diners' Club, Inc.</w:t>
            </w:r>
            <w:r>
              <w:rPr>
                <w:b w:val="0"/>
                <w:i w:val="0"/>
                <w:sz w:val="20"/>
              </w:rPr>
              <w:t xml:space="preserve">, 550 F.2d 505, 509–12 (2d Cir. 1977); </w:t>
            </w:r>
            <w:r>
              <w:rPr>
                <w:b w:val="0"/>
                <w:i/>
                <w:sz w:val="20"/>
              </w:rPr>
              <w:t>Hygh v. Jacobs</w:t>
            </w:r>
            <w:r>
              <w:rPr>
                <w:b w:val="0"/>
                <w:i w:val="0"/>
                <w:sz w:val="20"/>
              </w:rPr>
              <w:t xml:space="preserve">, 961 F.2d 359, 363–64 (2d Cir. 1992); </w:t>
            </w:r>
            <w:r>
              <w:rPr>
                <w:b w:val="0"/>
                <w:i/>
                <w:sz w:val="20"/>
              </w:rPr>
              <w:t>United States v. Bilzerian</w:t>
            </w:r>
            <w:r>
              <w:rPr>
                <w:b w:val="0"/>
                <w:i w:val="0"/>
                <w:sz w:val="20"/>
              </w:rPr>
              <w:t>, 926 F.2d 1285, 1294 (2d Cir. 1991) [cite-check]. Each of Ashford's four opinions is a legal conclusion on the ultimate issue, and Opinion 3 is premised on a misstatement of Rev. Proc. 93-27. Her Opinions 2 and 4 are mutually exclusive (§ 707(c) partner capacity vs. § 707(a) non-partner capacity), and ¶ 35 (“second carried interest layer”) contradicts both. She cites no authority for propositions such as “[a]s the Tax Court has recognized” (¶ 38) and “[c]ourts have consistently scrutinized” (¶ 26), and her “every year from 2016” premise (¶ 74) lacks foundation (Issue A-12). Her methodology is ex post (Issue D-4).</w:t>
            </w:r>
          </w:p>
          <w:p>
            <w:pPr>
              <w:spacing w:after="60"/>
            </w:pPr>
            <w:r>
              <w:rPr>
                <w:b w:val="0"/>
                <w:i w:val="0"/>
                <w:sz w:val="20"/>
              </w:rPr>
              <w:t>Her qualifications and prior engagements (¶¶ 3–6) are a source of potential impeachment: she has testified for taxpayers on “characterization of management company allocations” (</w:t>
            </w:r>
            <w:r>
              <w:rPr>
                <w:b w:val="0"/>
                <w:i/>
                <w:sz w:val="20"/>
              </w:rPr>
              <w:t>Ridgemont Holdings</w:t>
            </w:r>
            <w:r>
              <w:rPr>
                <w:b w:val="0"/>
                <w:i w:val="0"/>
                <w:sz w:val="20"/>
              </w:rPr>
              <w:t>) and on economic substance of profit-sharing arrangements (</w:t>
            </w:r>
            <w:r>
              <w:rPr>
                <w:b w:val="0"/>
                <w:i/>
                <w:sz w:val="20"/>
              </w:rPr>
              <w:t>Stonebridge</w:t>
            </w:r>
            <w:r>
              <w:rPr>
                <w:b w:val="0"/>
                <w:i w:val="0"/>
                <w:sz w:val="20"/>
              </w:rPr>
              <w:t>), and she has published on fee waivers (46 Tax L. Rev. 289 (2014)).</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Eliminating or discounting Ashford removes the only “expert” support for the guaranteed-payment remedy and the Rev. Proc. 93-27 theory, and leaves the economic substance argument resting on the Brief's own assertions.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Object under Fed. R. Civ. P. 56(c)(2) and Fed. R. Evid. 702/704 in the opposition (targeted to legal conclusions and the misstatement of Rev. Proc. 93-27), rather than filing a stand-alone </w:t>
            </w:r>
            <w:r>
              <w:rPr>
                <w:b w:val="0"/>
                <w:i/>
                <w:sz w:val="20"/>
              </w:rPr>
              <w:t>Daubert</w:t>
            </w:r>
            <w:r>
              <w:rPr>
                <w:b w:val="0"/>
                <w:i w:val="0"/>
                <w:sz w:val="20"/>
              </w:rPr>
              <w:t xml:space="preserve"> motion now. In a bench proceeding the Court may admit the declaration “for what it is worth,” so the opposition should also rebut it on the merits.</w:t>
            </w:r>
          </w:p>
          <w:p>
            <w:pPr>
              <w:spacing w:after="60"/>
            </w:pPr>
            <w:r>
              <w:rPr>
                <w:b w:val="0"/>
                <w:i w:val="0"/>
                <w:sz w:val="20"/>
              </w:rPr>
              <w:t>Obtain Ashford's prior testimony and publications, particularly any taxpayer-side statements that a carry-forward is a “timing mechanism” consistent with entrepreneurial risk or that fee waivers can be respected.</w:t>
            </w:r>
          </w:p>
        </w:tc>
      </w:tr>
    </w:tbl>
    <w:p>
      <w:pPr>
        <w:spacing w:after="40"/>
      </w:pPr>
    </w:p>
    <w:p>
      <w:pPr>
        <w:pStyle w:val="Heading3"/>
      </w:pPr>
      <w:r>
        <w:rPr>
          <w:b w:val="0"/>
          <w:i w:val="0"/>
        </w:rPr>
        <w:t>D-3. The Brief Does Not Use the Strongest Version of the Government's Own Regulatory Argument — Which Is an Opportunity and a Warning</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IV.A.2 (misstated factors). Compare Prop. Treas. Reg. § 1.707-2(c)(1)(ii) [cite-check text].</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The proposed regulation lists facts that create a presumption that an arrangement lacks significant entrepreneurial risk, including an allocation that is “reasonably determinable” or “designed to assure that sufficient net profits are highly likely to be available,” specifically an allocation of “net profits from specific transactions or accounting periods” that “does not depend on the long-term future success of the enterprise,” and a waiver that is non-binding or not timely communicated to the partnership and its partners. HCP's allocation is drawn from the net long-term capital gains of each </w:t>
            </w:r>
            <w:r>
              <w:rPr>
                <w:b w:val="0"/>
                <w:i/>
                <w:sz w:val="20"/>
              </w:rPr>
              <w:t>fiscal year</w:t>
            </w:r>
            <w:r>
              <w:rPr>
                <w:b w:val="0"/>
                <w:i w:val="0"/>
                <w:sz w:val="20"/>
              </w:rPr>
              <w:t xml:space="preserve"> (Election Forms § 3), sits ahead of the LPs, is not subject to the carried-interest hurdle or clawback (Ashford ¶ 35), and the GP (controlled by HCP) influences the timing of exits. The government has not made this argument clearly, but a competent reply could.</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This is the most serious substantive risk on the merits. The government's failure to frame it now is a short-term advantage; we should not assume it will persist.</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Prepare the response now: (i) the allocation is not “reasonably determinable” or “highly likely” (Fund V; Dr. Chu's ex ante analysis); (ii) unsatisfied amounts carry forward but remain dependent on long-term Fund success and expire on liquidation — i.e., they </w:t>
            </w:r>
            <w:r>
              <w:rPr>
                <w:b w:val="0"/>
                <w:i/>
                <w:sz w:val="20"/>
              </w:rPr>
              <w:t>do</w:t>
            </w:r>
            <w:r>
              <w:rPr>
                <w:b w:val="0"/>
                <w:i w:val="0"/>
                <w:sz w:val="20"/>
              </w:rPr>
              <w:t xml:space="preserve"> depend on the long-term future success of the enterprise; (iii) elections were binding, irrevocable, and acknowledged by the GP, and changes required LPAC consent (Election Forms § 5(c)); (iv) gather evidence that LPs were notified (Issue A-13); (v) evidence on how exit timing was determined (investment committee, LP interests, market conditions) to rebut any manipulation inference.</w:t>
            </w:r>
          </w:p>
          <w:p>
            <w:pPr>
              <w:spacing w:after="60"/>
            </w:pPr>
            <w:r>
              <w:rPr>
                <w:b w:val="0"/>
                <w:i w:val="0"/>
                <w:sz w:val="20"/>
              </w:rPr>
              <w:t>Do not invite this analysis in the opposition beyond what is needed to describe the regulation accurately; focus the presentation on the primary risk factor and the record.</w:t>
            </w:r>
          </w:p>
        </w:tc>
      </w:tr>
    </w:tbl>
    <w:p>
      <w:pPr>
        <w:spacing w:after="40"/>
      </w:pPr>
    </w:p>
    <w:p>
      <w:pPr>
        <w:pStyle w:val="Heading3"/>
      </w:pPr>
      <w:r>
        <w:rPr>
          <w:b w:val="0"/>
          <w:i w:val="0"/>
        </w:rPr>
        <w:t>D-4. Professor Ashford and the Brief Measure Risk With Hindsight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Ashford Decl. ¶¶ 33, 43–45, 69 (allocations were small relative to cumulative realized gains; “[t]he apparent risk was never a real risk”); Brief Arg. IV.B (Fund III “full compensation”).</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Entrepreneurial risk is evaluated when the arrangement is entered into, based on reasonable expectations at that time, not on how the investments ultimately performed. Ashford compares the allocations to Funds' </w:t>
            </w:r>
            <w:r>
              <w:rPr>
                <w:b w:val="0"/>
                <w:i/>
                <w:sz w:val="20"/>
              </w:rPr>
              <w:t>cumulative, multi-year</w:t>
            </w:r>
            <w:r>
              <w:rPr>
                <w:b w:val="0"/>
                <w:i w:val="0"/>
                <w:sz w:val="20"/>
              </w:rPr>
              <w:t xml:space="preserve"> realized gains, but each allocation was payable from </w:t>
            </w:r>
            <w:r>
              <w:rPr>
                <w:b w:val="0"/>
                <w:i/>
                <w:sz w:val="20"/>
              </w:rPr>
              <w:t>net</w:t>
            </w:r>
            <w:r>
              <w:rPr>
                <w:b w:val="0"/>
                <w:i w:val="0"/>
                <w:sz w:val="20"/>
              </w:rPr>
              <w:t xml:space="preserve"> long-term capital gains realized </w:t>
            </w:r>
            <w:r>
              <w:rPr>
                <w:b w:val="0"/>
                <w:i/>
                <w:sz w:val="20"/>
              </w:rPr>
              <w:t>during the applicable fiscal year</w:t>
            </w:r>
            <w:r>
              <w:rPr>
                <w:b w:val="0"/>
                <w:i w:val="0"/>
                <w:sz w:val="20"/>
              </w:rPr>
              <w:t xml:space="preserve"> (with carry-forward only to later years). The relevant question is the probability, at the election date, that the Fund would realize sufficient net long-term gains in that year or before liquidation. Fund V shows the risk was real in exactly the scenario that matters.</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The hindsight methodology is a legitimate ground to discount Ashford's opinions and to frame the issue as an ex ante factual question.</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Retain Dr. Chu immediately (Issue D-7) to provide an ex ante risk analysis for each election (fund age, portfolio maturity, pipeline of exits, historical annual realization variability, comparable-fund data).</w:t>
            </w:r>
          </w:p>
        </w:tc>
      </w:tr>
    </w:tbl>
    <w:p>
      <w:pPr>
        <w:spacing w:after="40"/>
      </w:pPr>
    </w:p>
    <w:p>
      <w:pPr>
        <w:pStyle w:val="Heading2"/>
      </w:pPr>
      <w:r>
        <w:rPr>
          <w:b w:val="0"/>
          <w:i w:val="0"/>
        </w:rPr>
        <w:t>B. Vulnerabilities in HCP's Position</w:t>
      </w:r>
    </w:p>
    <w:p>
      <w:pPr>
        <w:pStyle w:val="Heading3"/>
      </w:pPr>
      <w:r>
        <w:rPr>
          <w:b w:val="0"/>
          <w:i w:val="0"/>
        </w:rPr>
        <w:t>D-5. Contemporaneous Documents Discuss “Tax Efficiency” and Tax “Benefits”</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Quillen Decl. ¶¶ 81–84; Exs. 10–11 (Hargrove–Sato emails, September 2017–December 2019, discussing “tax efficiency”; October 12, 2017 forward of a Moreau memorandum “summarizing the anticipated tax benefits”; 2017 partner meeting minutes reflecting a Moreau presentation on the program's “benefits”).</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Brief does not quote these documents (it miscites Ex. 10 as performance data), but the government will likely use them in reply or at trial on purpose and penalties. They are not fatal — § 7701(o)(1)(B) requires a substantial non-tax purpose, not the absence of a tax purpose — but they make the purpose prong a real contest.</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Risk to economic substance and negligence defenses if HCP cannot point to contemporaneous non-tax purpose evidence.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Review Exs. 10 and 11 in full now. Identify contemporaneous non-tax rationales in the same documents (LP alignment, fundraising for Fund V, LPAC discussions). Prepare Hargrove and Sato to explain the documents. Do not assert privilege over documents already produced.</w:t>
            </w:r>
          </w:p>
        </w:tc>
      </w:tr>
    </w:tbl>
    <w:p>
      <w:pPr>
        <w:spacing w:after="40"/>
      </w:pPr>
    </w:p>
    <w:p>
      <w:pPr>
        <w:pStyle w:val="Heading3"/>
      </w:pPr>
      <w:r>
        <w:rPr>
          <w:b w:val="0"/>
          <w:i w:val="0"/>
        </w:rPr>
        <w:t>D-6. Fund III and Fund IV Gains Dwarfed the Allocations, Which Gives the Government's Ex Post Argument Intuitive Appeal</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Ashford Decl. ¶¶ 43, 45, 69 (Fund IV allocations were about 4.0% of its $742 million of realized gains; Fund III's $298 million was “more than twenty-five times” its $11,850,000 of allocations).</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arithmetic is correct ($29,762,000 ÷ $742M = 4.0%; $298M ÷ $11.85M = 25.1x). Although the methodology is flawed (Issue D-4), a factfinder may find it persuasive that the allocations were always very likely to be satisfied.</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This is the government's best real-world fact on risk for $41.6 million of the $47.6 million.</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Counter with year-specific data (annual net long-term gains in each election year versus the allocation), the subordination and liquidation cut-off features, and Dr. Chu's ex ante analysis. Consider whether any year came close to a shortfall.</w:t>
            </w:r>
          </w:p>
        </w:tc>
      </w:tr>
    </w:tbl>
    <w:p>
      <w:pPr>
        <w:spacing w:after="40"/>
      </w:pPr>
    </w:p>
    <w:p>
      <w:pPr>
        <w:pStyle w:val="Heading3"/>
      </w:pPr>
      <w:r>
        <w:rPr>
          <w:b w:val="0"/>
          <w:i w:val="0"/>
        </w:rPr>
        <w:t>D-7. HCP's Expert Engagement Is Not Finalized, and the Opposition Is Due May 17, 2024</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Assignment email (Dr. Raymond Chu of Crestview Economic Consulting expected but not yet engaged).</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Several of the most important rebuttals require expert support: ex ante risk analysis, MOIC/realization data, time value of the carry-forward, LP economics under fee vs. waiver, and industry practice. Without an expert declaration, Ashford's opinions on economic matters would be unrebutted.</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Timing risk. Three and a half weeks is tight for an expert declaration.</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Finalize the Chu engagement this week (through counsel, to protect work product). Define the scope now (see Part IX). If the expert analysis or discovery we need (earlier Quillen draft, Ashford materials, penalty approval) cannot be completed, prepare a Fed. R. Civ. P. 56(d) declaration identifying the specific facts needed and why.</w:t>
            </w:r>
          </w:p>
        </w:tc>
      </w:tr>
    </w:tbl>
    <w:p>
      <w:pPr>
        <w:spacing w:after="40"/>
      </w:pPr>
    </w:p>
    <w:p>
      <w:pPr>
        <w:pStyle w:val="Heading3"/>
      </w:pPr>
      <w:r>
        <w:rPr>
          <w:b w:val="0"/>
          <w:i w:val="0"/>
        </w:rPr>
        <w:t>D-8. HCP Reported the $6,000,000 Fund V Allocation as Long-Term Capital Gain for TY 2020 Although No Allocation Was Made</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Quillen Decl. ¶ 48 (“The TY 2020 return reported the $6,000,000 priority allocation from Fund V as long-term capital gain notwithstanding that . . . Fund V had not realized any capital gains”); Ashford Decl. ¶¶ 23, 48 (HCP “treated the priority allocation as a right to receive a fixed amount of compensation regardless of Fund V's actual performance”).</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This is the most dangerous fact in the record for HCP. It allows the government to argue that HCP itself treated the allocation as a fixed entitlement, undermining the Fund V risk narrative that is otherwise HCP's strongest point. It may also raise questions about the accuracy of the Fund V K-1 to HCP and the TY 2020 return preparation by Ridgeline.</w:t>
            </w:r>
          </w:p>
          <w:p>
            <w:pPr>
              <w:spacing w:after="60"/>
            </w:pPr>
            <w:r>
              <w:rPr>
                <w:b w:val="0"/>
                <w:i w:val="0"/>
                <w:sz w:val="20"/>
              </w:rPr>
              <w:t xml:space="preserve">There is a substantial counter-argument: if no allocation was made in 2020, HCP had no 2020 income from Fund V of </w:t>
            </w:r>
            <w:r>
              <w:rPr>
                <w:b w:val="0"/>
                <w:i/>
                <w:sz w:val="20"/>
              </w:rPr>
              <w:t>any</w:t>
            </w:r>
            <w:r>
              <w:rPr>
                <w:b w:val="0"/>
                <w:i w:val="0"/>
                <w:sz w:val="20"/>
              </w:rPr>
              <w:t xml:space="preserve"> character; reporting it was an </w:t>
            </w:r>
            <w:r>
              <w:rPr>
                <w:b w:val="0"/>
                <w:i/>
                <w:sz w:val="20"/>
              </w:rPr>
              <w:t>over</w:t>
            </w:r>
            <w:r>
              <w:rPr>
                <w:b w:val="0"/>
                <w:i w:val="0"/>
                <w:sz w:val="20"/>
              </w:rPr>
              <w:t>-reporting error that increased HCP's partners' tax. The FPAA's recharacterization of that $6,000,000 as ordinary income for TY 2020 is wrong regardless of the merits, because there was no allocation and distribution to recharacterize. The correct partnership adjustment for that item is its removal, not recharacterization.</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How we handle this will determine whether Fund V is our best fact or the government's. It also affects the client's credibility and potentially Ridgeline's.</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Before May 17, determine from HCP and Ridgeline: what the Fund V K-1 to HCP reported; whether HCP's return reflected an accrual, a book entry, or an error; whether the allocation was later satisfied (in which year and amount); and whether the partners' returns were affected. Discuss at the April 24 client call.</w:t>
            </w:r>
          </w:p>
          <w:p>
            <w:pPr>
              <w:spacing w:after="60"/>
            </w:pPr>
            <w:r>
              <w:rPr>
                <w:b w:val="0"/>
                <w:i w:val="0"/>
                <w:sz w:val="20"/>
              </w:rPr>
              <w:t>Likely approach: acknowledge the reporting error candidly, explain it, and argue that it confirms rather than refutes the contingency (no gains, no allocation, no income). Request in the alternative that any judgment exclude the $6,000,000 from TY 2020 adjustments. Consider whether to coordinate on the treatment of the later year in which any carry-forward was satisfied (likely outside this proceeding).</w:t>
            </w:r>
          </w:p>
        </w:tc>
      </w:tr>
    </w:tbl>
    <w:p>
      <w:pPr>
        <w:spacing w:after="40"/>
      </w:pPr>
    </w:p>
    <w:p>
      <w:pPr>
        <w:pStyle w:val="Heading3"/>
      </w:pPr>
      <w:r>
        <w:rPr>
          <w:b w:val="0"/>
          <w:i w:val="0"/>
        </w:rPr>
        <w:t>D-9. The Fund V Election Is Outside the Ridgeline Opinion's Express Reliance Scope</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Ridgeline Opinion § IV (“Prospective Election Timing”): “This opinion should not be relied upon for any waiver election that is not timely executed and delivered before the start of the relevant fiscal year.” Election summary (“No” for Election No. 6).</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government has not yet made this argument, but it will once HCP asserts reasonable cause. For the Fund V $6,000,000, the reliance defense is weaker unless we can show that the election preceded the start of Fund V's first fiscal year (Issue A-2). The Opinion also addressed only Funds III and IV, extending to future funds only if the terms and facts were “materially unchanged.”</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Penalty exposure on the Fund V component; also a merits soft spot. The dollar amount is limited (12.6% of the adjustment), and if Issue D-8 is resolved as above, there may be no Fund V income to penalize at all.</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Develop the formation-date argument and obtain any Ridgeline communications in early 2020 confirming that the Fund V election was within the Opinion. Consider a strategic concession or narrowing on Fund V if it protects credibility on the remaining $41.6 million.</w:t>
            </w:r>
          </w:p>
        </w:tc>
      </w:tr>
    </w:tbl>
    <w:p>
      <w:pPr>
        <w:spacing w:after="40"/>
      </w:pPr>
    </w:p>
    <w:p>
      <w:pPr>
        <w:pStyle w:val="Heading3"/>
      </w:pPr>
      <w:r>
        <w:rPr>
          <w:b w:val="0"/>
          <w:i w:val="0"/>
        </w:rPr>
        <w:t>D-10. The Reasonable Cause Defense Has Weaknesses the Government Has Not Yet Exploited</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Quillen Decl. ¶¶ 64–70; Ridgeline Opinion §§ I, II.K, IV, signature block; Brief Part V.B.4 (Hargrove's background).</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(1) </w:t>
            </w:r>
            <w:r>
              <w:rPr>
                <w:b/>
                <w:i w:val="0"/>
                <w:sz w:val="20"/>
              </w:rPr>
              <w:t>Adviser independence.</w:t>
            </w:r>
            <w:r>
              <w:rPr>
                <w:b w:val="0"/>
                <w:i w:val="0"/>
                <w:sz w:val="20"/>
              </w:rPr>
              <w:t xml:space="preserve"> Ridgeline designed the structure and prepared the returns (Quillen ¶ 68). The government may argue Ridgeline was a conflicted adviser or promoter whose advice cannot support reasonable cause [cite-check: Treas. Reg. § 1.6664-4(c); </w:t>
            </w:r>
            <w:r>
              <w:rPr>
                <w:b w:val="0"/>
                <w:i/>
                <w:sz w:val="20"/>
              </w:rPr>
              <w:t>106 Ltd. v. Commissioner</w:t>
            </w:r>
            <w:r>
              <w:rPr>
                <w:b w:val="0"/>
                <w:i w:val="0"/>
                <w:sz w:val="20"/>
              </w:rPr>
              <w:t xml:space="preserve">, 136 T.C. 67 (2011), </w:t>
            </w:r>
            <w:r>
              <w:rPr>
                <w:b w:val="0"/>
                <w:i/>
                <w:sz w:val="20"/>
              </w:rPr>
              <w:t>aff'd</w:t>
            </w:r>
            <w:r>
              <w:rPr>
                <w:b w:val="0"/>
                <w:i w:val="0"/>
                <w:sz w:val="20"/>
              </w:rPr>
              <w:t>, 684 F.3d 84 (D.C. Cir. 2012)]. Our response: the promoter line of cases concerns advisers who sell a product to multiple clients; Ridgeline was HCP's regular adviser and was engaged at counsel's request.</w:t>
            </w:r>
          </w:p>
          <w:p>
            <w:pPr>
              <w:spacing w:after="60"/>
            </w:pPr>
            <w:r>
              <w:rPr>
                <w:b w:val="0"/>
                <w:i w:val="0"/>
                <w:sz w:val="20"/>
              </w:rPr>
              <w:t xml:space="preserve">(2) </w:t>
            </w:r>
            <w:r>
              <w:rPr>
                <w:b/>
                <w:i w:val="0"/>
                <w:sz w:val="20"/>
              </w:rPr>
              <w:t>Unverified facts.</w:t>
            </w:r>
            <w:r>
              <w:rPr>
                <w:b w:val="0"/>
                <w:i w:val="0"/>
                <w:sz w:val="20"/>
              </w:rPr>
              <w:t xml:space="preserve"> The Opinion relies on representations by HCP and Thornfield &amp; Locke “without independent verification” (§ II.K). The government will test whether those representations were accurate and complete (e.g., no credit support; elections before fiscal year start).</w:t>
            </w:r>
          </w:p>
          <w:p>
            <w:pPr>
              <w:spacing w:after="60"/>
            </w:pPr>
            <w:r>
              <w:rPr>
                <w:b w:val="0"/>
                <w:i w:val="0"/>
                <w:sz w:val="20"/>
              </w:rPr>
              <w:t xml:space="preserve">(3) </w:t>
            </w:r>
            <w:r>
              <w:rPr>
                <w:b/>
                <w:i w:val="0"/>
                <w:sz w:val="20"/>
              </w:rPr>
              <w:t>Unsigned copy.</w:t>
            </w:r>
            <w:r>
              <w:rPr>
                <w:b w:val="0"/>
                <w:i w:val="0"/>
                <w:sz w:val="20"/>
              </w:rPr>
              <w:t xml:space="preserve"> Our copy of the Opinion has a blank signature line (“By: ______”). We need the executed version.</w:t>
            </w:r>
          </w:p>
          <w:p>
            <w:pPr>
              <w:spacing w:after="60"/>
            </w:pPr>
            <w:r>
              <w:rPr>
                <w:b w:val="0"/>
                <w:i w:val="0"/>
                <w:sz w:val="20"/>
              </w:rPr>
              <w:t xml:space="preserve">(4) </w:t>
            </w:r>
            <w:r>
              <w:rPr>
                <w:b/>
                <w:i w:val="0"/>
                <w:sz w:val="20"/>
              </w:rPr>
              <w:t>No post-Pinnacle update.</w:t>
            </w:r>
            <w:r>
              <w:rPr>
                <w:b w:val="0"/>
                <w:i w:val="0"/>
                <w:sz w:val="20"/>
              </w:rPr>
              <w:t xml:space="preserve"> </w:t>
            </w:r>
            <w:r>
              <w:rPr>
                <w:b w:val="0"/>
                <w:i/>
                <w:sz w:val="20"/>
              </w:rPr>
              <w:t>Pinnacle</w:t>
            </w:r>
            <w:r>
              <w:rPr>
                <w:b w:val="0"/>
                <w:i w:val="0"/>
                <w:sz w:val="20"/>
              </w:rPr>
              <w:t xml:space="preserve"> was decided June 14, 2019, before the TY 2018 return was filed (September 15, 2019) and before the TY 2019 and TY 2020 elections and returns. Ridgeline disclaimed any duty to update (§ IV). Good faith reliance for later years is stronger if Ridgeline or counsel considered </w:t>
            </w:r>
            <w:r>
              <w:rPr>
                <w:b w:val="0"/>
                <w:i/>
                <w:sz w:val="20"/>
              </w:rPr>
              <w:t>Pinnacle</w:t>
            </w:r>
            <w:r>
              <w:rPr>
                <w:b w:val="0"/>
                <w:i w:val="0"/>
                <w:sz w:val="20"/>
              </w:rPr>
              <w:t xml:space="preserve"> and concluded it was distinguishable (the protest and exam correspondence suggest HCP did; Quillen ¶¶ 58, 77).</w:t>
            </w:r>
          </w:p>
          <w:p>
            <w:pPr>
              <w:spacing w:after="60"/>
            </w:pPr>
            <w:r>
              <w:rPr>
                <w:b w:val="0"/>
                <w:i w:val="0"/>
                <w:sz w:val="20"/>
              </w:rPr>
              <w:t xml:space="preserve">(5) </w:t>
            </w:r>
            <w:r>
              <w:rPr>
                <w:b/>
                <w:i w:val="0"/>
                <w:sz w:val="20"/>
              </w:rPr>
              <w:t>Taxpayer sophistication.</w:t>
            </w:r>
            <w:r>
              <w:rPr>
                <w:b w:val="0"/>
                <w:i w:val="0"/>
                <w:sz w:val="20"/>
              </w:rPr>
              <w:t xml:space="preserve"> Mr. Hargrove's tax background (if accurate) is relevant under Treas. Reg. § 1.6664-4(b)(1) and cuts both ways: it supports informed reliance but invites the argument that he knew better.</w:t>
            </w:r>
          </w:p>
          <w:p>
            <w:pPr>
              <w:spacing w:after="60"/>
            </w:pPr>
            <w:r>
              <w:rPr>
                <w:b w:val="0"/>
                <w:i w:val="0"/>
                <w:sz w:val="20"/>
              </w:rPr>
              <w:t xml:space="preserve">(6) </w:t>
            </w:r>
            <w:r>
              <w:rPr>
                <w:b/>
                <w:i w:val="0"/>
                <w:sz w:val="20"/>
              </w:rPr>
              <w:t>Waiver of privilege.</w:t>
            </w:r>
            <w:r>
              <w:rPr>
                <w:b w:val="0"/>
                <w:i w:val="0"/>
                <w:sz w:val="20"/>
              </w:rPr>
              <w:t xml:space="preserve"> Asserting reliance on advice puts the advice at issue, and the government will seek the Moreau memorandum (Quillen ¶ 82), Ridgeline's files, and possibly communications with this firm (Issue D-12).</w:t>
            </w:r>
          </w:p>
        </w:tc>
      </w:tr>
      <w:tr>
        <w:tc>
          <w:tcPr>
            <w:tcW w:type="dxa" w:w="1944"/>
            <w:shd w:val="clear" w:color="auto" w:fill="EDEDED"/>
          </w:tcPr>
          <w:p>
            <w:r/>
            <w:r>
              <w:rPr>
                <w:b/>
                <w:i w:val="0"/>
                <w:sz w:val="20"/>
              </w:rPr>
              <w:t>Severity</w:t>
            </w:r>
          </w:p>
        </w:tc>
        <w:tc>
          <w:tcPr>
            <w:tcW w:type="dxa" w:w="7416"/>
            <w:shd w:val="clear" w:color="auto" w:fill="FCE5CD"/>
          </w:tcPr>
          <w:p>
            <w:pPr>
              <w:spacing w:after="60"/>
            </w:pPr>
            <w:r/>
            <w:r>
              <w:rPr>
                <w:b w:val="0"/>
                <w:i w:val="0"/>
                <w:sz w:val="20"/>
              </w:rPr>
              <w:t>Significant — Reasonable cause remains HCP's strongest penalty defense on summary judgment, but each point must be prepared for trial.</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 xml:space="preserve">Collect the executed Opinion, Ridgeline engagement letter, all Ridgeline communications regarding </w:t>
            </w:r>
            <w:r>
              <w:rPr>
                <w:b w:val="0"/>
                <w:i/>
                <w:sz w:val="20"/>
              </w:rPr>
              <w:t>Pinnacle</w:t>
            </w:r>
            <w:r>
              <w:rPr>
                <w:b w:val="0"/>
                <w:i w:val="0"/>
                <w:sz w:val="20"/>
              </w:rPr>
              <w:t xml:space="preserve"> and Fund V, and the information HCP provided. Decide early on the scope of the reliance defense and the resulting privilege waiver (limit to Ridgeline if possible).</w:t>
            </w:r>
          </w:p>
        </w:tc>
      </w:tr>
    </w:tbl>
    <w:p>
      <w:pPr>
        <w:spacing w:after="40"/>
      </w:pPr>
    </w:p>
    <w:p>
      <w:pPr>
        <w:pStyle w:val="Heading3"/>
      </w:pPr>
      <w:r>
        <w:rPr>
          <w:b w:val="0"/>
          <w:i w:val="0"/>
        </w:rPr>
        <w:t>D-11. The Greystone Borrowing Base Disclosure Could Be Recast as Credit Support</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Quillen Decl. ¶¶ 78–80 (borrowing base certificate dated January 15, 2020 “discloses the resulting priority profit allocation obligations of Fund IV to HCP”; arrangements “integrated into Fund IV's broader financial operations and were known to the fund's lender”).</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The Ridgeline Opinion assumes no “side letter, credit facility, or other arrangement that would backstop the allocation” (§ III.A.2 Factor 4). A lender's treatment of the priority allocation as an “obligation” in the borrowing base might be argued to show that the allocation was viewed as a fixed liability or that facility proceeds could fund it. This is likely benign (lenders customarily require disclosure of fund-level arrangements), and third-party disclosure also helps HCP by showing the program was real and transparent.</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Low current risk; must be checked before we characterize the arrangement as having no credit support.</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Review Ex. 13 in full: whether facility proceeds could be used to satisfy priority allocations, any covenant referencing the allocations, and how the obligation was measured. Note the date discrepancy (Oct. 1 vs. Dec. 1, 2017) (Issue C-9).</w:t>
            </w:r>
          </w:p>
        </w:tc>
      </w:tr>
    </w:tbl>
    <w:p>
      <w:pPr>
        <w:spacing w:after="40"/>
      </w:pPr>
    </w:p>
    <w:p>
      <w:pPr>
        <w:pStyle w:val="Heading3"/>
      </w:pPr>
      <w:r>
        <w:rPr>
          <w:b w:val="0"/>
          <w:i w:val="0"/>
        </w:rPr>
        <w:t>D-12. Thornfield &amp; Locke's Own Involvement Creates Privilege-Waiver and Advocate-Witness Risk</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Brief SUMF ¶ 6, Arg. IV.C.2 n.14, Part V.B.4 (Hargrove was a T&amp;L partnership tax attorney for eight years); Ridgeline Opinion § I (engagement “initiated at the request of HCP's counsel, Thornfield &amp; Locke LLP”), § II.K (facts “provided to Ridgeline by HCP and its counsel, Thornfield &amp; Locke LLP”), cc to R. Calvin Briggs; Quillen Decl. ¶¶ 56, 58–59 (T&amp;L represented HCP in the examination).</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 xml:space="preserve">If HCP relies on the Ridgeline Opinion for reasonable cause, the government will argue that the factual representations underlying the Opinion — some of which came from this firm — and the firm's advice about the structure are at issue. That raises (1) a risk of at-issue waiver extending to T&amp;L communications [cite-check: </w:t>
            </w:r>
            <w:r>
              <w:rPr>
                <w:b w:val="0"/>
                <w:i/>
                <w:sz w:val="20"/>
              </w:rPr>
              <w:t>In re County of Erie</w:t>
            </w:r>
            <w:r>
              <w:rPr>
                <w:b w:val="0"/>
                <w:i w:val="0"/>
                <w:sz w:val="20"/>
              </w:rPr>
              <w:t>, 546 F.3d 222, 228–29 (2d Cir. 2008)]; (2) the possibility that T&amp;L lawyers could be necessary witnesses on reasonable cause and good faith (N.Y. Rules of Prof'l Conduct 3.7); and (3) a potential conflict if the firm's own advice or representations are questioned (Rule 1.7). Mr. Hargrove's prior employment at the firm may also be relevant to the government's narrative and to any conflict analysis.</w:t>
            </w:r>
          </w:p>
        </w:tc>
      </w:tr>
      <w:tr>
        <w:tc>
          <w:tcPr>
            <w:tcW w:type="dxa" w:w="1944"/>
            <w:shd w:val="clear" w:color="auto" w:fill="EDEDED"/>
          </w:tcPr>
          <w:p>
            <w:r/>
            <w:r>
              <w:rPr>
                <w:b/>
                <w:i w:val="0"/>
                <w:sz w:val="20"/>
              </w:rPr>
              <w:t>Severity</w:t>
            </w:r>
          </w:p>
        </w:tc>
        <w:tc>
          <w:tcPr>
            <w:tcW w:type="dxa" w:w="7416"/>
            <w:shd w:val="clear" w:color="auto" w:fill="F4CCCC"/>
          </w:tcPr>
          <w:p>
            <w:pPr>
              <w:spacing w:after="60"/>
            </w:pPr>
            <w:r/>
            <w:r>
              <w:rPr>
                <w:b w:val="0"/>
                <w:i w:val="0"/>
                <w:sz w:val="20"/>
              </w:rPr>
              <w:t>Critical — Internal, not for the brief. If unaddressed, this could lead to a disqualification motion, a forced privilege waiver, or an awkward witness issue at trial — at a time of the government's choosing.</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Raise with the firm's General Counsel this week; run an updated conflicts and witness analysis. Determine what role T&amp;L played in 2017 (structuring advice? fact representations to Ridgeline?). Discuss with the client and document informed consent if appropriate. Consider whether the reliance defense can be confined to Ridgeline's independent analysis, and whether separate counsel should handle any witness issues. Prepare a privilege strategy before the opposition asserts reasonable cause.</w:t>
            </w:r>
          </w:p>
        </w:tc>
      </w:tr>
    </w:tbl>
    <w:p>
      <w:pPr>
        <w:spacing w:after="40"/>
      </w:pPr>
    </w:p>
    <w:p>
      <w:pPr>
        <w:pStyle w:val="Heading3"/>
      </w:pPr>
      <w:r>
        <w:rPr>
          <w:b w:val="0"/>
          <w:i w:val="0"/>
        </w:rPr>
        <w:t>D-13. Accepting the Carried-Interest Analogy Could Invite a § 1061 Recharacterization</w:t>
      </w:r>
    </w:p>
    <w:tbl>
      <w:tblPr>
        <w:tblStyle w:val="TableGrid"/>
        <w:tblW w:type="auto" w:w="0"/>
        <w:tblLook w:firstColumn="1" w:firstRow="1" w:lastColumn="0" w:lastRow="0" w:noHBand="0" w:noVBand="1" w:val="04A0"/>
      </w:tblPr>
      <w:tblGrid>
        <w:gridCol w:w="4680"/>
        <w:gridCol w:w="4680"/>
      </w:tblGrid>
      <w:tr>
        <w:tc>
          <w:tcPr>
            <w:tcW w:type="dxa" w:w="1944"/>
            <w:shd w:val="clear" w:color="auto" w:fill="EDEDED"/>
          </w:tcPr>
          <w:p>
            <w:r/>
            <w:r>
              <w:rPr>
                <w:b/>
                <w:i w:val="0"/>
                <w:sz w:val="20"/>
              </w:rPr>
              <w:t>Where it appears</w:t>
            </w:r>
          </w:p>
        </w:tc>
        <w:tc>
          <w:tcPr>
            <w:tcW w:type="dxa" w:w="7416"/>
          </w:tcPr>
          <w:p>
            <w:pPr>
              <w:spacing w:after="60"/>
            </w:pPr>
            <w:r/>
            <w:r>
              <w:rPr>
                <w:b w:val="0"/>
                <w:i w:val="0"/>
                <w:sz w:val="20"/>
              </w:rPr>
              <w:t>Arg. IV.B (“While § 1061 does not directly apply to fee waiver arrangements . . .”).</w:t>
            </w:r>
          </w:p>
        </w:tc>
      </w:tr>
      <w:tr>
        <w:tc>
          <w:tcPr>
            <w:tcW w:type="dxa" w:w="1944"/>
            <w:shd w:val="clear" w:color="auto" w:fill="EDEDED"/>
          </w:tcPr>
          <w:p>
            <w:r/>
            <w:r>
              <w:rPr>
                <w:b/>
                <w:i w:val="0"/>
                <w:sz w:val="20"/>
              </w:rPr>
              <w:t>Why it is wrong or vulnerable</w:t>
            </w:r>
          </w:p>
        </w:tc>
        <w:tc>
          <w:tcPr>
            <w:tcW w:type="dxa" w:w="7416"/>
          </w:tcPr>
          <w:p>
            <w:pPr>
              <w:spacing w:after="60"/>
            </w:pPr>
            <w:r/>
            <w:r>
              <w:rPr>
                <w:b w:val="0"/>
                <w:i w:val="0"/>
                <w:sz w:val="20"/>
              </w:rPr>
              <w:t>Section 1061 applies for tax years beginning after December 31, 2017 — all three years at issue — and treats certain gains on “applicable partnership interests” held in connection with services as short-term capital gain unless the holding period exceeds three years. If HCP embraces the carried-interest analogy too warmly, the government could argue in the alternative that some portion of the priority allocations is short-term capital gain under § 1061 (depending on the holding periods of the assets sold). The government has not made this argument and the FPAA did not assert it.</w:t>
            </w:r>
          </w:p>
        </w:tc>
      </w:tr>
      <w:tr>
        <w:tc>
          <w:tcPr>
            <w:tcW w:type="dxa" w:w="1944"/>
            <w:shd w:val="clear" w:color="auto" w:fill="EDEDED"/>
          </w:tcPr>
          <w:p>
            <w:r/>
            <w:r>
              <w:rPr>
                <w:b/>
                <w:i w:val="0"/>
                <w:sz w:val="20"/>
              </w:rPr>
              <w:t>Severity</w:t>
            </w:r>
          </w:p>
        </w:tc>
        <w:tc>
          <w:tcPr>
            <w:tcW w:type="dxa" w:w="7416"/>
            <w:shd w:val="clear" w:color="auto" w:fill="FFF2CC"/>
          </w:tcPr>
          <w:p>
            <w:pPr>
              <w:spacing w:after="60"/>
            </w:pPr>
            <w:r/>
            <w:r>
              <w:rPr>
                <w:b w:val="0"/>
                <w:i w:val="0"/>
                <w:sz w:val="20"/>
              </w:rPr>
              <w:t>Minor — A potential partial-loss scenario that is outside the FPAA. Worth knowing the exposure.</w:t>
            </w:r>
          </w:p>
        </w:tc>
      </w:tr>
      <w:tr>
        <w:tc>
          <w:tcPr>
            <w:tcW w:type="dxa" w:w="1944"/>
            <w:shd w:val="clear" w:color="auto" w:fill="EDEDED"/>
          </w:tcPr>
          <w:p>
            <w:r/>
            <w:r>
              <w:rPr>
                <w:b/>
                <w:i w:val="0"/>
                <w:sz w:val="20"/>
              </w:rPr>
              <w:t>Recommendation</w:t>
            </w:r>
          </w:p>
        </w:tc>
        <w:tc>
          <w:tcPr>
            <w:tcW w:type="dxa" w:w="7416"/>
          </w:tcPr>
          <w:p>
            <w:pPr>
              <w:spacing w:after="60"/>
            </w:pPr>
            <w:r/>
            <w:r>
              <w:rPr>
                <w:b w:val="0"/>
                <w:i w:val="0"/>
                <w:sz w:val="20"/>
              </w:rPr>
              <w:t>Use the carried-interest concession to establish partner-capacity and capital-gain character, but do not affirmatively characterize the priority allocations as “carried interest.” Ask HCP for holding-period data for the assets whose gains funded each allocation to size any § 1061 exposure.</w:t>
            </w:r>
          </w:p>
        </w:tc>
      </w:tr>
    </w:tbl>
    <w:p>
      <w:pPr>
        <w:spacing w:after="40"/>
      </w:pPr>
    </w:p>
    <w:p>
      <w:pPr>
        <w:pStyle w:val="Heading1"/>
      </w:pPr>
      <w:r>
        <w:rPr>
          <w:b w:val="0"/>
          <w:i w:val="0"/>
        </w:rPr>
        <w:t>VIII. Items That Appear Problematic but Should Not Be Raised</w:t>
      </w:r>
    </w:p>
    <w:p>
      <w:pPr>
        <w:spacing w:after="120"/>
      </w:pPr>
      <w:r>
        <w:rPr>
          <w:b w:val="0"/>
          <w:i w:val="0"/>
        </w:rPr>
        <w:t xml:space="preserve">Consistent with your instruction, the following items may look objectionable on a first read but are standard in tax litigation or would cost more credibility than they gain. I recommend that we </w:t>
      </w:r>
      <w:r>
        <w:rPr>
          <w:b/>
          <w:i w:val="0"/>
        </w:rPr>
        <w:t>not</w:t>
      </w:r>
      <w:r>
        <w:rPr>
          <w:b w:val="0"/>
          <w:i w:val="0"/>
        </w:rPr>
        <w:t xml:space="preserve"> raise them in the opposition (or, where noted, handle them only in discovery or internally).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
            <w:shd w:val="clear" w:color="auto" w:fill="D9D9D9"/>
          </w:tcPr>
          <w:p>
            <w:r/>
            <w:r>
              <w:rPr>
                <w:b/>
                <w:i w:val="0"/>
                <w:sz w:val="18"/>
              </w:rPr>
              <w:t>#</w:t>
            </w:r>
          </w:p>
        </w:tc>
        <w:tc>
          <w:tcPr>
            <w:tcW w:type="dxa" w:w="2088"/>
            <w:shd w:val="clear" w:color="auto" w:fill="D9D9D9"/>
          </w:tcPr>
          <w:p>
            <w:r/>
            <w:r>
              <w:rPr>
                <w:b/>
                <w:i w:val="0"/>
                <w:sz w:val="18"/>
              </w:rPr>
              <w:t>Item</w:t>
            </w:r>
          </w:p>
        </w:tc>
        <w:tc>
          <w:tcPr>
            <w:tcW w:type="dxa" w:w="1296"/>
            <w:shd w:val="clear" w:color="auto" w:fill="D9D9D9"/>
          </w:tcPr>
          <w:p>
            <w:r/>
            <w:r>
              <w:rPr>
                <w:b/>
                <w:i w:val="0"/>
                <w:sz w:val="18"/>
              </w:rPr>
              <w:t>Where</w:t>
            </w:r>
          </w:p>
        </w:tc>
        <w:tc>
          <w:tcPr>
            <w:tcW w:type="dxa" w:w="2952"/>
            <w:shd w:val="clear" w:color="auto" w:fill="D9D9D9"/>
          </w:tcPr>
          <w:p>
            <w:r/>
            <w:r>
              <w:rPr>
                <w:b/>
                <w:i w:val="0"/>
                <w:sz w:val="18"/>
              </w:rPr>
              <w:t>Why not to raise it</w:t>
            </w:r>
          </w:p>
        </w:tc>
        <w:tc>
          <w:tcPr>
            <w:tcW w:type="dxa" w:w="2952"/>
            <w:shd w:val="clear" w:color="auto" w:fill="D9D9D9"/>
          </w:tcPr>
          <w:p>
            <w:r/>
            <w:r>
              <w:rPr>
                <w:b/>
                <w:i w:val="0"/>
                <w:sz w:val="18"/>
              </w:rPr>
              <w:t>What to do instead</w:t>
            </w:r>
          </w:p>
        </w:tc>
      </w:tr>
      <w:tr>
        <w:tc>
          <w:tcPr>
            <w:tcW w:type="dxa" w:w="360"/>
          </w:tcPr>
          <w:p>
            <w:r/>
            <w:r>
              <w:rPr>
                <w:b w:val="0"/>
                <w:i w:val="0"/>
                <w:sz w:val="18"/>
              </w:rPr>
              <w:t>1</w:t>
            </w:r>
          </w:p>
        </w:tc>
        <w:tc>
          <w:tcPr>
            <w:tcW w:type="dxa" w:w="2088"/>
          </w:tcPr>
          <w:p>
            <w:r/>
            <w:r>
              <w:rPr>
                <w:b w:val="0"/>
                <w:i w:val="0"/>
                <w:sz w:val="18"/>
              </w:rPr>
              <w:t>Use of legislative history (H.R. Rep. No. 98-861 (1984) (Conf. Rep.)) to describe the purpose of § 707(a)(2)(A)</w:t>
            </w:r>
          </w:p>
        </w:tc>
        <w:tc>
          <w:tcPr>
            <w:tcW w:type="dxa" w:w="1296"/>
          </w:tcPr>
          <w:p>
            <w:r/>
            <w:r>
              <w:rPr>
                <w:b w:val="0"/>
                <w:i w:val="0"/>
                <w:sz w:val="18"/>
              </w:rPr>
              <w:t>SUMF ¶ 14 &amp; n.3; Arg. IV.A.1</w:t>
            </w:r>
          </w:p>
        </w:tc>
        <w:tc>
          <w:tcPr>
            <w:tcW w:type="dxa" w:w="2952"/>
          </w:tcPr>
          <w:p>
            <w:r/>
            <w:r>
              <w:rPr>
                <w:b w:val="0"/>
                <w:i w:val="0"/>
                <w:sz w:val="18"/>
              </w:rPr>
              <w:t>Courts routinely consult the 1984 legislative history for § 707(a)(2)(A), which is unusually rich, and the proposed regulations are built on it. An objection would look like we fear the history.</w:t>
            </w:r>
          </w:p>
        </w:tc>
        <w:tc>
          <w:tcPr>
            <w:tcW w:type="dxa" w:w="2952"/>
          </w:tcPr>
          <w:p>
            <w:r/>
            <w:r>
              <w:rPr>
                <w:b w:val="0"/>
                <w:i w:val="0"/>
                <w:sz w:val="18"/>
              </w:rPr>
              <w:t>Use the same history affirmatively: the 1984 committee reports identify entrepreneurial risk as the most important factor, which favors HCP. Cite-check the pin cites internally, but do not make an issue of them.</w:t>
            </w:r>
          </w:p>
        </w:tc>
      </w:tr>
      <w:tr>
        <w:tc>
          <w:tcPr>
            <w:tcW w:type="dxa" w:w="360"/>
          </w:tcPr>
          <w:p>
            <w:r/>
            <w:r>
              <w:rPr>
                <w:b w:val="0"/>
                <w:i w:val="0"/>
                <w:sz w:val="18"/>
              </w:rPr>
              <w:t>2</w:t>
            </w:r>
          </w:p>
        </w:tc>
        <w:tc>
          <w:tcPr>
            <w:tcW w:type="dxa" w:w="2088"/>
          </w:tcPr>
          <w:p>
            <w:r/>
            <w:r>
              <w:rPr>
                <w:b w:val="0"/>
                <w:i w:val="0"/>
                <w:sz w:val="18"/>
              </w:rPr>
              <w:t>Revenue-agent-type opinion and characterization statements in the Quillen Declaration (e.g., “I characterize this feature as a ‘make-whole’ . . . provision” (¶ 23); retroactive elections “may suggest . . . hindsight” (¶ 36); the program’s “effect” was to “convert” income (¶ 38))</w:t>
            </w:r>
          </w:p>
        </w:tc>
        <w:tc>
          <w:tcPr>
            <w:tcW w:type="dxa" w:w="1296"/>
          </w:tcPr>
          <w:p>
            <w:r/>
            <w:r>
              <w:rPr>
                <w:b w:val="0"/>
                <w:i w:val="0"/>
                <w:sz w:val="18"/>
              </w:rPr>
              <w:t>Quillen Decl.</w:t>
            </w:r>
          </w:p>
        </w:tc>
        <w:tc>
          <w:tcPr>
            <w:tcW w:type="dxa" w:w="2952"/>
          </w:tcPr>
          <w:p>
            <w:r/>
            <w:r>
              <w:rPr>
                <w:b w:val="0"/>
                <w:i w:val="0"/>
                <w:sz w:val="18"/>
              </w:rPr>
              <w:t>Summary declarations from examining agents routinely include this kind of characterization, and courts give it little independent weight. A motion to strike would be denied or deemed petty and would distract from the substantive errors.</w:t>
            </w:r>
          </w:p>
        </w:tc>
        <w:tc>
          <w:tcPr>
            <w:tcW w:type="dxa" w:w="2952"/>
          </w:tcPr>
          <w:p>
            <w:r/>
            <w:r>
              <w:rPr>
                <w:b w:val="0"/>
                <w:i w:val="0"/>
                <w:sz w:val="18"/>
              </w:rPr>
              <w:t xml:space="preserve">Respond on the merits with the documents. Distinguish between Quillen’s </w:t>
            </w:r>
            <w:r>
              <w:rPr>
                <w:b w:val="0"/>
                <w:i/>
                <w:sz w:val="18"/>
              </w:rPr>
              <w:t>opinions</w:t>
            </w:r>
            <w:r>
              <w:rPr>
                <w:b w:val="0"/>
                <w:i w:val="0"/>
                <w:sz w:val="18"/>
              </w:rPr>
              <w:t xml:space="preserve"> (leave alone) and the </w:t>
            </w:r>
            <w:r>
              <w:rPr>
                <w:b w:val="0"/>
                <w:i/>
                <w:sz w:val="18"/>
              </w:rPr>
              <w:t>Brief’s</w:t>
            </w:r>
            <w:r>
              <w:rPr>
                <w:b w:val="0"/>
                <w:i w:val="0"/>
                <w:sz w:val="18"/>
              </w:rPr>
              <w:t xml:space="preserve"> citations to Quillen paragraphs that do not say what the Brief claims (address in the Rule 56.1 response).</w:t>
            </w:r>
          </w:p>
        </w:tc>
      </w:tr>
      <w:tr>
        <w:tc>
          <w:tcPr>
            <w:tcW w:type="dxa" w:w="360"/>
          </w:tcPr>
          <w:p>
            <w:r/>
            <w:r>
              <w:rPr>
                <w:b w:val="0"/>
                <w:i w:val="0"/>
                <w:sz w:val="18"/>
              </w:rPr>
              <w:t>3</w:t>
            </w:r>
          </w:p>
        </w:tc>
        <w:tc>
          <w:tcPr>
            <w:tcW w:type="dxa" w:w="2088"/>
          </w:tcPr>
          <w:p>
            <w:r/>
            <w:r>
              <w:rPr>
                <w:b w:val="0"/>
                <w:i w:val="0"/>
                <w:sz w:val="18"/>
              </w:rPr>
              <w:t>Request for judicial notice of Preqin and McKinsey industry publications</w:t>
            </w:r>
          </w:p>
        </w:tc>
        <w:tc>
          <w:tcPr>
            <w:tcW w:type="dxa" w:w="1296"/>
          </w:tcPr>
          <w:p>
            <w:r/>
            <w:r>
              <w:rPr>
                <w:b w:val="0"/>
                <w:i w:val="0"/>
                <w:sz w:val="18"/>
              </w:rPr>
              <w:t>Arg. IV.B n.12</w:t>
            </w:r>
          </w:p>
        </w:tc>
        <w:tc>
          <w:tcPr>
            <w:tcW w:type="dxa" w:w="2952"/>
          </w:tcPr>
          <w:p>
            <w:r/>
            <w:r>
              <w:rPr>
                <w:b w:val="0"/>
                <w:i w:val="0"/>
                <w:sz w:val="18"/>
              </w:rPr>
              <w:t>Judicial notice of widely used industry benchmarking data is commonplace, and we may want to use the same sources for the dispersion of PE returns.</w:t>
            </w:r>
          </w:p>
        </w:tc>
        <w:tc>
          <w:tcPr>
            <w:tcW w:type="dxa" w:w="2952"/>
          </w:tcPr>
          <w:p>
            <w:r/>
            <w:r>
              <w:rPr>
                <w:b w:val="0"/>
                <w:i w:val="0"/>
                <w:sz w:val="18"/>
              </w:rPr>
              <w:t xml:space="preserve">Do not oppose. Contest only the </w:t>
            </w:r>
            <w:r>
              <w:rPr>
                <w:b w:val="0"/>
                <w:i/>
                <w:sz w:val="18"/>
              </w:rPr>
              <w:t>inference</w:t>
            </w:r>
            <w:r>
              <w:rPr>
                <w:b w:val="0"/>
                <w:i w:val="0"/>
                <w:sz w:val="18"/>
              </w:rPr>
              <w:t xml:space="preserve"> (ex post performance is irrelevant to ex ante risk; Fund III metric is mislabeled).</w:t>
            </w:r>
          </w:p>
        </w:tc>
      </w:tr>
      <w:tr>
        <w:tc>
          <w:tcPr>
            <w:tcW w:type="dxa" w:w="360"/>
          </w:tcPr>
          <w:p>
            <w:r/>
            <w:r>
              <w:rPr>
                <w:b w:val="0"/>
                <w:i w:val="0"/>
                <w:sz w:val="18"/>
              </w:rPr>
              <w:t>4</w:t>
            </w:r>
          </w:p>
        </w:tc>
        <w:tc>
          <w:tcPr>
            <w:tcW w:type="dxa" w:w="2088"/>
          </w:tcPr>
          <w:p>
            <w:r/>
            <w:r>
              <w:rPr>
                <w:b w:val="0"/>
                <w:i w:val="0"/>
                <w:sz w:val="18"/>
              </w:rPr>
              <w:t>Quillen’s authentication of HCP-produced documents and her role as a summary witness</w:t>
            </w:r>
          </w:p>
        </w:tc>
        <w:tc>
          <w:tcPr>
            <w:tcW w:type="dxa" w:w="1296"/>
          </w:tcPr>
          <w:p>
            <w:r/>
            <w:r>
              <w:rPr>
                <w:b w:val="0"/>
                <w:i w:val="0"/>
                <w:sz w:val="18"/>
              </w:rPr>
              <w:t>Quillen Decl. ¶¶ 5, 87–88</w:t>
            </w:r>
          </w:p>
        </w:tc>
        <w:tc>
          <w:tcPr>
            <w:tcW w:type="dxa" w:w="2952"/>
          </w:tcPr>
          <w:p>
            <w:r/>
            <w:r>
              <w:rPr>
                <w:b w:val="0"/>
                <w:i w:val="0"/>
                <w:sz w:val="18"/>
              </w:rPr>
              <w:t>The documents are HCP’s own, and we rely on several of them (Exs. 4, 5-E, 9, 12). Authentication objections would be futile.</w:t>
            </w:r>
          </w:p>
        </w:tc>
        <w:tc>
          <w:tcPr>
            <w:tcW w:type="dxa" w:w="2952"/>
          </w:tcPr>
          <w:p>
            <w:r/>
            <w:r>
              <w:rPr>
                <w:b w:val="0"/>
                <w:i w:val="0"/>
                <w:sz w:val="18"/>
              </w:rPr>
              <w:t>Stipulate to authenticity where useful.</w:t>
            </w:r>
          </w:p>
        </w:tc>
      </w:tr>
      <w:tr>
        <w:tc>
          <w:tcPr>
            <w:tcW w:type="dxa" w:w="360"/>
          </w:tcPr>
          <w:p>
            <w:r/>
            <w:r>
              <w:rPr>
                <w:b w:val="0"/>
                <w:i w:val="0"/>
                <w:sz w:val="18"/>
              </w:rPr>
              <w:t>5</w:t>
            </w:r>
          </w:p>
        </w:tc>
        <w:tc>
          <w:tcPr>
            <w:tcW w:type="dxa" w:w="2088"/>
          </w:tcPr>
          <w:p>
            <w:r/>
            <w:r>
              <w:rPr>
                <w:b w:val="0"/>
                <w:i w:val="0"/>
                <w:sz w:val="18"/>
              </w:rPr>
              <w:t>Quillen’s title (“Special Agent”) while conducting a civil LB&amp;I examination</w:t>
            </w:r>
          </w:p>
        </w:tc>
        <w:tc>
          <w:tcPr>
            <w:tcW w:type="dxa" w:w="1296"/>
          </w:tcPr>
          <w:p>
            <w:r/>
            <w:r>
              <w:rPr>
                <w:b w:val="0"/>
                <w:i w:val="0"/>
                <w:sz w:val="18"/>
              </w:rPr>
              <w:t>Quillen Decl. ¶ 1</w:t>
            </w:r>
          </w:p>
        </w:tc>
        <w:tc>
          <w:tcPr>
            <w:tcW w:type="dxa" w:w="2952"/>
          </w:tcPr>
          <w:p>
            <w:r/>
            <w:r>
              <w:rPr>
                <w:b w:val="0"/>
                <w:i w:val="0"/>
                <w:sz w:val="18"/>
              </w:rPr>
              <w:t>Probably a mislabel (civil examiners are typically revenue agents); there is no summary-judgment remedy, and raising it may look like insinuating misconduct.</w:t>
            </w:r>
          </w:p>
        </w:tc>
        <w:tc>
          <w:tcPr>
            <w:tcW w:type="dxa" w:w="2952"/>
          </w:tcPr>
          <w:p>
            <w:r/>
            <w:r>
              <w:rPr>
                <w:b w:val="0"/>
                <w:i w:val="0"/>
                <w:sz w:val="18"/>
              </w:rPr>
              <w:t>Ask in discovery whether Criminal Investigation had any involvement (to protect the clients), but keep it out of the brief.</w:t>
            </w:r>
          </w:p>
        </w:tc>
      </w:tr>
      <w:tr>
        <w:tc>
          <w:tcPr>
            <w:tcW w:type="dxa" w:w="360"/>
          </w:tcPr>
          <w:p>
            <w:r/>
            <w:r>
              <w:rPr>
                <w:b w:val="0"/>
                <w:i w:val="0"/>
                <w:sz w:val="18"/>
              </w:rPr>
              <w:t>6</w:t>
            </w:r>
          </w:p>
        </w:tc>
        <w:tc>
          <w:tcPr>
            <w:tcW w:type="dxa" w:w="2088"/>
          </w:tcPr>
          <w:p>
            <w:r/>
            <w:r>
              <w:rPr>
                <w:b w:val="0"/>
                <w:i w:val="0"/>
                <w:sz w:val="18"/>
              </w:rPr>
              <w:t>Caption and clerical discrepancies (judge’s name; party alignment; outdated “Fed. R. Civ. P. 56(e)” quotation; TOA page references)</w:t>
            </w:r>
          </w:p>
        </w:tc>
        <w:tc>
          <w:tcPr>
            <w:tcW w:type="dxa" w:w="1296"/>
          </w:tcPr>
          <w:p>
            <w:r/>
            <w:r>
              <w:rPr>
                <w:b w:val="0"/>
                <w:i w:val="0"/>
                <w:sz w:val="18"/>
              </w:rPr>
              <w:t>Captions; Part III; TOA</w:t>
            </w:r>
          </w:p>
        </w:tc>
        <w:tc>
          <w:tcPr>
            <w:tcW w:type="dxa" w:w="2952"/>
          </w:tcPr>
          <w:p>
            <w:r/>
            <w:r>
              <w:rPr>
                <w:b w:val="0"/>
                <w:i w:val="0"/>
                <w:sz w:val="18"/>
              </w:rPr>
              <w:t>Typographical points do not move the Court and dilute the substantive errors.</w:t>
            </w:r>
          </w:p>
        </w:tc>
        <w:tc>
          <w:tcPr>
            <w:tcW w:type="dxa" w:w="2952"/>
          </w:tcPr>
          <w:p>
            <w:r/>
            <w:r>
              <w:rPr>
                <w:b w:val="0"/>
                <w:i w:val="0"/>
                <w:sz w:val="18"/>
              </w:rPr>
              <w:t>Use the correct caption in our papers. Use the TOA mismatch only internally (Issue C-11).</w:t>
            </w:r>
          </w:p>
        </w:tc>
      </w:tr>
      <w:tr>
        <w:tc>
          <w:tcPr>
            <w:tcW w:type="dxa" w:w="360"/>
          </w:tcPr>
          <w:p>
            <w:r/>
            <w:r>
              <w:rPr>
                <w:b w:val="0"/>
                <w:i w:val="0"/>
                <w:sz w:val="18"/>
              </w:rPr>
              <w:t>7</w:t>
            </w:r>
          </w:p>
        </w:tc>
        <w:tc>
          <w:tcPr>
            <w:tcW w:type="dxa" w:w="2088"/>
          </w:tcPr>
          <w:p>
            <w:r/>
            <w:r>
              <w:rPr>
                <w:b w:val="0"/>
                <w:i w:val="0"/>
                <w:sz w:val="18"/>
              </w:rPr>
              <w:t>Citation of a Tax Court memorandum opinion (</w:t>
            </w:r>
            <w:r>
              <w:rPr>
                <w:b w:val="0"/>
                <w:i/>
                <w:sz w:val="18"/>
              </w:rPr>
              <w:t>Pinnacle</w:t>
            </w:r>
            <w:r>
              <w:rPr>
                <w:b w:val="0"/>
                <w:i w:val="0"/>
                <w:sz w:val="18"/>
              </w:rPr>
              <w:t>) as authority</w:t>
            </w:r>
          </w:p>
        </w:tc>
        <w:tc>
          <w:tcPr>
            <w:tcW w:type="dxa" w:w="1296"/>
          </w:tcPr>
          <w:p>
            <w:r/>
            <w:r>
              <w:rPr>
                <w:b w:val="0"/>
                <w:i w:val="0"/>
                <w:sz w:val="18"/>
              </w:rPr>
              <w:t>Arg. IV.A.3</w:t>
            </w:r>
          </w:p>
        </w:tc>
        <w:tc>
          <w:tcPr>
            <w:tcW w:type="dxa" w:w="2952"/>
          </w:tcPr>
          <w:p>
            <w:r/>
            <w:r>
              <w:rPr>
                <w:b w:val="0"/>
                <w:i w:val="0"/>
                <w:sz w:val="18"/>
              </w:rPr>
              <w:t>Citing T.C. Memo. opinions as persuasive authority is standard in tax litigation.</w:t>
            </w:r>
          </w:p>
        </w:tc>
        <w:tc>
          <w:tcPr>
            <w:tcW w:type="dxa" w:w="2952"/>
          </w:tcPr>
          <w:p>
            <w:r/>
            <w:r>
              <w:rPr>
                <w:b w:val="0"/>
                <w:i w:val="0"/>
                <w:sz w:val="18"/>
              </w:rPr>
              <w:t>One sentence noting it is non-precedential; then distinguish it on its DRO (Issue B-4).</w:t>
            </w:r>
          </w:p>
        </w:tc>
      </w:tr>
      <w:tr>
        <w:tc>
          <w:tcPr>
            <w:tcW w:type="dxa" w:w="360"/>
          </w:tcPr>
          <w:p>
            <w:r/>
            <w:r>
              <w:rPr>
                <w:b w:val="0"/>
                <w:i w:val="0"/>
                <w:sz w:val="18"/>
              </w:rPr>
              <w:t>8</w:t>
            </w:r>
          </w:p>
        </w:tc>
        <w:tc>
          <w:tcPr>
            <w:tcW w:type="dxa" w:w="2088"/>
          </w:tcPr>
          <w:p>
            <w:r/>
            <w:r>
              <w:rPr>
                <w:b w:val="0"/>
                <w:i w:val="0"/>
                <w:sz w:val="18"/>
              </w:rPr>
              <w:t>Reliance on Mr. Hargrove’s expertise in the penalty analysis</w:t>
            </w:r>
          </w:p>
        </w:tc>
        <w:tc>
          <w:tcPr>
            <w:tcW w:type="dxa" w:w="1296"/>
          </w:tcPr>
          <w:p>
            <w:r/>
            <w:r>
              <w:rPr>
                <w:b w:val="0"/>
                <w:i w:val="0"/>
                <w:sz w:val="18"/>
              </w:rPr>
              <w:t>Part V.B.4</w:t>
            </w:r>
          </w:p>
        </w:tc>
        <w:tc>
          <w:tcPr>
            <w:tcW w:type="dxa" w:w="2952"/>
          </w:tcPr>
          <w:p>
            <w:r/>
            <w:r>
              <w:rPr>
                <w:b w:val="0"/>
                <w:i w:val="0"/>
                <w:sz w:val="18"/>
              </w:rPr>
              <w:t>The taxpayer’s experience, knowledge, and education are expressly relevant to reasonable cause under Treas. Reg. § 1.6664-4(b)(1).</w:t>
            </w:r>
          </w:p>
        </w:tc>
        <w:tc>
          <w:tcPr>
            <w:tcW w:type="dxa" w:w="2952"/>
          </w:tcPr>
          <w:p>
            <w:r/>
            <w:r>
              <w:rPr>
                <w:b w:val="0"/>
                <w:i w:val="0"/>
                <w:sz w:val="18"/>
              </w:rPr>
              <w:t>Note only the absence of record support (Issue A-15) and address the point on the merits (Issue D-10).</w:t>
            </w:r>
          </w:p>
        </w:tc>
      </w:tr>
      <w:tr>
        <w:tc>
          <w:tcPr>
            <w:tcW w:type="dxa" w:w="360"/>
          </w:tcPr>
          <w:p>
            <w:r/>
            <w:r>
              <w:rPr>
                <w:b w:val="0"/>
                <w:i w:val="0"/>
                <w:sz w:val="18"/>
              </w:rPr>
              <w:t>9</w:t>
            </w:r>
          </w:p>
        </w:tc>
        <w:tc>
          <w:tcPr>
            <w:tcW w:type="dxa" w:w="2088"/>
          </w:tcPr>
          <w:p>
            <w:r/>
            <w:r>
              <w:rPr>
                <w:b w:val="0"/>
                <w:i w:val="0"/>
                <w:sz w:val="18"/>
              </w:rPr>
              <w:t>The general presumption of correctness and § 7491(a) burden discussion</w:t>
            </w:r>
          </w:p>
        </w:tc>
        <w:tc>
          <w:tcPr>
            <w:tcW w:type="dxa" w:w="1296"/>
          </w:tcPr>
          <w:p>
            <w:r/>
            <w:r>
              <w:rPr>
                <w:b w:val="0"/>
                <w:i w:val="0"/>
                <w:sz w:val="18"/>
              </w:rPr>
              <w:t>Part III</w:t>
            </w:r>
          </w:p>
        </w:tc>
        <w:tc>
          <w:tcPr>
            <w:tcW w:type="dxa" w:w="2952"/>
          </w:tcPr>
          <w:p>
            <w:r/>
            <w:r>
              <w:rPr>
                <w:b w:val="0"/>
                <w:i w:val="0"/>
                <w:sz w:val="18"/>
              </w:rPr>
              <w:t>Black-letter law in FPAA proceedings.</w:t>
            </w:r>
          </w:p>
        </w:tc>
        <w:tc>
          <w:tcPr>
            <w:tcW w:type="dxa" w:w="2952"/>
          </w:tcPr>
          <w:p>
            <w:r/>
            <w:r>
              <w:rPr>
                <w:b w:val="0"/>
                <w:i w:val="0"/>
                <w:sz w:val="18"/>
              </w:rPr>
              <w:t>Limit any burden argument to new matter (Issue B-15).</w:t>
            </w:r>
          </w:p>
        </w:tc>
      </w:tr>
      <w:tr>
        <w:tc>
          <w:tcPr>
            <w:tcW w:type="dxa" w:w="360"/>
          </w:tcPr>
          <w:p>
            <w:r/>
            <w:r>
              <w:rPr>
                <w:b w:val="0"/>
                <w:i w:val="0"/>
                <w:sz w:val="18"/>
              </w:rPr>
              <w:t>10</w:t>
            </w:r>
          </w:p>
        </w:tc>
        <w:tc>
          <w:tcPr>
            <w:tcW w:type="dxa" w:w="2088"/>
          </w:tcPr>
          <w:p>
            <w:r/>
            <w:r>
              <w:rPr>
                <w:b w:val="0"/>
                <w:i w:val="0"/>
                <w:sz w:val="18"/>
              </w:rPr>
              <w:t>The dollar-for-dollar matching of waived fees and allocations, and the first-dollar priority</w:t>
            </w:r>
          </w:p>
        </w:tc>
        <w:tc>
          <w:tcPr>
            <w:tcW w:type="dxa" w:w="1296"/>
          </w:tcPr>
          <w:p>
            <w:r/>
            <w:r>
              <w:rPr>
                <w:b w:val="0"/>
                <w:i w:val="0"/>
                <w:sz w:val="18"/>
              </w:rPr>
              <w:t>SUMF ¶¶ 10, 20; Factor (2)</w:t>
            </w:r>
          </w:p>
        </w:tc>
        <w:tc>
          <w:tcPr>
            <w:tcW w:type="dxa" w:w="2952"/>
          </w:tcPr>
          <w:p>
            <w:r/>
            <w:r>
              <w:rPr>
                <w:b w:val="0"/>
                <w:i w:val="0"/>
                <w:sz w:val="18"/>
              </w:rPr>
              <w:t>Both are accurate descriptions of the Election Forms. Disputing them would cost credibility.</w:t>
            </w:r>
          </w:p>
        </w:tc>
        <w:tc>
          <w:tcPr>
            <w:tcW w:type="dxa" w:w="2952"/>
          </w:tcPr>
          <w:p>
            <w:r/>
            <w:r>
              <w:rPr>
                <w:b w:val="0"/>
                <w:i w:val="0"/>
                <w:sz w:val="18"/>
              </w:rPr>
              <w:t xml:space="preserve">Reframe: the amount is set by reference to the waived fee in every fee waiver program; what matters is whether it is </w:t>
            </w:r>
            <w:r>
              <w:rPr>
                <w:b w:val="0"/>
                <w:i/>
                <w:sz w:val="18"/>
              </w:rPr>
              <w:t>paid</w:t>
            </w:r>
            <w:r>
              <w:rPr>
                <w:b w:val="0"/>
                <w:i w:val="0"/>
                <w:sz w:val="18"/>
              </w:rPr>
              <w:t>, which depends entirely on Fund performance.</w:t>
            </w:r>
          </w:p>
        </w:tc>
      </w:tr>
      <w:tr>
        <w:tc>
          <w:tcPr>
            <w:tcW w:type="dxa" w:w="360"/>
          </w:tcPr>
          <w:p>
            <w:r/>
            <w:r>
              <w:rPr>
                <w:b w:val="0"/>
                <w:i w:val="0"/>
                <w:sz w:val="18"/>
              </w:rPr>
              <w:t>11</w:t>
            </w:r>
          </w:p>
        </w:tc>
        <w:tc>
          <w:tcPr>
            <w:tcW w:type="dxa" w:w="2088"/>
          </w:tcPr>
          <w:p>
            <w:r/>
            <w:r>
              <w:rPr>
                <w:b w:val="0"/>
                <w:i w:val="0"/>
                <w:sz w:val="18"/>
              </w:rPr>
              <w:t>Use of discovery-produced internal emails and partner minutes (Exs. 10–11)</w:t>
            </w:r>
          </w:p>
        </w:tc>
        <w:tc>
          <w:tcPr>
            <w:tcW w:type="dxa" w:w="1296"/>
          </w:tcPr>
          <w:p>
            <w:r/>
            <w:r>
              <w:rPr>
                <w:b w:val="0"/>
                <w:i w:val="0"/>
                <w:sz w:val="18"/>
              </w:rPr>
              <w:t>Quillen Decl. ¶¶ 81–84</w:t>
            </w:r>
          </w:p>
        </w:tc>
        <w:tc>
          <w:tcPr>
            <w:tcW w:type="dxa" w:w="2952"/>
          </w:tcPr>
          <w:p>
            <w:r/>
            <w:r>
              <w:rPr>
                <w:b w:val="0"/>
                <w:i w:val="0"/>
                <w:sz w:val="18"/>
              </w:rPr>
              <w:t>Properly produced; any belated privilege claim would fail and draw attention to the documents.</w:t>
            </w:r>
          </w:p>
        </w:tc>
        <w:tc>
          <w:tcPr>
            <w:tcW w:type="dxa" w:w="2952"/>
          </w:tcPr>
          <w:p>
            <w:r/>
            <w:r>
              <w:rPr>
                <w:b w:val="0"/>
                <w:i w:val="0"/>
                <w:sz w:val="18"/>
              </w:rPr>
              <w:t>Prepare to explain the documents (Issue D-5).</w:t>
            </w:r>
          </w:p>
        </w:tc>
      </w:tr>
      <w:tr>
        <w:tc>
          <w:tcPr>
            <w:tcW w:type="dxa" w:w="360"/>
          </w:tcPr>
          <w:p>
            <w:r/>
            <w:r>
              <w:rPr>
                <w:b w:val="0"/>
                <w:i w:val="0"/>
                <w:sz w:val="18"/>
              </w:rPr>
              <w:t>12</w:t>
            </w:r>
          </w:p>
        </w:tc>
        <w:tc>
          <w:tcPr>
            <w:tcW w:type="dxa" w:w="2088"/>
          </w:tcPr>
          <w:p>
            <w:r/>
            <w:r>
              <w:rPr>
                <w:b w:val="0"/>
                <w:i w:val="0"/>
                <w:sz w:val="18"/>
              </w:rPr>
              <w:t>Professor Ashford’s compensation and prior government retention</w:t>
            </w:r>
          </w:p>
        </w:tc>
        <w:tc>
          <w:tcPr>
            <w:tcW w:type="dxa" w:w="1296"/>
          </w:tcPr>
          <w:p>
            <w:r/>
            <w:r>
              <w:rPr>
                <w:b w:val="0"/>
                <w:i w:val="0"/>
                <w:sz w:val="18"/>
              </w:rPr>
              <w:t>Ashford Decl. ¶¶ 5–7</w:t>
            </w:r>
          </w:p>
        </w:tc>
        <w:tc>
          <w:tcPr>
            <w:tcW w:type="dxa" w:w="2952"/>
          </w:tcPr>
          <w:p>
            <w:r/>
            <w:r>
              <w:rPr>
                <w:b w:val="0"/>
                <w:i w:val="0"/>
                <w:sz w:val="18"/>
              </w:rPr>
              <w:t>$750/hour and ~$67,500 are ordinary for a tax expert; she has also testified for taxpayers.</w:t>
            </w:r>
          </w:p>
        </w:tc>
        <w:tc>
          <w:tcPr>
            <w:tcW w:type="dxa" w:w="2952"/>
          </w:tcPr>
          <w:p>
            <w:r/>
            <w:r>
              <w:rPr>
                <w:b w:val="0"/>
                <w:i w:val="0"/>
                <w:sz w:val="18"/>
              </w:rPr>
              <w:t>Limit impeachment to substance (legal conclusions, methodology, prior inconsistent positions).</w:t>
            </w:r>
          </w:p>
        </w:tc>
      </w:tr>
      <w:tr>
        <w:tc>
          <w:tcPr>
            <w:tcW w:type="dxa" w:w="360"/>
          </w:tcPr>
          <w:p>
            <w:r/>
            <w:r>
              <w:rPr>
                <w:b w:val="0"/>
                <w:i w:val="0"/>
                <w:sz w:val="18"/>
              </w:rPr>
              <w:t>13</w:t>
            </w:r>
          </w:p>
        </w:tc>
        <w:tc>
          <w:tcPr>
            <w:tcW w:type="dxa" w:w="2088"/>
          </w:tcPr>
          <w:p>
            <w:r/>
            <w:r>
              <w:rPr>
                <w:b w:val="0"/>
                <w:i w:val="0"/>
                <w:sz w:val="18"/>
              </w:rPr>
              <w:t xml:space="preserve">The government’s general anti-abuse rhetoric and citation of </w:t>
            </w:r>
            <w:r>
              <w:rPr>
                <w:b w:val="0"/>
                <w:i/>
                <w:sz w:val="18"/>
              </w:rPr>
              <w:t>Gregory v. Helvering</w:t>
            </w:r>
          </w:p>
        </w:tc>
        <w:tc>
          <w:tcPr>
            <w:tcW w:type="dxa" w:w="1296"/>
          </w:tcPr>
          <w:p>
            <w:r/>
            <w:r>
              <w:rPr>
                <w:b w:val="0"/>
                <w:i w:val="0"/>
                <w:sz w:val="18"/>
              </w:rPr>
              <w:t>Arg. IV.C.1, IV.E</w:t>
            </w:r>
          </w:p>
        </w:tc>
        <w:tc>
          <w:tcPr>
            <w:tcW w:type="dxa" w:w="2952"/>
          </w:tcPr>
          <w:p>
            <w:r/>
            <w:r>
              <w:rPr>
                <w:b w:val="0"/>
                <w:i w:val="0"/>
                <w:sz w:val="18"/>
              </w:rPr>
              <w:t>Routine framing in government tax briefs.</w:t>
            </w:r>
          </w:p>
        </w:tc>
        <w:tc>
          <w:tcPr>
            <w:tcW w:type="dxa" w:w="2952"/>
          </w:tcPr>
          <w:p>
            <w:r/>
            <w:r>
              <w:rPr>
                <w:b w:val="0"/>
                <w:i w:val="0"/>
                <w:sz w:val="18"/>
              </w:rPr>
              <w:t>Respond with the statutory text of § 7701(o) and the relevance requirement.</w:t>
            </w:r>
          </w:p>
        </w:tc>
      </w:tr>
    </w:tbl>
    <w:p>
      <w:pPr>
        <w:spacing w:after="40"/>
      </w:pPr>
    </w:p>
    <w:p>
      <w:pPr>
        <w:pStyle w:val="Heading1"/>
      </w:pPr>
      <w:r>
        <w:rPr>
          <w:b w:val="0"/>
          <w:i w:val="0"/>
        </w:rPr>
        <w:t>IX. Recommended Structure and Priorities for the Opposition</w:t>
      </w:r>
    </w:p>
    <w:p>
      <w:pPr>
        <w:spacing w:after="60"/>
      </w:pPr>
      <w:r>
        <w:rPr>
          <w:b/>
          <w:i w:val="0"/>
        </w:rPr>
        <w:t>Proposed architecture</w:t>
      </w:r>
      <w:r>
        <w:rPr>
          <w:b w:val="0"/>
          <w:i w:val="0"/>
        </w:rPr>
        <w:t xml:space="preserve"> (keyed to the issues above):</w:t>
      </w:r>
    </w:p>
    <w:p>
      <w:pPr>
        <w:pStyle w:val="ListBullet"/>
        <w:spacing w:after="60"/>
      </w:pPr>
      <w:r>
        <w:rPr>
          <w:b/>
          <w:i w:val="0"/>
        </w:rPr>
        <w:t>Introduction (2 pages).</w:t>
      </w:r>
      <w:r>
        <w:rPr>
          <w:b w:val="0"/>
          <w:i w:val="0"/>
        </w:rPr>
        <w:t xml:space="preserve"> The government’s motion rests on factual assertions its own exhibits contradict (Fund IV election date; Fund V zero gains; nonexistent AFR return), mis-describes the governing authorities (Rev. Proc. 93-27; the § 1.707-2(c) factors; </w:t>
      </w:r>
      <w:r>
        <w:rPr>
          <w:b w:val="0"/>
          <w:i/>
        </w:rPr>
        <w:t>Pinnacle</w:t>
      </w:r>
      <w:r>
        <w:rPr>
          <w:b w:val="0"/>
          <w:i w:val="0"/>
        </w:rPr>
        <w:t>), and cannot decide what the allocations are (four inconsistent theories). One sentence on the $8,094,040 figure.</w:t>
      </w:r>
    </w:p>
    <w:p>
      <w:pPr>
        <w:pStyle w:val="ListBullet"/>
        <w:spacing w:after="60"/>
      </w:pPr>
      <w:r>
        <w:rPr>
          <w:b/>
          <w:i w:val="0"/>
        </w:rPr>
        <w:t>Counterstatement of Facts and Rule 56.1 Response.</w:t>
      </w:r>
      <w:r>
        <w:rPr>
          <w:b w:val="0"/>
          <w:i w:val="0"/>
        </w:rPr>
        <w:t xml:space="preserve"> Election table; Election Form text (§§ 3–5); Fund V; Fund III/IV satisfaction from in-year gains; LP/LPAC involvement; GP ownership; Ridgeline Opinion chronology; the misaligned citations (Part III.C).</w:t>
      </w:r>
    </w:p>
    <w:p>
      <w:pPr>
        <w:pStyle w:val="ListBullet"/>
        <w:spacing w:after="60"/>
      </w:pPr>
      <w:r>
        <w:rPr>
          <w:b/>
          <w:i w:val="0"/>
        </w:rPr>
        <w:t>Argument I — Summary judgment standard; genuine disputes</w:t>
      </w:r>
      <w:r>
        <w:rPr>
          <w:b w:val="0"/>
          <w:i w:val="0"/>
        </w:rPr>
        <w:t xml:space="preserve"> (Issues C-12, D-1).</w:t>
      </w:r>
    </w:p>
    <w:p>
      <w:pPr>
        <w:pStyle w:val="ListBullet"/>
        <w:spacing w:after="60"/>
      </w:pPr>
      <w:r>
        <w:rPr>
          <w:b/>
          <w:i w:val="0"/>
        </w:rPr>
        <w:t>Argument II — § 707(a)(2)(A)</w:t>
      </w:r>
      <w:r>
        <w:rPr>
          <w:b w:val="0"/>
          <w:i w:val="0"/>
        </w:rPr>
        <w:t xml:space="preserve"> (Issues B-2, B-3, A-3 to A-6, D-3, D-4): the actual factors; significant entrepreneurial risk as a fact question; </w:t>
      </w:r>
      <w:r>
        <w:rPr>
          <w:b w:val="0"/>
          <w:i/>
        </w:rPr>
        <w:t>Pinnacle</w:t>
      </w:r>
      <w:r>
        <w:rPr>
          <w:b w:val="0"/>
          <w:i w:val="0"/>
        </w:rPr>
        <w:t xml:space="preserve"> distinguished (B-4).</w:t>
      </w:r>
    </w:p>
    <w:p>
      <w:pPr>
        <w:pStyle w:val="ListBullet"/>
        <w:spacing w:after="60"/>
      </w:pPr>
      <w:r>
        <w:rPr>
          <w:b/>
          <w:i w:val="0"/>
        </w:rPr>
        <w:t>Argument III — The government’s alternative characterizations are unavailable and inconsistent</w:t>
      </w:r>
      <w:r>
        <w:rPr>
          <w:b w:val="0"/>
          <w:i w:val="0"/>
        </w:rPr>
        <w:t xml:space="preserve"> (C-2, C-3, B-5, B-1, B-9): § 707(c); carried interest; Rev. Proc. 93-27.</w:t>
      </w:r>
    </w:p>
    <w:p>
      <w:pPr>
        <w:pStyle w:val="ListBullet"/>
        <w:spacing w:after="60"/>
      </w:pPr>
      <w:r>
        <w:rPr>
          <w:b/>
          <w:i w:val="0"/>
        </w:rPr>
        <w:t>Argument IV — Economic substance</w:t>
      </w:r>
      <w:r>
        <w:rPr>
          <w:b w:val="0"/>
          <w:i w:val="0"/>
        </w:rPr>
        <w:t xml:space="preserve"> (B-6, A-1, A-2, A-14, C-4 to C-6).</w:t>
      </w:r>
    </w:p>
    <w:p>
      <w:pPr>
        <w:pStyle w:val="ListBullet"/>
        <w:spacing w:after="60"/>
      </w:pPr>
      <w:r>
        <w:rPr>
          <w:b/>
          <w:i w:val="0"/>
        </w:rPr>
        <w:t>Argument V — § 702(b) and step transaction</w:t>
      </w:r>
      <w:r>
        <w:rPr>
          <w:b w:val="0"/>
          <w:i w:val="0"/>
        </w:rPr>
        <w:t xml:space="preserve"> (B-8, B-7), briefly.</w:t>
      </w:r>
    </w:p>
    <w:p>
      <w:pPr>
        <w:pStyle w:val="ListBullet"/>
        <w:spacing w:after="60"/>
      </w:pPr>
      <w:r>
        <w:rPr>
          <w:b/>
          <w:i w:val="0"/>
        </w:rPr>
        <w:t>Argument VI — Procedural validity and limitations</w:t>
      </w:r>
      <w:r>
        <w:rPr>
          <w:b w:val="0"/>
          <w:i w:val="0"/>
        </w:rPr>
        <w:t xml:space="preserve"> (B-14), if the facts support it.</w:t>
      </w:r>
    </w:p>
    <w:p>
      <w:pPr>
        <w:pStyle w:val="ListBullet"/>
        <w:spacing w:after="60"/>
      </w:pPr>
      <w:r>
        <w:rPr>
          <w:b/>
          <w:i w:val="0"/>
        </w:rPr>
        <w:t>Argument VII — Penalties</w:t>
      </w:r>
      <w:r>
        <w:rPr>
          <w:b w:val="0"/>
          <w:i w:val="0"/>
        </w:rPr>
        <w:t xml:space="preserve"> (B-10 to B-13): no § 6751(b) showing; reasonable cause; substantial authority; no (b)(6) penalty asserted.</w:t>
      </w:r>
    </w:p>
    <w:p>
      <w:pPr>
        <w:pStyle w:val="ListBullet"/>
        <w:spacing w:after="60"/>
      </w:pPr>
      <w:r>
        <w:rPr>
          <w:b/>
          <w:i w:val="0"/>
        </w:rPr>
        <w:t>Evidentiary objections</w:t>
      </w:r>
      <w:r>
        <w:rPr>
          <w:b w:val="0"/>
          <w:i w:val="0"/>
        </w:rPr>
        <w:t xml:space="preserve"> to the Ashford Declaration (D-2) and to unsupported SUMF paragraphs.</w:t>
      </w:r>
    </w:p>
    <w:p>
      <w:pPr>
        <w:pStyle w:val="ListBullet"/>
        <w:spacing w:after="60"/>
      </w:pPr>
      <w:r>
        <w:rPr>
          <w:b/>
          <w:i w:val="0"/>
        </w:rPr>
        <w:t>Supporting declarations:</w:t>
      </w:r>
      <w:r>
        <w:rPr>
          <w:b w:val="0"/>
          <w:i w:val="0"/>
        </w:rPr>
        <w:t xml:space="preserve"> Hargrove; Sato; HCP CFO (fees earned/waived/collected; Fund V chronology; Fund V reporting); Dr. Chu (ex ante risk; MOIC; LP economics; time value); possibly an LP/LPAC member; possibly Moreau (after the D-10/D-12 analysis); Rule 56(d) declaration if discovery gaps remain.</w:t>
      </w:r>
    </w:p>
    <w:p>
      <w:pPr>
        <w:spacing w:after="120"/>
      </w:pPr>
      <w:r>
        <w:rPr>
          <w:b/>
          <w:i w:val="0"/>
        </w:rPr>
        <w:t>Proposed scope for Dr. Chu:</w:t>
      </w:r>
      <w:r>
        <w:rPr>
          <w:b w:val="0"/>
          <w:i w:val="0"/>
        </w:rPr>
        <w:t xml:space="preserve"> (1) ex ante probability, at each election date, that each Fund would fail to realize sufficient annual or life-of-fund net long-term capital gains; (2) correct performance metrics (MOIC/TVPI/DPI) for Funds III–V; (3) present-value cost to HCP of exchanging a fixed fee for a non-interest-bearing, subordinated, expiring contingent claim; (4) LP economics under fee vs. waiver in alternative scenarios, including actual Fund V; (5) industry prevalence and design of fee waiver programs; (6) rebuttal of Ashford ¶¶ 33, 43–45, 69.</w:t>
      </w:r>
    </w:p>
    <w:p>
      <w:pPr>
        <w:pStyle w:val="Heading1"/>
      </w:pPr>
      <w:r>
        <w:rPr>
          <w:b w:val="0"/>
          <w:i w:val="0"/>
        </w:rPr>
        <w:t>X. Open Items, Fact Confirmation, and Client Call Agenda</w:t>
      </w:r>
    </w:p>
    <w:p>
      <w:pPr>
        <w:pStyle w:val="Heading2"/>
      </w:pPr>
      <w:r>
        <w:rPr>
          <w:b w:val="0"/>
          <w:i w:val="0"/>
        </w:rPr>
        <w:t>A. Documents and Facts to Obtain Immediately</w:t>
      </w:r>
    </w:p>
    <w:p>
      <w:pPr>
        <w:pStyle w:val="ListBullet"/>
        <w:spacing w:after="60"/>
      </w:pPr>
      <w:r>
        <w:rPr>
          <w:b w:val="0"/>
          <w:i w:val="0"/>
        </w:rPr>
        <w:t>Complete IRS administrative file: all letters (30-day letter, any NOPPA (Letter 5893), FPA and envelope/addressees), any 270-day waiver, any § 6235 extension, penalty approval forms and lead sheets, LB&amp;I economic substance approval (Issues B-12, B-14, B-6).</w:t>
      </w:r>
    </w:p>
    <w:p>
      <w:pPr>
        <w:pStyle w:val="ListBullet"/>
        <w:spacing w:after="60"/>
      </w:pPr>
      <w:r>
        <w:rPr>
          <w:b w:val="0"/>
          <w:i w:val="0"/>
        </w:rPr>
        <w:t>Forms 1065 for TY 2018–2020 (filing dates; PR designations; Schedule B-2 election-out; any disclosures) (Issues A-9, B-10, B-14).</w:t>
      </w:r>
    </w:p>
    <w:p>
      <w:pPr>
        <w:pStyle w:val="ListBullet"/>
        <w:spacing w:after="60"/>
      </w:pPr>
      <w:r>
        <w:rPr>
          <w:b w:val="0"/>
          <w:i w:val="0"/>
        </w:rPr>
        <w:t>Our petition/answer: confirm pleading of limitations, notice defects, § 6751(b), and reasonable cause; confirm the § 6234(b) deposit was made and its amount (district court jurisdiction).</w:t>
      </w:r>
    </w:p>
    <w:p>
      <w:pPr>
        <w:pStyle w:val="ListBullet"/>
        <w:spacing w:after="60"/>
      </w:pPr>
      <w:r>
        <w:rPr>
          <w:b w:val="0"/>
          <w:i w:val="0"/>
        </w:rPr>
        <w:t xml:space="preserve">Full </w:t>
      </w:r>
      <w:r>
        <w:rPr>
          <w:b w:val="0"/>
          <w:i/>
        </w:rPr>
        <w:t>Pinnacle Partners</w:t>
      </w:r>
      <w:r>
        <w:rPr>
          <w:b w:val="0"/>
          <w:i w:val="0"/>
        </w:rPr>
        <w:t xml:space="preserve"> opinion; verify the government’s quotations and pin cites (Issue B-4).</w:t>
      </w:r>
    </w:p>
    <w:p>
      <w:pPr>
        <w:pStyle w:val="ListBullet"/>
        <w:spacing w:after="60"/>
      </w:pPr>
      <w:r>
        <w:rPr>
          <w:b w:val="0"/>
          <w:i w:val="0"/>
        </w:rPr>
        <w:t>Fund LPAs, LPA amendments (Ex. 6), LP consents, LPAC minutes, and LP communications about the program; GP LLC agreements and tax classification (Issues A-10, A-13, D-3).</w:t>
      </w:r>
    </w:p>
    <w:p>
      <w:pPr>
        <w:pStyle w:val="ListBullet"/>
        <w:spacing w:after="60"/>
      </w:pPr>
      <w:r>
        <w:rPr>
          <w:b w:val="0"/>
          <w:i w:val="0"/>
        </w:rPr>
        <w:t>Fund V: formation/first closing/LPA execution dates; fee commencement; first capital call; K-1 to HCP for 2020; subsequent satisfaction of the carry-forward (Issues A-2, D-8).</w:t>
      </w:r>
    </w:p>
    <w:p>
      <w:pPr>
        <w:pStyle w:val="ListBullet"/>
        <w:spacing w:after="60"/>
      </w:pPr>
      <w:r>
        <w:rPr>
          <w:b w:val="0"/>
          <w:i w:val="0"/>
        </w:rPr>
        <w:t>Annual net long-term capital gains for Funds III and IV in each election year; holding periods of the assets sold (Issues D-6, D-13).</w:t>
      </w:r>
    </w:p>
    <w:p>
      <w:pPr>
        <w:pStyle w:val="ListBullet"/>
        <w:spacing w:after="60"/>
      </w:pPr>
      <w:r>
        <w:rPr>
          <w:b w:val="0"/>
          <w:i w:val="0"/>
        </w:rPr>
        <w:t>Exs. 10, 11 and 13 in full; the October 12, 2017 Moreau memorandum (Issues D-5, D-11).</w:t>
      </w:r>
    </w:p>
    <w:p>
      <w:pPr>
        <w:pStyle w:val="ListBullet"/>
        <w:spacing w:after="60"/>
      </w:pPr>
      <w:r>
        <w:rPr>
          <w:b w:val="0"/>
          <w:i w:val="0"/>
        </w:rPr>
        <w:t xml:space="preserve">Executed Ridgeline Opinion; Ridgeline engagement letter; Ridgeline communications regarding </w:t>
      </w:r>
      <w:r>
        <w:rPr>
          <w:b w:val="0"/>
          <w:i/>
        </w:rPr>
        <w:t>Pinnacle</w:t>
      </w:r>
      <w:r>
        <w:rPr>
          <w:b w:val="0"/>
          <w:i w:val="0"/>
        </w:rPr>
        <w:t xml:space="preserve"> and the Fund V election (Issues D-9, D-10).</w:t>
      </w:r>
    </w:p>
    <w:p>
      <w:pPr>
        <w:pStyle w:val="ListBullet"/>
        <w:spacing w:after="60"/>
      </w:pPr>
      <w:r>
        <w:rPr>
          <w:b w:val="0"/>
          <w:i w:val="0"/>
        </w:rPr>
        <w:t>February 15, 2024 version of the Quillen Declaration and all materials Professor Ashford considered (Issue C-9).</w:t>
      </w:r>
    </w:p>
    <w:p>
      <w:pPr>
        <w:pStyle w:val="ListBullet"/>
        <w:spacing w:after="60"/>
      </w:pPr>
      <w:r>
        <w:rPr>
          <w:b w:val="0"/>
          <w:i w:val="0"/>
        </w:rPr>
        <w:t>Confirm whether any fee waivers occurred before TY 2018 (Issue A-12).</w:t>
      </w:r>
    </w:p>
    <w:p>
      <w:pPr>
        <w:pStyle w:val="Heading2"/>
      </w:pPr>
      <w:r>
        <w:rPr>
          <w:b w:val="0"/>
          <w:i w:val="0"/>
        </w:rPr>
        <w:t>B. Agenda for the April 24, 2024 Client Call (Hargrove and Sato)</w:t>
      </w:r>
    </w:p>
    <w:p>
      <w:pPr>
        <w:pStyle w:val="ListBullet"/>
        <w:spacing w:after="60"/>
      </w:pPr>
      <w:r>
        <w:rPr>
          <w:b w:val="0"/>
          <w:i w:val="0"/>
        </w:rPr>
        <w:t>Overview: the motion’s principal weaknesses (Fund IV election date; Fund V; carry-forward terms; Rev. Proc. 93-27; inconsistent theories; penalties).</w:t>
      </w:r>
    </w:p>
    <w:p>
      <w:pPr>
        <w:pStyle w:val="ListBullet"/>
        <w:spacing w:after="60"/>
      </w:pPr>
      <w:r>
        <w:rPr>
          <w:b w:val="0"/>
          <w:i w:val="0"/>
        </w:rPr>
        <w:t>Fund V TY 2020 reporting of the $6,000,000 — what happened and why (Issue D-8).</w:t>
      </w:r>
    </w:p>
    <w:p>
      <w:pPr>
        <w:pStyle w:val="ListBullet"/>
        <w:spacing w:after="60"/>
      </w:pPr>
      <w:r>
        <w:rPr>
          <w:b w:val="0"/>
          <w:i w:val="0"/>
        </w:rPr>
        <w:t>Fund V election chronology (Issue A-2).</w:t>
      </w:r>
    </w:p>
    <w:p>
      <w:pPr>
        <w:pStyle w:val="ListBullet"/>
        <w:spacing w:after="60"/>
      </w:pPr>
      <w:r>
        <w:rPr>
          <w:b w:val="0"/>
          <w:i w:val="0"/>
        </w:rPr>
        <w:t>Business purposes and LP involvement; who can attest (Issues A-13, A-14).</w:t>
      </w:r>
    </w:p>
    <w:p>
      <w:pPr>
        <w:pStyle w:val="ListBullet"/>
        <w:spacing w:after="60"/>
      </w:pPr>
      <w:r>
        <w:rPr>
          <w:b w:val="0"/>
          <w:i w:val="0"/>
        </w:rPr>
        <w:t>The internal emails and 2017 partner-meeting materials (Issue D-5).</w:t>
      </w:r>
    </w:p>
    <w:p>
      <w:pPr>
        <w:pStyle w:val="ListBullet"/>
        <w:spacing w:after="60"/>
      </w:pPr>
      <w:r>
        <w:rPr>
          <w:b w:val="0"/>
          <w:i w:val="0"/>
        </w:rPr>
        <w:t>Reliance on Ridgeline and scope of any privilege waiver; this firm’s 2017 role (Issues D-10, D-12) — after consultation with the firm’s General Counsel.</w:t>
      </w:r>
    </w:p>
    <w:p>
      <w:pPr>
        <w:pStyle w:val="ListBullet"/>
        <w:spacing w:after="60"/>
      </w:pPr>
      <w:r>
        <w:rPr>
          <w:b w:val="0"/>
          <w:i w:val="0"/>
        </w:rPr>
        <w:t>Dr. Chu engagement and timing; declarations needed by early May.</w:t>
      </w:r>
    </w:p>
    <w:p>
      <w:pPr>
        <w:pStyle w:val="ListBullet"/>
        <w:spacing w:after="60"/>
      </w:pPr>
      <w:r>
        <w:rPr>
          <w:b w:val="0"/>
          <w:i w:val="0"/>
        </w:rPr>
        <w:t>Administrative-procedure facts (notices received, waivers or extensions signed) (Issue B-14).</w:t>
      </w:r>
    </w:p>
    <w:p>
      <w:pPr>
        <w:pStyle w:val="Heading2"/>
      </w:pPr>
      <w:r>
        <w:rPr>
          <w:b w:val="0"/>
          <w:i w:val="0"/>
        </w:rPr>
        <w:t>C. Timeline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r/>
            <w:r>
              <w:rPr>
                <w:b/>
                <w:i w:val="0"/>
                <w:sz w:val="19"/>
              </w:rPr>
              <w:t>Date</w:t>
            </w:r>
          </w:p>
        </w:tc>
        <w:tc>
          <w:tcPr>
            <w:tcW w:type="dxa" w:w="7200"/>
            <w:shd w:val="clear" w:color="auto" w:fill="D9D9D9"/>
          </w:tcPr>
          <w:p>
            <w:r/>
            <w:r>
              <w:rPr>
                <w:b/>
                <w:i w:val="0"/>
                <w:sz w:val="19"/>
              </w:rPr>
              <w:t>Event</w:t>
            </w:r>
          </w:p>
        </w:tc>
      </w:tr>
      <w:tr>
        <w:tc>
          <w:tcPr>
            <w:tcW w:type="dxa" w:w="2304"/>
          </w:tcPr>
          <w:p>
            <w:r/>
            <w:r>
              <w:rPr>
                <w:b w:val="0"/>
                <w:i w:val="0"/>
                <w:sz w:val="19"/>
              </w:rPr>
              <w:t>April 22, 2024</w:t>
            </w:r>
          </w:p>
        </w:tc>
        <w:tc>
          <w:tcPr>
            <w:tcW w:type="dxa" w:w="7200"/>
          </w:tcPr>
          <w:p>
            <w:r/>
            <w:r>
              <w:rPr>
                <w:b w:val="0"/>
                <w:i w:val="0"/>
                <w:sz w:val="19"/>
              </w:rPr>
              <w:t>Issue memorandum (this memo)</w:t>
            </w:r>
          </w:p>
        </w:tc>
      </w:tr>
      <w:tr>
        <w:tc>
          <w:tcPr>
            <w:tcW w:type="dxa" w:w="2304"/>
          </w:tcPr>
          <w:p>
            <w:r/>
            <w:r>
              <w:rPr>
                <w:b w:val="0"/>
                <w:i w:val="0"/>
                <w:sz w:val="19"/>
              </w:rPr>
              <w:t>April 24, 2024</w:t>
            </w:r>
          </w:p>
        </w:tc>
        <w:tc>
          <w:tcPr>
            <w:tcW w:type="dxa" w:w="7200"/>
          </w:tcPr>
          <w:p>
            <w:r/>
            <w:r>
              <w:rPr>
                <w:b w:val="0"/>
                <w:i w:val="0"/>
                <w:sz w:val="19"/>
              </w:rPr>
              <w:t>Client call with Hargrove and Sato</w:t>
            </w:r>
          </w:p>
        </w:tc>
      </w:tr>
      <w:tr>
        <w:tc>
          <w:tcPr>
            <w:tcW w:type="dxa" w:w="2304"/>
          </w:tcPr>
          <w:p>
            <w:r/>
            <w:r>
              <w:rPr>
                <w:b w:val="0"/>
                <w:i w:val="0"/>
                <w:sz w:val="19"/>
              </w:rPr>
              <w:t>By April 26, 2024</w:t>
            </w:r>
          </w:p>
        </w:tc>
        <w:tc>
          <w:tcPr>
            <w:tcW w:type="dxa" w:w="7200"/>
          </w:tcPr>
          <w:p>
            <w:r/>
            <w:r>
              <w:rPr>
                <w:b w:val="0"/>
                <w:i w:val="0"/>
                <w:sz w:val="19"/>
              </w:rPr>
              <w:t>Finalize Chu engagement; conflicts/ethics review (Issue D-12); document requests out</w:t>
            </w:r>
          </w:p>
        </w:tc>
      </w:tr>
      <w:tr>
        <w:tc>
          <w:tcPr>
            <w:tcW w:type="dxa" w:w="2304"/>
          </w:tcPr>
          <w:p>
            <w:r/>
            <w:r>
              <w:rPr>
                <w:b w:val="0"/>
                <w:i w:val="0"/>
                <w:sz w:val="19"/>
              </w:rPr>
              <w:t>By May 3, 2024</w:t>
            </w:r>
          </w:p>
        </w:tc>
        <w:tc>
          <w:tcPr>
            <w:tcW w:type="dxa" w:w="7200"/>
          </w:tcPr>
          <w:p>
            <w:r/>
            <w:r>
              <w:rPr>
                <w:b w:val="0"/>
                <w:i w:val="0"/>
                <w:sz w:val="19"/>
              </w:rPr>
              <w:t>Fact declarations drafted; decision on Rule 56(d) and procedural (B-14) arguments</w:t>
            </w:r>
          </w:p>
        </w:tc>
      </w:tr>
      <w:tr>
        <w:tc>
          <w:tcPr>
            <w:tcW w:type="dxa" w:w="2304"/>
          </w:tcPr>
          <w:p>
            <w:r/>
            <w:r>
              <w:rPr>
                <w:b w:val="0"/>
                <w:i w:val="0"/>
                <w:sz w:val="19"/>
              </w:rPr>
              <w:t>By May 10, 2024</w:t>
            </w:r>
          </w:p>
        </w:tc>
        <w:tc>
          <w:tcPr>
            <w:tcW w:type="dxa" w:w="7200"/>
          </w:tcPr>
          <w:p>
            <w:r/>
            <w:r>
              <w:rPr>
                <w:b w:val="0"/>
                <w:i w:val="0"/>
                <w:sz w:val="19"/>
              </w:rPr>
              <w:t>Chu declaration; full draft opposition and Rule 56.1 response</w:t>
            </w:r>
          </w:p>
        </w:tc>
      </w:tr>
      <w:tr>
        <w:tc>
          <w:tcPr>
            <w:tcW w:type="dxa" w:w="2304"/>
          </w:tcPr>
          <w:p>
            <w:r/>
            <w:r>
              <w:rPr>
                <w:b w:val="0"/>
                <w:i w:val="0"/>
                <w:sz w:val="19"/>
              </w:rPr>
              <w:t>May 17, 2024</w:t>
            </w:r>
          </w:p>
        </w:tc>
        <w:tc>
          <w:tcPr>
            <w:tcW w:type="dxa" w:w="7200"/>
          </w:tcPr>
          <w:p>
            <w:r/>
            <w:r>
              <w:rPr>
                <w:b w:val="0"/>
                <w:i w:val="0"/>
                <w:sz w:val="19"/>
              </w:rPr>
              <w:t>Opposition due</w:t>
            </w:r>
          </w:p>
        </w:tc>
      </w:tr>
      <w:tr>
        <w:tc>
          <w:tcPr>
            <w:tcW w:type="dxa" w:w="2304"/>
          </w:tcPr>
          <w:p>
            <w:r/>
            <w:r>
              <w:rPr>
                <w:b w:val="0"/>
                <w:i w:val="0"/>
                <w:sz w:val="19"/>
              </w:rPr>
              <w:t>~September 15, 2024</w:t>
            </w:r>
          </w:p>
        </w:tc>
        <w:tc>
          <w:tcPr>
            <w:tcW w:type="dxa" w:w="7200"/>
          </w:tcPr>
          <w:p>
            <w:r/>
            <w:r>
              <w:rPr>
                <w:b w:val="0"/>
                <w:i w:val="0"/>
                <w:sz w:val="19"/>
              </w:rPr>
              <w:t>Approximate expiration of § 6235(a)(1) three-year period for TY 2020, if filed September 15, 2021 and not extended (relevant to Issue B-14)</w:t>
            </w:r>
          </w:p>
        </w:tc>
      </w:tr>
    </w:tbl>
    <w:p>
      <w:pPr>
        <w:spacing w:after="40"/>
      </w:pPr>
    </w:p>
    <w:p>
      <w:pPr>
        <w:pStyle w:val="Heading1"/>
      </w:pPr>
      <w:r>
        <w:rPr>
          <w:b w:val="0"/>
          <w:i w:val="0"/>
        </w:rPr>
        <w:t>Appendix: Issue Index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D9D9D9"/>
          </w:tcPr>
          <w:p>
            <w:r/>
            <w:r>
              <w:rPr>
                <w:b/>
                <w:i w:val="0"/>
                <w:sz w:val="18"/>
              </w:rPr>
              <w:t>No.</w:t>
            </w:r>
          </w:p>
        </w:tc>
        <w:tc>
          <w:tcPr>
            <w:tcW w:type="dxa" w:w="2160"/>
            <w:shd w:val="clear" w:color="auto" w:fill="D9D9D9"/>
          </w:tcPr>
          <w:p>
            <w:r/>
            <w:r>
              <w:rPr>
                <w:b/>
                <w:i w:val="0"/>
                <w:sz w:val="18"/>
              </w:rPr>
              <w:t>Category</w:t>
            </w:r>
          </w:p>
        </w:tc>
        <w:tc>
          <w:tcPr>
            <w:tcW w:type="dxa" w:w="5328"/>
            <w:shd w:val="clear" w:color="auto" w:fill="D9D9D9"/>
          </w:tcPr>
          <w:p>
            <w:r/>
            <w:r>
              <w:rPr>
                <w:b/>
                <w:i w:val="0"/>
                <w:sz w:val="18"/>
              </w:rPr>
              <w:t>Issue</w:t>
            </w:r>
          </w:p>
        </w:tc>
        <w:tc>
          <w:tcPr>
            <w:tcW w:type="dxa" w:w="1296"/>
            <w:shd w:val="clear" w:color="auto" w:fill="D9D9D9"/>
          </w:tcPr>
          <w:p>
            <w:r/>
            <w:r>
              <w:rPr>
                <w:b/>
                <w:i w:val="0"/>
                <w:sz w:val="18"/>
              </w:rPr>
              <w:t>Severity</w:t>
            </w:r>
          </w:p>
        </w:tc>
      </w:tr>
      <w:tr>
        <w:tc>
          <w:tcPr>
            <w:tcW w:type="dxa" w:w="720"/>
          </w:tcPr>
          <w:p>
            <w:r/>
            <w:r>
              <w:rPr>
                <w:b w:val="0"/>
                <w:i w:val="0"/>
                <w:sz w:val="18"/>
              </w:rPr>
              <w:t>A-1</w:t>
            </w:r>
          </w:p>
        </w:tc>
        <w:tc>
          <w:tcPr>
            <w:tcW w:type="dxa" w:w="2160"/>
          </w:tcPr>
          <w:p>
            <w:r/>
            <w:r>
              <w:rPr>
                <w:b w:val="0"/>
                <w:i w:val="0"/>
                <w:sz w:val="18"/>
              </w:rPr>
              <w:t>(A) Factual Error</w:t>
            </w:r>
          </w:p>
        </w:tc>
        <w:tc>
          <w:tcPr>
            <w:tcW w:type="dxa" w:w="5328"/>
          </w:tcPr>
          <w:p>
            <w:r/>
            <w:r>
              <w:rPr>
                <w:b w:val="0"/>
                <w:i w:val="0"/>
                <w:sz w:val="18"/>
              </w:rPr>
              <w:t>The Brief Misdates the Fund IV TY 2020 Election and Conflates It with the Fund V Election</w:t>
            </w:r>
          </w:p>
        </w:tc>
        <w:tc>
          <w:tcPr>
            <w:tcW w:type="dxa" w:w="1296"/>
          </w:tcPr>
          <w:p>
            <w:r/>
            <w:r>
              <w:rPr>
                <w:b w:val="0"/>
                <w:i w:val="0"/>
                <w:sz w:val="18"/>
              </w:rPr>
              <w:t>Critical</w:t>
            </w:r>
          </w:p>
        </w:tc>
      </w:tr>
      <w:tr>
        <w:tc>
          <w:tcPr>
            <w:tcW w:type="dxa" w:w="720"/>
          </w:tcPr>
          <w:p>
            <w:r/>
            <w:r>
              <w:rPr>
                <w:b w:val="0"/>
                <w:i w:val="0"/>
                <w:sz w:val="18"/>
              </w:rPr>
              <w:t>A-2</w:t>
            </w:r>
          </w:p>
        </w:tc>
        <w:tc>
          <w:tcPr>
            <w:tcW w:type="dxa" w:w="2160"/>
          </w:tcPr>
          <w:p>
            <w:r/>
            <w:r>
              <w:rPr>
                <w:b w:val="0"/>
                <w:i w:val="0"/>
                <w:sz w:val="18"/>
              </w:rPr>
              <w:t>(A) Factual Error</w:t>
            </w:r>
          </w:p>
        </w:tc>
        <w:tc>
          <w:tcPr>
            <w:tcW w:type="dxa" w:w="5328"/>
          </w:tcPr>
          <w:p>
            <w:r/>
            <w:r>
              <w:rPr>
                <w:b w:val="0"/>
                <w:i w:val="0"/>
                <w:sz w:val="18"/>
              </w:rPr>
              <w:t>The Brief's Characterization of the Fund V Election as “Retroactive” Ignores That Fund V Did Not Exist Until February 1, 2020</w:t>
            </w:r>
          </w:p>
        </w:tc>
        <w:tc>
          <w:tcPr>
            <w:tcW w:type="dxa" w:w="1296"/>
          </w:tcPr>
          <w:p>
            <w:r/>
            <w:r>
              <w:rPr>
                <w:b w:val="0"/>
                <w:i w:val="0"/>
                <w:sz w:val="18"/>
              </w:rPr>
              <w:t>Significant</w:t>
            </w:r>
          </w:p>
        </w:tc>
      </w:tr>
      <w:tr>
        <w:tc>
          <w:tcPr>
            <w:tcW w:type="dxa" w:w="720"/>
          </w:tcPr>
          <w:p>
            <w:r/>
            <w:r>
              <w:rPr>
                <w:b w:val="0"/>
                <w:i w:val="0"/>
                <w:sz w:val="18"/>
              </w:rPr>
              <w:t>A-3</w:t>
            </w:r>
          </w:p>
        </w:tc>
        <w:tc>
          <w:tcPr>
            <w:tcW w:type="dxa" w:w="2160"/>
          </w:tcPr>
          <w:p>
            <w:r/>
            <w:r>
              <w:rPr>
                <w:b w:val="0"/>
                <w:i w:val="0"/>
                <w:sz w:val="18"/>
              </w:rPr>
              <w:t>(A) Factual Error</w:t>
            </w:r>
          </w:p>
        </w:tc>
        <w:tc>
          <w:tcPr>
            <w:tcW w:type="dxa" w:w="5328"/>
          </w:tcPr>
          <w:p>
            <w:r/>
            <w:r>
              <w:rPr>
                <w:b w:val="0"/>
                <w:i w:val="0"/>
                <w:sz w:val="18"/>
              </w:rPr>
              <w:t>The Brief Asserts That Fund V Had “Substantial Capital Gains Activity” in 2020; the Government's Own Exhibit 4 Shows Zero Realized Gains</w:t>
            </w:r>
          </w:p>
        </w:tc>
        <w:tc>
          <w:tcPr>
            <w:tcW w:type="dxa" w:w="1296"/>
          </w:tcPr>
          <w:p>
            <w:r/>
            <w:r>
              <w:rPr>
                <w:b w:val="0"/>
                <w:i w:val="0"/>
                <w:sz w:val="18"/>
              </w:rPr>
              <w:t>Critical</w:t>
            </w:r>
          </w:p>
        </w:tc>
      </w:tr>
      <w:tr>
        <w:tc>
          <w:tcPr>
            <w:tcW w:type="dxa" w:w="720"/>
          </w:tcPr>
          <w:p>
            <w:r/>
            <w:r>
              <w:rPr>
                <w:b w:val="0"/>
                <w:i w:val="0"/>
                <w:sz w:val="18"/>
              </w:rPr>
              <w:t>A-4</w:t>
            </w:r>
          </w:p>
        </w:tc>
        <w:tc>
          <w:tcPr>
            <w:tcW w:type="dxa" w:w="2160"/>
          </w:tcPr>
          <w:p>
            <w:r/>
            <w:r>
              <w:rPr>
                <w:b w:val="0"/>
                <w:i w:val="0"/>
                <w:sz w:val="18"/>
              </w:rPr>
              <w:t>(A) Factual Error</w:t>
            </w:r>
          </w:p>
        </w:tc>
        <w:tc>
          <w:tcPr>
            <w:tcW w:type="dxa" w:w="5328"/>
          </w:tcPr>
          <w:p>
            <w:r/>
            <w:r>
              <w:rPr>
                <w:b w:val="0"/>
                <w:i w:val="0"/>
                <w:sz w:val="18"/>
              </w:rPr>
              <w:t>The Brief Invents a “Compounding Return Equal to the Applicable Federal Rate” and Misstates the Carry-Forward as Having “No Expiration”</w:t>
            </w:r>
          </w:p>
        </w:tc>
        <w:tc>
          <w:tcPr>
            <w:tcW w:type="dxa" w:w="1296"/>
          </w:tcPr>
          <w:p>
            <w:r/>
            <w:r>
              <w:rPr>
                <w:b w:val="0"/>
                <w:i w:val="0"/>
                <w:sz w:val="18"/>
              </w:rPr>
              <w:t>Critical</w:t>
            </w:r>
          </w:p>
        </w:tc>
      </w:tr>
      <w:tr>
        <w:tc>
          <w:tcPr>
            <w:tcW w:type="dxa" w:w="720"/>
          </w:tcPr>
          <w:p>
            <w:r/>
            <w:r>
              <w:rPr>
                <w:b w:val="0"/>
                <w:i w:val="0"/>
                <w:sz w:val="18"/>
              </w:rPr>
              <w:t>A-5</w:t>
            </w:r>
          </w:p>
        </w:tc>
        <w:tc>
          <w:tcPr>
            <w:tcW w:type="dxa" w:w="2160"/>
          </w:tcPr>
          <w:p>
            <w:r/>
            <w:r>
              <w:rPr>
                <w:b w:val="0"/>
                <w:i w:val="0"/>
                <w:sz w:val="18"/>
              </w:rPr>
              <w:t>(A) Factual Error</w:t>
            </w:r>
          </w:p>
        </w:tc>
        <w:tc>
          <w:tcPr>
            <w:tcW w:type="dxa" w:w="5328"/>
          </w:tcPr>
          <w:p>
            <w:r/>
            <w:r>
              <w:rPr>
                <w:b w:val="0"/>
                <w:i w:val="0"/>
                <w:sz w:val="18"/>
              </w:rPr>
              <w:t>The Brief Wrongly Asserts That Only a “Total and Permanent Loss” of Fund Capital Could Defeat the Priority Allocation</w:t>
            </w:r>
          </w:p>
        </w:tc>
        <w:tc>
          <w:tcPr>
            <w:tcW w:type="dxa" w:w="1296"/>
          </w:tcPr>
          <w:p>
            <w:r/>
            <w:r>
              <w:rPr>
                <w:b w:val="0"/>
                <w:i w:val="0"/>
                <w:sz w:val="18"/>
              </w:rPr>
              <w:t>Significant</w:t>
            </w:r>
          </w:p>
        </w:tc>
      </w:tr>
      <w:tr>
        <w:tc>
          <w:tcPr>
            <w:tcW w:type="dxa" w:w="720"/>
          </w:tcPr>
          <w:p>
            <w:r/>
            <w:r>
              <w:rPr>
                <w:b w:val="0"/>
                <w:i w:val="0"/>
                <w:sz w:val="18"/>
              </w:rPr>
              <w:t>A-6</w:t>
            </w:r>
          </w:p>
        </w:tc>
        <w:tc>
          <w:tcPr>
            <w:tcW w:type="dxa" w:w="2160"/>
          </w:tcPr>
          <w:p>
            <w:r/>
            <w:r>
              <w:rPr>
                <w:b w:val="0"/>
                <w:i w:val="0"/>
                <w:sz w:val="18"/>
              </w:rPr>
              <w:t>(A) Factual Error</w:t>
            </w:r>
          </w:p>
        </w:tc>
        <w:tc>
          <w:tcPr>
            <w:tcW w:type="dxa" w:w="5328"/>
          </w:tcPr>
          <w:p>
            <w:r/>
            <w:r>
              <w:rPr>
                <w:b w:val="0"/>
                <w:i w:val="0"/>
                <w:sz w:val="18"/>
              </w:rPr>
              <w:t>The Brief Says the Carry-Forward “Ensured” Fund III Shortfalls Were Satisfied; the Government's Declarant Says There Were No Fund III Shortfalls</w:t>
            </w:r>
          </w:p>
        </w:tc>
        <w:tc>
          <w:tcPr>
            <w:tcW w:type="dxa" w:w="1296"/>
          </w:tcPr>
          <w:p>
            <w:r/>
            <w:r>
              <w:rPr>
                <w:b w:val="0"/>
                <w:i w:val="0"/>
                <w:sz w:val="18"/>
              </w:rPr>
              <w:t>Significant</w:t>
            </w:r>
          </w:p>
        </w:tc>
      </w:tr>
      <w:tr>
        <w:tc>
          <w:tcPr>
            <w:tcW w:type="dxa" w:w="720"/>
          </w:tcPr>
          <w:p>
            <w:r/>
            <w:r>
              <w:rPr>
                <w:b w:val="0"/>
                <w:i w:val="0"/>
                <w:sz w:val="18"/>
              </w:rPr>
              <w:t>A-7</w:t>
            </w:r>
          </w:p>
        </w:tc>
        <w:tc>
          <w:tcPr>
            <w:tcW w:type="dxa" w:w="2160"/>
          </w:tcPr>
          <w:p>
            <w:r/>
            <w:r>
              <w:rPr>
                <w:b w:val="0"/>
                <w:i w:val="0"/>
                <w:sz w:val="18"/>
              </w:rPr>
              <w:t>(A) Factual Error</w:t>
            </w:r>
          </w:p>
        </w:tc>
        <w:tc>
          <w:tcPr>
            <w:tcW w:type="dxa" w:w="5328"/>
          </w:tcPr>
          <w:p>
            <w:r/>
            <w:r>
              <w:rPr>
                <w:b w:val="0"/>
                <w:i w:val="0"/>
                <w:sz w:val="18"/>
              </w:rPr>
              <w:t>Fund III and Fund IV Performance Metrics Are Mislabeled and Inconsistently Dated</w:t>
            </w:r>
          </w:p>
        </w:tc>
        <w:tc>
          <w:tcPr>
            <w:tcW w:type="dxa" w:w="1296"/>
          </w:tcPr>
          <w:p>
            <w:r/>
            <w:r>
              <w:rPr>
                <w:b w:val="0"/>
                <w:i w:val="0"/>
                <w:sz w:val="18"/>
              </w:rPr>
              <w:t>Minor</w:t>
            </w:r>
          </w:p>
        </w:tc>
      </w:tr>
      <w:tr>
        <w:tc>
          <w:tcPr>
            <w:tcW w:type="dxa" w:w="720"/>
          </w:tcPr>
          <w:p>
            <w:r/>
            <w:r>
              <w:rPr>
                <w:b w:val="0"/>
                <w:i w:val="0"/>
                <w:sz w:val="18"/>
              </w:rPr>
              <w:t>A-8</w:t>
            </w:r>
          </w:p>
        </w:tc>
        <w:tc>
          <w:tcPr>
            <w:tcW w:type="dxa" w:w="2160"/>
          </w:tcPr>
          <w:p>
            <w:r/>
            <w:r>
              <w:rPr>
                <w:b w:val="0"/>
                <w:i w:val="0"/>
                <w:sz w:val="18"/>
              </w:rPr>
              <w:t>(A) Factual Error</w:t>
            </w:r>
          </w:p>
        </w:tc>
        <w:tc>
          <w:tcPr>
            <w:tcW w:type="dxa" w:w="5328"/>
          </w:tcPr>
          <w:p>
            <w:r/>
            <w:r>
              <w:rPr>
                <w:b w:val="0"/>
                <w:i w:val="0"/>
                <w:sz w:val="18"/>
              </w:rPr>
              <w:t>The Brief Attributes Fund IV's Subscription Credit Facility to Fund V</w:t>
            </w:r>
          </w:p>
        </w:tc>
        <w:tc>
          <w:tcPr>
            <w:tcW w:type="dxa" w:w="1296"/>
          </w:tcPr>
          <w:p>
            <w:r/>
            <w:r>
              <w:rPr>
                <w:b w:val="0"/>
                <w:i w:val="0"/>
                <w:sz w:val="18"/>
              </w:rPr>
              <w:t>Minor</w:t>
            </w:r>
          </w:p>
        </w:tc>
      </w:tr>
      <w:tr>
        <w:tc>
          <w:tcPr>
            <w:tcW w:type="dxa" w:w="720"/>
          </w:tcPr>
          <w:p>
            <w:r/>
            <w:r>
              <w:rPr>
                <w:b w:val="0"/>
                <w:i w:val="0"/>
                <w:sz w:val="18"/>
              </w:rPr>
              <w:t>A-9</w:t>
            </w:r>
          </w:p>
        </w:tc>
        <w:tc>
          <w:tcPr>
            <w:tcW w:type="dxa" w:w="2160"/>
          </w:tcPr>
          <w:p>
            <w:r/>
            <w:r>
              <w:rPr>
                <w:b w:val="0"/>
                <w:i w:val="0"/>
                <w:sz w:val="18"/>
              </w:rPr>
              <w:t>(A) Factual Error</w:t>
            </w:r>
          </w:p>
        </w:tc>
        <w:tc>
          <w:tcPr>
            <w:tcW w:type="dxa" w:w="5328"/>
          </w:tcPr>
          <w:p>
            <w:r/>
            <w:r>
              <w:rPr>
                <w:b w:val="0"/>
                <w:i w:val="0"/>
                <w:sz w:val="18"/>
              </w:rPr>
              <w:t>The Brief Misidentifies HCP's Partnership Representative and Uses Repealed TEFRA Terminology</w:t>
            </w:r>
          </w:p>
        </w:tc>
        <w:tc>
          <w:tcPr>
            <w:tcW w:type="dxa" w:w="1296"/>
          </w:tcPr>
          <w:p>
            <w:r/>
            <w:r>
              <w:rPr>
                <w:b w:val="0"/>
                <w:i w:val="0"/>
                <w:sz w:val="18"/>
              </w:rPr>
              <w:t>Significant</w:t>
            </w:r>
          </w:p>
        </w:tc>
      </w:tr>
      <w:tr>
        <w:tc>
          <w:tcPr>
            <w:tcW w:type="dxa" w:w="720"/>
          </w:tcPr>
          <w:p>
            <w:r/>
            <w:r>
              <w:rPr>
                <w:b w:val="0"/>
                <w:i w:val="0"/>
                <w:sz w:val="18"/>
              </w:rPr>
              <w:t>A-10</w:t>
            </w:r>
          </w:p>
        </w:tc>
        <w:tc>
          <w:tcPr>
            <w:tcW w:type="dxa" w:w="2160"/>
          </w:tcPr>
          <w:p>
            <w:r/>
            <w:r>
              <w:rPr>
                <w:b w:val="0"/>
                <w:i w:val="0"/>
                <w:sz w:val="18"/>
              </w:rPr>
              <w:t>(A) Factual Error</w:t>
            </w:r>
          </w:p>
        </w:tc>
        <w:tc>
          <w:tcPr>
            <w:tcW w:type="dxa" w:w="5328"/>
          </w:tcPr>
          <w:p>
            <w:r/>
            <w:r>
              <w:rPr>
                <w:b w:val="0"/>
                <w:i w:val="0"/>
                <w:sz w:val="18"/>
              </w:rPr>
              <w:t>The Brief Misstates Who Owns the Funds' General Partners</w:t>
            </w:r>
          </w:p>
        </w:tc>
        <w:tc>
          <w:tcPr>
            <w:tcW w:type="dxa" w:w="1296"/>
          </w:tcPr>
          <w:p>
            <w:r/>
            <w:r>
              <w:rPr>
                <w:b w:val="0"/>
                <w:i w:val="0"/>
                <w:sz w:val="18"/>
              </w:rPr>
              <w:t>Significant</w:t>
            </w:r>
          </w:p>
        </w:tc>
      </w:tr>
      <w:tr>
        <w:tc>
          <w:tcPr>
            <w:tcW w:type="dxa" w:w="720"/>
          </w:tcPr>
          <w:p>
            <w:r/>
            <w:r>
              <w:rPr>
                <w:b w:val="0"/>
                <w:i w:val="0"/>
                <w:sz w:val="18"/>
              </w:rPr>
              <w:t>A-11</w:t>
            </w:r>
          </w:p>
        </w:tc>
        <w:tc>
          <w:tcPr>
            <w:tcW w:type="dxa" w:w="2160"/>
          </w:tcPr>
          <w:p>
            <w:r/>
            <w:r>
              <w:rPr>
                <w:b w:val="0"/>
                <w:i w:val="0"/>
                <w:sz w:val="18"/>
              </w:rPr>
              <w:t>(A) Factual Error</w:t>
            </w:r>
          </w:p>
        </w:tc>
        <w:tc>
          <w:tcPr>
            <w:tcW w:type="dxa" w:w="5328"/>
          </w:tcPr>
          <w:p>
            <w:r/>
            <w:r>
              <w:rPr>
                <w:b w:val="0"/>
                <w:i w:val="0"/>
                <w:sz w:val="18"/>
              </w:rPr>
              <w:t>The Brief Refers to “Waiver Side Letters” That Do Not Exist</w:t>
            </w:r>
          </w:p>
        </w:tc>
        <w:tc>
          <w:tcPr>
            <w:tcW w:type="dxa" w:w="1296"/>
          </w:tcPr>
          <w:p>
            <w:r/>
            <w:r>
              <w:rPr>
                <w:b w:val="0"/>
                <w:i w:val="0"/>
                <w:sz w:val="18"/>
              </w:rPr>
              <w:t>Significant</w:t>
            </w:r>
          </w:p>
        </w:tc>
      </w:tr>
      <w:tr>
        <w:tc>
          <w:tcPr>
            <w:tcW w:type="dxa" w:w="720"/>
          </w:tcPr>
          <w:p>
            <w:r/>
            <w:r>
              <w:rPr>
                <w:b w:val="0"/>
                <w:i w:val="0"/>
                <w:sz w:val="18"/>
              </w:rPr>
              <w:t>A-12</w:t>
            </w:r>
          </w:p>
        </w:tc>
        <w:tc>
          <w:tcPr>
            <w:tcW w:type="dxa" w:w="2160"/>
          </w:tcPr>
          <w:p>
            <w:r/>
            <w:r>
              <w:rPr>
                <w:b w:val="0"/>
                <w:i w:val="0"/>
                <w:sz w:val="18"/>
              </w:rPr>
              <w:t>(A) Factual Error</w:t>
            </w:r>
          </w:p>
        </w:tc>
        <w:tc>
          <w:tcPr>
            <w:tcW w:type="dxa" w:w="5328"/>
          </w:tcPr>
          <w:p>
            <w:r/>
            <w:r>
              <w:rPr>
                <w:b w:val="0"/>
                <w:i w:val="0"/>
                <w:sz w:val="18"/>
              </w:rPr>
              <w:t>The Brief Dates the Program to 2016, Contradicting the Government's Declarant and the Ridgeline Opinion</w:t>
            </w:r>
          </w:p>
        </w:tc>
        <w:tc>
          <w:tcPr>
            <w:tcW w:type="dxa" w:w="1296"/>
          </w:tcPr>
          <w:p>
            <w:r/>
            <w:r>
              <w:rPr>
                <w:b w:val="0"/>
                <w:i w:val="0"/>
                <w:sz w:val="18"/>
              </w:rPr>
              <w:t>Minor</w:t>
            </w:r>
          </w:p>
        </w:tc>
      </w:tr>
      <w:tr>
        <w:tc>
          <w:tcPr>
            <w:tcW w:type="dxa" w:w="720"/>
          </w:tcPr>
          <w:p>
            <w:r/>
            <w:r>
              <w:rPr>
                <w:b w:val="0"/>
                <w:i w:val="0"/>
                <w:sz w:val="18"/>
              </w:rPr>
              <w:t>A-13</w:t>
            </w:r>
          </w:p>
        </w:tc>
        <w:tc>
          <w:tcPr>
            <w:tcW w:type="dxa" w:w="2160"/>
          </w:tcPr>
          <w:p>
            <w:r/>
            <w:r>
              <w:rPr>
                <w:b w:val="0"/>
                <w:i w:val="0"/>
                <w:sz w:val="18"/>
              </w:rPr>
              <w:t>(A) Factual Error</w:t>
            </w:r>
          </w:p>
        </w:tc>
        <w:tc>
          <w:tcPr>
            <w:tcW w:type="dxa" w:w="5328"/>
          </w:tcPr>
          <w:p>
            <w:r/>
            <w:r>
              <w:rPr>
                <w:b w:val="0"/>
                <w:i w:val="0"/>
                <w:sz w:val="18"/>
              </w:rPr>
              <w:t>The Brief Overstates the Absence of Limited Partner Involvement</w:t>
            </w:r>
          </w:p>
        </w:tc>
        <w:tc>
          <w:tcPr>
            <w:tcW w:type="dxa" w:w="1296"/>
          </w:tcPr>
          <w:p>
            <w:r/>
            <w:r>
              <w:rPr>
                <w:b w:val="0"/>
                <w:i w:val="0"/>
                <w:sz w:val="18"/>
              </w:rPr>
              <w:t>Significant</w:t>
            </w:r>
          </w:p>
        </w:tc>
      </w:tr>
      <w:tr>
        <w:tc>
          <w:tcPr>
            <w:tcW w:type="dxa" w:w="720"/>
          </w:tcPr>
          <w:p>
            <w:r/>
            <w:r>
              <w:rPr>
                <w:b w:val="0"/>
                <w:i w:val="0"/>
                <w:sz w:val="18"/>
              </w:rPr>
              <w:t>A-14</w:t>
            </w:r>
          </w:p>
        </w:tc>
        <w:tc>
          <w:tcPr>
            <w:tcW w:type="dxa" w:w="2160"/>
          </w:tcPr>
          <w:p>
            <w:r/>
            <w:r>
              <w:rPr>
                <w:b w:val="0"/>
                <w:i w:val="0"/>
                <w:sz w:val="18"/>
              </w:rPr>
              <w:t>(A) Factual Error</w:t>
            </w:r>
          </w:p>
        </w:tc>
        <w:tc>
          <w:tcPr>
            <w:tcW w:type="dxa" w:w="5328"/>
          </w:tcPr>
          <w:p>
            <w:r/>
            <w:r>
              <w:rPr>
                <w:b w:val="0"/>
                <w:i w:val="0"/>
                <w:sz w:val="18"/>
              </w:rPr>
              <w:t>The Brief Misstates the Business Purposes HCP Identified</w:t>
            </w:r>
          </w:p>
        </w:tc>
        <w:tc>
          <w:tcPr>
            <w:tcW w:type="dxa" w:w="1296"/>
          </w:tcPr>
          <w:p>
            <w:r/>
            <w:r>
              <w:rPr>
                <w:b w:val="0"/>
                <w:i w:val="0"/>
                <w:sz w:val="18"/>
              </w:rPr>
              <w:t>Significant</w:t>
            </w:r>
          </w:p>
        </w:tc>
      </w:tr>
      <w:tr>
        <w:tc>
          <w:tcPr>
            <w:tcW w:type="dxa" w:w="720"/>
          </w:tcPr>
          <w:p>
            <w:r/>
            <w:r>
              <w:rPr>
                <w:b w:val="0"/>
                <w:i w:val="0"/>
                <w:sz w:val="18"/>
              </w:rPr>
              <w:t>A-15</w:t>
            </w:r>
          </w:p>
        </w:tc>
        <w:tc>
          <w:tcPr>
            <w:tcW w:type="dxa" w:w="2160"/>
          </w:tcPr>
          <w:p>
            <w:r/>
            <w:r>
              <w:rPr>
                <w:b w:val="0"/>
                <w:i w:val="0"/>
                <w:sz w:val="18"/>
              </w:rPr>
              <w:t>(A) Factual Error</w:t>
            </w:r>
          </w:p>
        </w:tc>
        <w:tc>
          <w:tcPr>
            <w:tcW w:type="dxa" w:w="5328"/>
          </w:tcPr>
          <w:p>
            <w:r/>
            <w:r>
              <w:rPr>
                <w:b w:val="0"/>
                <w:i w:val="0"/>
                <w:sz w:val="18"/>
              </w:rPr>
              <w:t>Mr. Hargrove's Professional Background Is Asserted Without Record Support</w:t>
            </w:r>
          </w:p>
        </w:tc>
        <w:tc>
          <w:tcPr>
            <w:tcW w:type="dxa" w:w="1296"/>
          </w:tcPr>
          <w:p>
            <w:r/>
            <w:r>
              <w:rPr>
                <w:b w:val="0"/>
                <w:i w:val="0"/>
                <w:sz w:val="18"/>
              </w:rPr>
              <w:t>Minor</w:t>
            </w:r>
          </w:p>
        </w:tc>
      </w:tr>
      <w:tr>
        <w:tc>
          <w:tcPr>
            <w:tcW w:type="dxa" w:w="720"/>
          </w:tcPr>
          <w:p>
            <w:r/>
            <w:r>
              <w:rPr>
                <w:b w:val="0"/>
                <w:i w:val="0"/>
                <w:sz w:val="18"/>
              </w:rPr>
              <w:t>A-16</w:t>
            </w:r>
          </w:p>
        </w:tc>
        <w:tc>
          <w:tcPr>
            <w:tcW w:type="dxa" w:w="2160"/>
          </w:tcPr>
          <w:p>
            <w:r/>
            <w:r>
              <w:rPr>
                <w:b w:val="0"/>
                <w:i w:val="0"/>
                <w:sz w:val="18"/>
              </w:rPr>
              <w:t>(A) Factual Error</w:t>
            </w:r>
          </w:p>
        </w:tc>
        <w:tc>
          <w:tcPr>
            <w:tcW w:type="dxa" w:w="5328"/>
          </w:tcPr>
          <w:p>
            <w:r/>
            <w:r>
              <w:rPr>
                <w:b w:val="0"/>
                <w:i w:val="0"/>
                <w:sz w:val="18"/>
              </w:rPr>
              <w:t>The Brief Overstates the Scope of the “Conversion”: HCP Waived Only Part of Its Fees and Reported the Rest as Ordinary Income</w:t>
            </w:r>
          </w:p>
        </w:tc>
        <w:tc>
          <w:tcPr>
            <w:tcW w:type="dxa" w:w="1296"/>
          </w:tcPr>
          <w:p>
            <w:r/>
            <w:r>
              <w:rPr>
                <w:b w:val="0"/>
                <w:i w:val="0"/>
                <w:sz w:val="18"/>
              </w:rPr>
              <w:t>Minor</w:t>
            </w:r>
          </w:p>
        </w:tc>
      </w:tr>
      <w:tr>
        <w:tc>
          <w:tcPr>
            <w:tcW w:type="dxa" w:w="720"/>
          </w:tcPr>
          <w:p>
            <w:r/>
            <w:r>
              <w:rPr>
                <w:b w:val="0"/>
                <w:i w:val="0"/>
                <w:sz w:val="18"/>
              </w:rPr>
              <w:t>B-1</w:t>
            </w:r>
          </w:p>
        </w:tc>
        <w:tc>
          <w:tcPr>
            <w:tcW w:type="dxa" w:w="2160"/>
          </w:tcPr>
          <w:p>
            <w:r/>
            <w:r>
              <w:rPr>
                <w:b w:val="0"/>
                <w:i w:val="0"/>
                <w:sz w:val="18"/>
              </w:rPr>
              <w:t>(B) Legal Error</w:t>
            </w:r>
          </w:p>
        </w:tc>
        <w:tc>
          <w:tcPr>
            <w:tcW w:type="dxa" w:w="5328"/>
          </w:tcPr>
          <w:p>
            <w:r/>
            <w:r>
              <w:rPr>
                <w:b w:val="0"/>
                <w:i w:val="0"/>
                <w:sz w:val="18"/>
              </w:rPr>
              <w:t>The Brief Inverts Rev. Proc. 93-27, Which Provides That Receipt of a Profits Interest Is Generally Not a Taxable Event</w:t>
            </w:r>
          </w:p>
        </w:tc>
        <w:tc>
          <w:tcPr>
            <w:tcW w:type="dxa" w:w="1296"/>
          </w:tcPr>
          <w:p>
            <w:r/>
            <w:r>
              <w:rPr>
                <w:b w:val="0"/>
                <w:i w:val="0"/>
                <w:sz w:val="18"/>
              </w:rPr>
              <w:t>Critical</w:t>
            </w:r>
          </w:p>
        </w:tc>
      </w:tr>
      <w:tr>
        <w:tc>
          <w:tcPr>
            <w:tcW w:type="dxa" w:w="720"/>
          </w:tcPr>
          <w:p>
            <w:r/>
            <w:r>
              <w:rPr>
                <w:b w:val="0"/>
                <w:i w:val="0"/>
                <w:sz w:val="18"/>
              </w:rPr>
              <w:t>B-2</w:t>
            </w:r>
          </w:p>
        </w:tc>
        <w:tc>
          <w:tcPr>
            <w:tcW w:type="dxa" w:w="2160"/>
          </w:tcPr>
          <w:p>
            <w:r/>
            <w:r>
              <w:rPr>
                <w:b w:val="0"/>
                <w:i w:val="0"/>
                <w:sz w:val="18"/>
              </w:rPr>
              <w:t>(B) Legal Error</w:t>
            </w:r>
          </w:p>
        </w:tc>
        <w:tc>
          <w:tcPr>
            <w:tcW w:type="dxa" w:w="5328"/>
          </w:tcPr>
          <w:p>
            <w:r/>
            <w:r>
              <w:rPr>
                <w:b w:val="0"/>
                <w:i w:val="0"/>
                <w:sz w:val="18"/>
              </w:rPr>
              <w:t>The Brief Misstates the Treas. Reg. § 1.707-2(c) Factors, Omits Factor (4), Imports the § 704(b) “Transitory Allocation” Framework, and Ignores That the Regulation Is Only Proposed</w:t>
            </w:r>
          </w:p>
        </w:tc>
        <w:tc>
          <w:tcPr>
            <w:tcW w:type="dxa" w:w="1296"/>
          </w:tcPr>
          <w:p>
            <w:r/>
            <w:r>
              <w:rPr>
                <w:b w:val="0"/>
                <w:i w:val="0"/>
                <w:sz w:val="18"/>
              </w:rPr>
              <w:t>Critical</w:t>
            </w:r>
          </w:p>
        </w:tc>
      </w:tr>
      <w:tr>
        <w:tc>
          <w:tcPr>
            <w:tcW w:type="dxa" w:w="720"/>
          </w:tcPr>
          <w:p>
            <w:r/>
            <w:r>
              <w:rPr>
                <w:b w:val="0"/>
                <w:i w:val="0"/>
                <w:sz w:val="18"/>
              </w:rPr>
              <w:t>B-3</w:t>
            </w:r>
          </w:p>
        </w:tc>
        <w:tc>
          <w:tcPr>
            <w:tcW w:type="dxa" w:w="2160"/>
          </w:tcPr>
          <w:p>
            <w:r/>
            <w:r>
              <w:rPr>
                <w:b w:val="0"/>
                <w:i w:val="0"/>
                <w:sz w:val="18"/>
              </w:rPr>
              <w:t>(B) Legal Error</w:t>
            </w:r>
          </w:p>
        </w:tc>
        <w:tc>
          <w:tcPr>
            <w:tcW w:type="dxa" w:w="5328"/>
          </w:tcPr>
          <w:p>
            <w:r/>
            <w:r>
              <w:rPr>
                <w:b w:val="0"/>
                <w:i w:val="0"/>
                <w:sz w:val="18"/>
              </w:rPr>
              <w:t>The Brief Treats Character Conversion as a “Dispositive” Factor, Which Would Make § 707(a)(2)(A) Swallow § 702(b)</w:t>
            </w:r>
          </w:p>
        </w:tc>
        <w:tc>
          <w:tcPr>
            <w:tcW w:type="dxa" w:w="1296"/>
          </w:tcPr>
          <w:p>
            <w:r/>
            <w:r>
              <w:rPr>
                <w:b w:val="0"/>
                <w:i w:val="0"/>
                <w:sz w:val="18"/>
              </w:rPr>
              <w:t>Significant</w:t>
            </w:r>
          </w:p>
        </w:tc>
      </w:tr>
      <w:tr>
        <w:tc>
          <w:tcPr>
            <w:tcW w:type="dxa" w:w="720"/>
          </w:tcPr>
          <w:p>
            <w:r/>
            <w:r>
              <w:rPr>
                <w:b w:val="0"/>
                <w:i w:val="0"/>
                <w:sz w:val="18"/>
              </w:rPr>
              <w:t>B-4</w:t>
            </w:r>
          </w:p>
        </w:tc>
        <w:tc>
          <w:tcPr>
            <w:tcW w:type="dxa" w:w="2160"/>
          </w:tcPr>
          <w:p>
            <w:r/>
            <w:r>
              <w:rPr>
                <w:b w:val="0"/>
                <w:i w:val="0"/>
                <w:sz w:val="18"/>
              </w:rPr>
              <w:t>(B) Legal Error</w:t>
            </w:r>
          </w:p>
        </w:tc>
        <w:tc>
          <w:tcPr>
            <w:tcW w:type="dxa" w:w="5328"/>
          </w:tcPr>
          <w:p>
            <w:r/>
            <w:r>
              <w:rPr>
                <w:b w:val="0"/>
                <w:i w:val="0"/>
                <w:sz w:val="18"/>
              </w:rPr>
              <w:t>The Brief Misrepresents Pinnacle Partners: The Holding Turned on a Deficit Restoration Obligation and Was Expressly Limited to Its Facts</w:t>
            </w:r>
          </w:p>
        </w:tc>
        <w:tc>
          <w:tcPr>
            <w:tcW w:type="dxa" w:w="1296"/>
          </w:tcPr>
          <w:p>
            <w:r/>
            <w:r>
              <w:rPr>
                <w:b w:val="0"/>
                <w:i w:val="0"/>
                <w:sz w:val="18"/>
              </w:rPr>
              <w:t>Critical</w:t>
            </w:r>
          </w:p>
        </w:tc>
      </w:tr>
      <w:tr>
        <w:tc>
          <w:tcPr>
            <w:tcW w:type="dxa" w:w="720"/>
          </w:tcPr>
          <w:p>
            <w:r/>
            <w:r>
              <w:rPr>
                <w:b w:val="0"/>
                <w:i w:val="0"/>
                <w:sz w:val="18"/>
              </w:rPr>
              <w:t>B-5</w:t>
            </w:r>
          </w:p>
        </w:tc>
        <w:tc>
          <w:tcPr>
            <w:tcW w:type="dxa" w:w="2160"/>
          </w:tcPr>
          <w:p>
            <w:r/>
            <w:r>
              <w:rPr>
                <w:b w:val="0"/>
                <w:i w:val="0"/>
                <w:sz w:val="18"/>
              </w:rPr>
              <w:t>(B) Legal Error</w:t>
            </w:r>
          </w:p>
        </w:tc>
        <w:tc>
          <w:tcPr>
            <w:tcW w:type="dxa" w:w="5328"/>
          </w:tcPr>
          <w:p>
            <w:r/>
            <w:r>
              <w:rPr>
                <w:b w:val="0"/>
                <w:i w:val="0"/>
                <w:sz w:val="18"/>
              </w:rPr>
              <w:t>The § 707(c) Guaranteed-Payment Remedy Is Legally Unavailable and Is Not the Basis of the FPAA</w:t>
            </w:r>
          </w:p>
        </w:tc>
        <w:tc>
          <w:tcPr>
            <w:tcW w:type="dxa" w:w="1296"/>
          </w:tcPr>
          <w:p>
            <w:r/>
            <w:r>
              <w:rPr>
                <w:b w:val="0"/>
                <w:i w:val="0"/>
                <w:sz w:val="18"/>
              </w:rPr>
              <w:t>Significant</w:t>
            </w:r>
          </w:p>
        </w:tc>
      </w:tr>
      <w:tr>
        <w:tc>
          <w:tcPr>
            <w:tcW w:type="dxa" w:w="720"/>
          </w:tcPr>
          <w:p>
            <w:r/>
            <w:r>
              <w:rPr>
                <w:b w:val="0"/>
                <w:i w:val="0"/>
                <w:sz w:val="18"/>
              </w:rPr>
              <w:t>B-6</w:t>
            </w:r>
          </w:p>
        </w:tc>
        <w:tc>
          <w:tcPr>
            <w:tcW w:type="dxa" w:w="2160"/>
          </w:tcPr>
          <w:p>
            <w:r/>
            <w:r>
              <w:rPr>
                <w:b w:val="0"/>
                <w:i w:val="0"/>
                <w:sz w:val="18"/>
              </w:rPr>
              <w:t>(B) Legal Error</w:t>
            </w:r>
          </w:p>
        </w:tc>
        <w:tc>
          <w:tcPr>
            <w:tcW w:type="dxa" w:w="5328"/>
          </w:tcPr>
          <w:p>
            <w:r/>
            <w:r>
              <w:rPr>
                <w:b w:val="0"/>
                <w:i w:val="0"/>
                <w:sz w:val="18"/>
              </w:rPr>
              <w:t>The Economic Substance Argument Does Not Satisfy § 7701(o) or Address Second Circuit Law</w:t>
            </w:r>
          </w:p>
        </w:tc>
        <w:tc>
          <w:tcPr>
            <w:tcW w:type="dxa" w:w="1296"/>
          </w:tcPr>
          <w:p>
            <w:r/>
            <w:r>
              <w:rPr>
                <w:b w:val="0"/>
                <w:i w:val="0"/>
                <w:sz w:val="18"/>
              </w:rPr>
              <w:t>Critical</w:t>
            </w:r>
          </w:p>
        </w:tc>
      </w:tr>
      <w:tr>
        <w:tc>
          <w:tcPr>
            <w:tcW w:type="dxa" w:w="720"/>
          </w:tcPr>
          <w:p>
            <w:r/>
            <w:r>
              <w:rPr>
                <w:b w:val="0"/>
                <w:i w:val="0"/>
                <w:sz w:val="18"/>
              </w:rPr>
              <w:t>B-7</w:t>
            </w:r>
          </w:p>
        </w:tc>
        <w:tc>
          <w:tcPr>
            <w:tcW w:type="dxa" w:w="2160"/>
          </w:tcPr>
          <w:p>
            <w:r/>
            <w:r>
              <w:rPr>
                <w:b w:val="0"/>
                <w:i w:val="0"/>
                <w:sz w:val="18"/>
              </w:rPr>
              <w:t>(B) Legal Error</w:t>
            </w:r>
          </w:p>
        </w:tc>
        <w:tc>
          <w:tcPr>
            <w:tcW w:type="dxa" w:w="5328"/>
          </w:tcPr>
          <w:p>
            <w:r/>
            <w:r>
              <w:rPr>
                <w:b w:val="0"/>
                <w:i w:val="0"/>
                <w:sz w:val="18"/>
              </w:rPr>
              <w:t>The Step Transaction Argument Collapses Steps That Never Occurred and Relies on Misattributed Authority</w:t>
            </w:r>
          </w:p>
        </w:tc>
        <w:tc>
          <w:tcPr>
            <w:tcW w:type="dxa" w:w="1296"/>
          </w:tcPr>
          <w:p>
            <w:r/>
            <w:r>
              <w:rPr>
                <w:b w:val="0"/>
                <w:i w:val="0"/>
                <w:sz w:val="18"/>
              </w:rPr>
              <w:t>Significant</w:t>
            </w:r>
          </w:p>
        </w:tc>
      </w:tr>
      <w:tr>
        <w:tc>
          <w:tcPr>
            <w:tcW w:type="dxa" w:w="720"/>
          </w:tcPr>
          <w:p>
            <w:r/>
            <w:r>
              <w:rPr>
                <w:b w:val="0"/>
                <w:i w:val="0"/>
                <w:sz w:val="18"/>
              </w:rPr>
              <w:t>B-8</w:t>
            </w:r>
          </w:p>
        </w:tc>
        <w:tc>
          <w:tcPr>
            <w:tcW w:type="dxa" w:w="2160"/>
          </w:tcPr>
          <w:p>
            <w:r/>
            <w:r>
              <w:rPr>
                <w:b w:val="0"/>
                <w:i w:val="0"/>
                <w:sz w:val="18"/>
              </w:rPr>
              <w:t>(B) Legal Error</w:t>
            </w:r>
          </w:p>
        </w:tc>
        <w:tc>
          <w:tcPr>
            <w:tcW w:type="dxa" w:w="5328"/>
          </w:tcPr>
          <w:p>
            <w:r/>
            <w:r>
              <w:rPr>
                <w:b w:val="0"/>
                <w:i w:val="0"/>
                <w:sz w:val="18"/>
              </w:rPr>
              <w:t>The § 702(b) Argument Is Not an Independent Ground and Misplaces the “Cherry-Picking” Concern</w:t>
            </w:r>
          </w:p>
        </w:tc>
        <w:tc>
          <w:tcPr>
            <w:tcW w:type="dxa" w:w="1296"/>
          </w:tcPr>
          <w:p>
            <w:r/>
            <w:r>
              <w:rPr>
                <w:b w:val="0"/>
                <w:i w:val="0"/>
                <w:sz w:val="18"/>
              </w:rPr>
              <w:t>Significant</w:t>
            </w:r>
          </w:p>
        </w:tc>
      </w:tr>
      <w:tr>
        <w:tc>
          <w:tcPr>
            <w:tcW w:type="dxa" w:w="720"/>
          </w:tcPr>
          <w:p>
            <w:r/>
            <w:r>
              <w:rPr>
                <w:b w:val="0"/>
                <w:i w:val="0"/>
                <w:sz w:val="18"/>
              </w:rPr>
              <w:t>B-9</w:t>
            </w:r>
          </w:p>
        </w:tc>
        <w:tc>
          <w:tcPr>
            <w:tcW w:type="dxa" w:w="2160"/>
          </w:tcPr>
          <w:p>
            <w:r/>
            <w:r>
              <w:rPr>
                <w:b w:val="0"/>
                <w:i w:val="0"/>
                <w:sz w:val="18"/>
              </w:rPr>
              <w:t>(B) Legal Error</w:t>
            </w:r>
          </w:p>
        </w:tc>
        <w:tc>
          <w:tcPr>
            <w:tcW w:type="dxa" w:w="5328"/>
          </w:tcPr>
          <w:p>
            <w:r/>
            <w:r>
              <w:rPr>
                <w:b w:val="0"/>
                <w:i w:val="0"/>
                <w:sz w:val="18"/>
              </w:rPr>
              <w:t>The Brief Misuses § 1061, Which Reflects a Congressional Choice to Preserve Capital Gain Treatment for Profits Interests Held More Than Three Years</w:t>
            </w:r>
          </w:p>
        </w:tc>
        <w:tc>
          <w:tcPr>
            <w:tcW w:type="dxa" w:w="1296"/>
          </w:tcPr>
          <w:p>
            <w:r/>
            <w:r>
              <w:rPr>
                <w:b w:val="0"/>
                <w:i w:val="0"/>
                <w:sz w:val="18"/>
              </w:rPr>
              <w:t>Significant</w:t>
            </w:r>
          </w:p>
        </w:tc>
      </w:tr>
      <w:tr>
        <w:tc>
          <w:tcPr>
            <w:tcW w:type="dxa" w:w="720"/>
          </w:tcPr>
          <w:p>
            <w:r/>
            <w:r>
              <w:rPr>
                <w:b w:val="0"/>
                <w:i w:val="0"/>
                <w:sz w:val="18"/>
              </w:rPr>
              <w:t>B-10</w:t>
            </w:r>
          </w:p>
        </w:tc>
        <w:tc>
          <w:tcPr>
            <w:tcW w:type="dxa" w:w="2160"/>
          </w:tcPr>
          <w:p>
            <w:r/>
            <w:r>
              <w:rPr>
                <w:b w:val="0"/>
                <w:i w:val="0"/>
                <w:sz w:val="18"/>
              </w:rPr>
              <w:t>(B) Legal Error</w:t>
            </w:r>
          </w:p>
        </w:tc>
        <w:tc>
          <w:tcPr>
            <w:tcW w:type="dxa" w:w="5328"/>
          </w:tcPr>
          <w:p>
            <w:r/>
            <w:r>
              <w:rPr>
                <w:b w:val="0"/>
                <w:i w:val="0"/>
                <w:sz w:val="18"/>
              </w:rPr>
              <w:t>The Penalty Argument Misquotes § 7701(o)(5)(A) and Relies on a No-Fault Economic Substance Penalty the FPAA Did Not Assert</w:t>
            </w:r>
          </w:p>
        </w:tc>
        <w:tc>
          <w:tcPr>
            <w:tcW w:type="dxa" w:w="1296"/>
          </w:tcPr>
          <w:p>
            <w:r/>
            <w:r>
              <w:rPr>
                <w:b w:val="0"/>
                <w:i w:val="0"/>
                <w:sz w:val="18"/>
              </w:rPr>
              <w:t>Significant</w:t>
            </w:r>
          </w:p>
        </w:tc>
      </w:tr>
      <w:tr>
        <w:tc>
          <w:tcPr>
            <w:tcW w:type="dxa" w:w="720"/>
          </w:tcPr>
          <w:p>
            <w:r/>
            <w:r>
              <w:rPr>
                <w:b w:val="0"/>
                <w:i w:val="0"/>
                <w:sz w:val="18"/>
              </w:rPr>
              <w:t>B-11</w:t>
            </w:r>
          </w:p>
        </w:tc>
        <w:tc>
          <w:tcPr>
            <w:tcW w:type="dxa" w:w="2160"/>
          </w:tcPr>
          <w:p>
            <w:r/>
            <w:r>
              <w:rPr>
                <w:b w:val="0"/>
                <w:i w:val="0"/>
                <w:sz w:val="18"/>
              </w:rPr>
              <w:t>(B) Legal Error</w:t>
            </w:r>
          </w:p>
        </w:tc>
        <w:tc>
          <w:tcPr>
            <w:tcW w:type="dxa" w:w="5328"/>
          </w:tcPr>
          <w:p>
            <w:r/>
            <w:r>
              <w:rPr>
                <w:b w:val="0"/>
                <w:i w:val="0"/>
                <w:sz w:val="18"/>
              </w:rPr>
              <w:t>The Brief Ignores the Reasonable Cause and Good Faith Defense Under § 6664(c)(1)</w:t>
            </w:r>
          </w:p>
        </w:tc>
        <w:tc>
          <w:tcPr>
            <w:tcW w:type="dxa" w:w="1296"/>
          </w:tcPr>
          <w:p>
            <w:r/>
            <w:r>
              <w:rPr>
                <w:b w:val="0"/>
                <w:i w:val="0"/>
                <w:sz w:val="18"/>
              </w:rPr>
              <w:t>Critical</w:t>
            </w:r>
          </w:p>
        </w:tc>
      </w:tr>
      <w:tr>
        <w:tc>
          <w:tcPr>
            <w:tcW w:type="dxa" w:w="720"/>
          </w:tcPr>
          <w:p>
            <w:r/>
            <w:r>
              <w:rPr>
                <w:b w:val="0"/>
                <w:i w:val="0"/>
                <w:sz w:val="18"/>
              </w:rPr>
              <w:t>B-12</w:t>
            </w:r>
          </w:p>
        </w:tc>
        <w:tc>
          <w:tcPr>
            <w:tcW w:type="dxa" w:w="2160"/>
          </w:tcPr>
          <w:p>
            <w:r/>
            <w:r>
              <w:rPr>
                <w:b w:val="0"/>
                <w:i w:val="0"/>
                <w:sz w:val="18"/>
              </w:rPr>
              <w:t>(B) Legal Error</w:t>
            </w:r>
          </w:p>
        </w:tc>
        <w:tc>
          <w:tcPr>
            <w:tcW w:type="dxa" w:w="5328"/>
          </w:tcPr>
          <w:p>
            <w:r/>
            <w:r>
              <w:rPr>
                <w:b w:val="0"/>
                <w:i w:val="0"/>
                <w:sz w:val="18"/>
              </w:rPr>
              <w:t>The Government Has Not Shown Written Supervisory Approval of the Penalty Under § 6751(b)</w:t>
            </w:r>
          </w:p>
        </w:tc>
        <w:tc>
          <w:tcPr>
            <w:tcW w:type="dxa" w:w="1296"/>
          </w:tcPr>
          <w:p>
            <w:r/>
            <w:r>
              <w:rPr>
                <w:b w:val="0"/>
                <w:i w:val="0"/>
                <w:sz w:val="18"/>
              </w:rPr>
              <w:t>Significant</w:t>
            </w:r>
          </w:p>
        </w:tc>
      </w:tr>
      <w:tr>
        <w:tc>
          <w:tcPr>
            <w:tcW w:type="dxa" w:w="720"/>
          </w:tcPr>
          <w:p>
            <w:r/>
            <w:r>
              <w:rPr>
                <w:b w:val="0"/>
                <w:i w:val="0"/>
                <w:sz w:val="18"/>
              </w:rPr>
              <w:t>B-13</w:t>
            </w:r>
          </w:p>
        </w:tc>
        <w:tc>
          <w:tcPr>
            <w:tcW w:type="dxa" w:w="2160"/>
          </w:tcPr>
          <w:p>
            <w:r/>
            <w:r>
              <w:rPr>
                <w:b w:val="0"/>
                <w:i w:val="0"/>
                <w:sz w:val="18"/>
              </w:rPr>
              <w:t>(B) Legal Error</w:t>
            </w:r>
          </w:p>
        </w:tc>
        <w:tc>
          <w:tcPr>
            <w:tcW w:type="dxa" w:w="5328"/>
          </w:tcPr>
          <w:p>
            <w:r/>
            <w:r>
              <w:rPr>
                <w:b w:val="0"/>
                <w:i w:val="0"/>
                <w:sz w:val="18"/>
              </w:rPr>
              <w:t>The Substantial Authority and Negligence Arguments Apply the Wrong Standards and Anachronistic Authority</w:t>
            </w:r>
          </w:p>
        </w:tc>
        <w:tc>
          <w:tcPr>
            <w:tcW w:type="dxa" w:w="1296"/>
          </w:tcPr>
          <w:p>
            <w:r/>
            <w:r>
              <w:rPr>
                <w:b w:val="0"/>
                <w:i w:val="0"/>
                <w:sz w:val="18"/>
              </w:rPr>
              <w:t>Significant</w:t>
            </w:r>
          </w:p>
        </w:tc>
      </w:tr>
      <w:tr>
        <w:tc>
          <w:tcPr>
            <w:tcW w:type="dxa" w:w="720"/>
          </w:tcPr>
          <w:p>
            <w:r/>
            <w:r>
              <w:rPr>
                <w:b w:val="0"/>
                <w:i w:val="0"/>
                <w:sz w:val="18"/>
              </w:rPr>
              <w:t>B-14</w:t>
            </w:r>
          </w:p>
        </w:tc>
        <w:tc>
          <w:tcPr>
            <w:tcW w:type="dxa" w:w="2160"/>
          </w:tcPr>
          <w:p>
            <w:r/>
            <w:r>
              <w:rPr>
                <w:b w:val="0"/>
                <w:i w:val="0"/>
                <w:sz w:val="18"/>
              </w:rPr>
              <w:t>(B) Legal Error</w:t>
            </w:r>
          </w:p>
        </w:tc>
        <w:tc>
          <w:tcPr>
            <w:tcW w:type="dxa" w:w="5328"/>
          </w:tcPr>
          <w:p>
            <w:r/>
            <w:r>
              <w:rPr>
                <w:b w:val="0"/>
                <w:i w:val="0"/>
                <w:sz w:val="18"/>
              </w:rPr>
              <w:t>The Government Ignores BBA Procedure and the Timeliness and Validity of the FPAA</w:t>
            </w:r>
          </w:p>
        </w:tc>
        <w:tc>
          <w:tcPr>
            <w:tcW w:type="dxa" w:w="1296"/>
          </w:tcPr>
          <w:p>
            <w:r/>
            <w:r>
              <w:rPr>
                <w:b w:val="0"/>
                <w:i w:val="0"/>
                <w:sz w:val="18"/>
              </w:rPr>
              <w:t>Critical</w:t>
            </w:r>
          </w:p>
        </w:tc>
      </w:tr>
      <w:tr>
        <w:tc>
          <w:tcPr>
            <w:tcW w:type="dxa" w:w="720"/>
          </w:tcPr>
          <w:p>
            <w:r/>
            <w:r>
              <w:rPr>
                <w:b w:val="0"/>
                <w:i w:val="0"/>
                <w:sz w:val="18"/>
              </w:rPr>
              <w:t>B-15</w:t>
            </w:r>
          </w:p>
        </w:tc>
        <w:tc>
          <w:tcPr>
            <w:tcW w:type="dxa" w:w="2160"/>
          </w:tcPr>
          <w:p>
            <w:r/>
            <w:r>
              <w:rPr>
                <w:b w:val="0"/>
                <w:i w:val="0"/>
                <w:sz w:val="18"/>
              </w:rPr>
              <w:t>(B) Legal Error</w:t>
            </w:r>
          </w:p>
        </w:tc>
        <w:tc>
          <w:tcPr>
            <w:tcW w:type="dxa" w:w="5328"/>
          </w:tcPr>
          <w:p>
            <w:r/>
            <w:r>
              <w:rPr>
                <w:b w:val="0"/>
                <w:i w:val="0"/>
                <w:sz w:val="18"/>
              </w:rPr>
              <w:t>The Brief Overstates the Presumption of Correctness and Ignores the Government's Burden on New Matter</w:t>
            </w:r>
          </w:p>
        </w:tc>
        <w:tc>
          <w:tcPr>
            <w:tcW w:type="dxa" w:w="1296"/>
          </w:tcPr>
          <w:p>
            <w:r/>
            <w:r>
              <w:rPr>
                <w:b w:val="0"/>
                <w:i w:val="0"/>
                <w:sz w:val="18"/>
              </w:rPr>
              <w:t>Significant</w:t>
            </w:r>
          </w:p>
        </w:tc>
      </w:tr>
      <w:tr>
        <w:tc>
          <w:tcPr>
            <w:tcW w:type="dxa" w:w="720"/>
          </w:tcPr>
          <w:p>
            <w:r/>
            <w:r>
              <w:rPr>
                <w:b w:val="0"/>
                <w:i w:val="0"/>
                <w:sz w:val="18"/>
              </w:rPr>
              <w:t>C-1</w:t>
            </w:r>
          </w:p>
        </w:tc>
        <w:tc>
          <w:tcPr>
            <w:tcW w:type="dxa" w:w="2160"/>
          </w:tcPr>
          <w:p>
            <w:r/>
            <w:r>
              <w:rPr>
                <w:b w:val="0"/>
                <w:i w:val="0"/>
                <w:sz w:val="18"/>
              </w:rPr>
              <w:t>(C) Internal Inconsistency</w:t>
            </w:r>
          </w:p>
        </w:tc>
        <w:tc>
          <w:tcPr>
            <w:tcW w:type="dxa" w:w="5328"/>
          </w:tcPr>
          <w:p>
            <w:r/>
            <w:r>
              <w:rPr>
                <w:b w:val="0"/>
                <w:i w:val="0"/>
                <w:sz w:val="18"/>
              </w:rPr>
              <w:t>The Aggregate Tax Benefit Figure Is Arithmetically Wrong and Contradicted by the Government's Own Expert</w:t>
            </w:r>
          </w:p>
        </w:tc>
        <w:tc>
          <w:tcPr>
            <w:tcW w:type="dxa" w:w="1296"/>
          </w:tcPr>
          <w:p>
            <w:r/>
            <w:r>
              <w:rPr>
                <w:b w:val="0"/>
                <w:i w:val="0"/>
                <w:sz w:val="18"/>
              </w:rPr>
              <w:t>Significant</w:t>
            </w:r>
          </w:p>
        </w:tc>
      </w:tr>
      <w:tr>
        <w:tc>
          <w:tcPr>
            <w:tcW w:type="dxa" w:w="720"/>
          </w:tcPr>
          <w:p>
            <w:r/>
            <w:r>
              <w:rPr>
                <w:b w:val="0"/>
                <w:i w:val="0"/>
                <w:sz w:val="18"/>
              </w:rPr>
              <w:t>C-2</w:t>
            </w:r>
          </w:p>
        </w:tc>
        <w:tc>
          <w:tcPr>
            <w:tcW w:type="dxa" w:w="2160"/>
          </w:tcPr>
          <w:p>
            <w:r/>
            <w:r>
              <w:rPr>
                <w:b w:val="0"/>
                <w:i w:val="0"/>
                <w:sz w:val="18"/>
              </w:rPr>
              <w:t>(C) Internal Inconsistency</w:t>
            </w:r>
          </w:p>
        </w:tc>
        <w:tc>
          <w:tcPr>
            <w:tcW w:type="dxa" w:w="5328"/>
          </w:tcPr>
          <w:p>
            <w:r/>
            <w:r>
              <w:rPr>
                <w:b w:val="0"/>
                <w:i w:val="0"/>
                <w:sz w:val="18"/>
              </w:rPr>
              <w:t>The Government Characterizes the Same Allocations Four Mutually Exclusive Ways</w:t>
            </w:r>
          </w:p>
        </w:tc>
        <w:tc>
          <w:tcPr>
            <w:tcW w:type="dxa" w:w="1296"/>
          </w:tcPr>
          <w:p>
            <w:r/>
            <w:r>
              <w:rPr>
                <w:b w:val="0"/>
                <w:i w:val="0"/>
                <w:sz w:val="18"/>
              </w:rPr>
              <w:t>Critical</w:t>
            </w:r>
          </w:p>
        </w:tc>
      </w:tr>
      <w:tr>
        <w:tc>
          <w:tcPr>
            <w:tcW w:type="dxa" w:w="720"/>
          </w:tcPr>
          <w:p>
            <w:r/>
            <w:r>
              <w:rPr>
                <w:b w:val="0"/>
                <w:i w:val="0"/>
                <w:sz w:val="18"/>
              </w:rPr>
              <w:t>C-3</w:t>
            </w:r>
          </w:p>
        </w:tc>
        <w:tc>
          <w:tcPr>
            <w:tcW w:type="dxa" w:w="2160"/>
          </w:tcPr>
          <w:p>
            <w:r/>
            <w:r>
              <w:rPr>
                <w:b w:val="0"/>
                <w:i w:val="0"/>
                <w:sz w:val="18"/>
              </w:rPr>
              <w:t>(C) Internal Inconsistency</w:t>
            </w:r>
          </w:p>
        </w:tc>
        <w:tc>
          <w:tcPr>
            <w:tcW w:type="dxa" w:w="5328"/>
          </w:tcPr>
          <w:p>
            <w:r/>
            <w:r>
              <w:rPr>
                <w:b w:val="0"/>
                <w:i w:val="0"/>
                <w:sz w:val="18"/>
              </w:rPr>
              <w:t>The Government Says the Allocations Were Both “Payable Solely From Realized Gains” and “Determined Without Regard to the Partnership's Income”</w:t>
            </w:r>
          </w:p>
        </w:tc>
        <w:tc>
          <w:tcPr>
            <w:tcW w:type="dxa" w:w="1296"/>
          </w:tcPr>
          <w:p>
            <w:r/>
            <w:r>
              <w:rPr>
                <w:b w:val="0"/>
                <w:i w:val="0"/>
                <w:sz w:val="18"/>
              </w:rPr>
              <w:t>Significant</w:t>
            </w:r>
          </w:p>
        </w:tc>
      </w:tr>
      <w:tr>
        <w:tc>
          <w:tcPr>
            <w:tcW w:type="dxa" w:w="720"/>
          </w:tcPr>
          <w:p>
            <w:r/>
            <w:r>
              <w:rPr>
                <w:b w:val="0"/>
                <w:i w:val="0"/>
                <w:sz w:val="18"/>
              </w:rPr>
              <w:t>C-4</w:t>
            </w:r>
          </w:p>
        </w:tc>
        <w:tc>
          <w:tcPr>
            <w:tcW w:type="dxa" w:w="2160"/>
          </w:tcPr>
          <w:p>
            <w:r/>
            <w:r>
              <w:rPr>
                <w:b w:val="0"/>
                <w:i w:val="0"/>
                <w:sz w:val="18"/>
              </w:rPr>
              <w:t>(C) Internal Inconsistency</w:t>
            </w:r>
          </w:p>
        </w:tc>
        <w:tc>
          <w:tcPr>
            <w:tcW w:type="dxa" w:w="5328"/>
          </w:tcPr>
          <w:p>
            <w:r/>
            <w:r>
              <w:rPr>
                <w:b w:val="0"/>
                <w:i w:val="0"/>
                <w:sz w:val="18"/>
              </w:rPr>
              <w:t>The Government Concedes the 2018 and 2019 Elections Were Prospective, Then Argues Their Timing Shows Hindsight</w:t>
            </w:r>
          </w:p>
        </w:tc>
        <w:tc>
          <w:tcPr>
            <w:tcW w:type="dxa" w:w="1296"/>
          </w:tcPr>
          <w:p>
            <w:r/>
            <w:r>
              <w:rPr>
                <w:b w:val="0"/>
                <w:i w:val="0"/>
                <w:sz w:val="18"/>
              </w:rPr>
              <w:t>Significant</w:t>
            </w:r>
          </w:p>
        </w:tc>
      </w:tr>
      <w:tr>
        <w:tc>
          <w:tcPr>
            <w:tcW w:type="dxa" w:w="720"/>
          </w:tcPr>
          <w:p>
            <w:r/>
            <w:r>
              <w:rPr>
                <w:b w:val="0"/>
                <w:i w:val="0"/>
                <w:sz w:val="18"/>
              </w:rPr>
              <w:t>C-5</w:t>
            </w:r>
          </w:p>
        </w:tc>
        <w:tc>
          <w:tcPr>
            <w:tcW w:type="dxa" w:w="2160"/>
          </w:tcPr>
          <w:p>
            <w:r/>
            <w:r>
              <w:rPr>
                <w:b w:val="0"/>
                <w:i w:val="0"/>
                <w:sz w:val="18"/>
              </w:rPr>
              <w:t>(C) Internal Inconsistency</w:t>
            </w:r>
          </w:p>
        </w:tc>
        <w:tc>
          <w:tcPr>
            <w:tcW w:type="dxa" w:w="5328"/>
          </w:tcPr>
          <w:p>
            <w:r/>
            <w:r>
              <w:rPr>
                <w:b w:val="0"/>
                <w:i w:val="0"/>
                <w:sz w:val="18"/>
              </w:rPr>
              <w:t>The Government Argues Both That Waivers Were “Calibrated” to Available Gains and That the Carry-Forward Was Needed to Eliminate Risk</w:t>
            </w:r>
          </w:p>
        </w:tc>
        <w:tc>
          <w:tcPr>
            <w:tcW w:type="dxa" w:w="1296"/>
          </w:tcPr>
          <w:p>
            <w:r/>
            <w:r>
              <w:rPr>
                <w:b w:val="0"/>
                <w:i w:val="0"/>
                <w:sz w:val="18"/>
              </w:rPr>
              <w:t>Significant</w:t>
            </w:r>
          </w:p>
        </w:tc>
      </w:tr>
      <w:tr>
        <w:tc>
          <w:tcPr>
            <w:tcW w:type="dxa" w:w="720"/>
          </w:tcPr>
          <w:p>
            <w:r/>
            <w:r>
              <w:rPr>
                <w:b w:val="0"/>
                <w:i w:val="0"/>
                <w:sz w:val="18"/>
              </w:rPr>
              <w:t>C-6</w:t>
            </w:r>
          </w:p>
        </w:tc>
        <w:tc>
          <w:tcPr>
            <w:tcW w:type="dxa" w:w="2160"/>
          </w:tcPr>
          <w:p>
            <w:r/>
            <w:r>
              <w:rPr>
                <w:b w:val="0"/>
                <w:i w:val="0"/>
                <w:sz w:val="18"/>
              </w:rPr>
              <w:t>(C) Internal Inconsistency</w:t>
            </w:r>
          </w:p>
        </w:tc>
        <w:tc>
          <w:tcPr>
            <w:tcW w:type="dxa" w:w="5328"/>
          </w:tcPr>
          <w:p>
            <w:r/>
            <w:r>
              <w:rPr>
                <w:b w:val="0"/>
                <w:i w:val="0"/>
                <w:sz w:val="18"/>
              </w:rPr>
              <w:t>The Government Claims the Waiver Had “Zero” Net Economic Effect While Also Claiming HCP Took a Senior, “Creditor-Like” Priority Over the Limited Partners</w:t>
            </w:r>
          </w:p>
        </w:tc>
        <w:tc>
          <w:tcPr>
            <w:tcW w:type="dxa" w:w="1296"/>
          </w:tcPr>
          <w:p>
            <w:r/>
            <w:r>
              <w:rPr>
                <w:b w:val="0"/>
                <w:i w:val="0"/>
                <w:sz w:val="18"/>
              </w:rPr>
              <w:t>Significant</w:t>
            </w:r>
          </w:p>
        </w:tc>
      </w:tr>
      <w:tr>
        <w:tc>
          <w:tcPr>
            <w:tcW w:type="dxa" w:w="720"/>
          </w:tcPr>
          <w:p>
            <w:r/>
            <w:r>
              <w:rPr>
                <w:b w:val="0"/>
                <w:i w:val="0"/>
                <w:sz w:val="18"/>
              </w:rPr>
              <w:t>C-7</w:t>
            </w:r>
          </w:p>
        </w:tc>
        <w:tc>
          <w:tcPr>
            <w:tcW w:type="dxa" w:w="2160"/>
          </w:tcPr>
          <w:p>
            <w:r/>
            <w:r>
              <w:rPr>
                <w:b w:val="0"/>
                <w:i w:val="0"/>
                <w:sz w:val="18"/>
              </w:rPr>
              <w:t>(C) Internal Inconsistency</w:t>
            </w:r>
          </w:p>
        </w:tc>
        <w:tc>
          <w:tcPr>
            <w:tcW w:type="dxa" w:w="5328"/>
          </w:tcPr>
          <w:p>
            <w:r/>
            <w:r>
              <w:rPr>
                <w:b w:val="0"/>
                <w:i w:val="0"/>
                <w:sz w:val="18"/>
              </w:rPr>
              <w:t>The Brief Describes Pinnacle's Holding Two Different Ways</w:t>
            </w:r>
          </w:p>
        </w:tc>
        <w:tc>
          <w:tcPr>
            <w:tcW w:type="dxa" w:w="1296"/>
          </w:tcPr>
          <w:p>
            <w:r/>
            <w:r>
              <w:rPr>
                <w:b w:val="0"/>
                <w:i w:val="0"/>
                <w:sz w:val="18"/>
              </w:rPr>
              <w:t>Minor</w:t>
            </w:r>
          </w:p>
        </w:tc>
      </w:tr>
      <w:tr>
        <w:tc>
          <w:tcPr>
            <w:tcW w:type="dxa" w:w="720"/>
          </w:tcPr>
          <w:p>
            <w:r/>
            <w:r>
              <w:rPr>
                <w:b w:val="0"/>
                <w:i w:val="0"/>
                <w:sz w:val="18"/>
              </w:rPr>
              <w:t>C-8</w:t>
            </w:r>
          </w:p>
        </w:tc>
        <w:tc>
          <w:tcPr>
            <w:tcW w:type="dxa" w:w="2160"/>
          </w:tcPr>
          <w:p>
            <w:r/>
            <w:r>
              <w:rPr>
                <w:b w:val="0"/>
                <w:i w:val="0"/>
                <w:sz w:val="18"/>
              </w:rPr>
              <w:t>(C) Internal Inconsistency</w:t>
            </w:r>
          </w:p>
        </w:tc>
        <w:tc>
          <w:tcPr>
            <w:tcW w:type="dxa" w:w="5328"/>
          </w:tcPr>
          <w:p>
            <w:r/>
            <w:r>
              <w:rPr>
                <w:b w:val="0"/>
                <w:i w:val="0"/>
                <w:sz w:val="18"/>
              </w:rPr>
              <w:t>The Quillen Declaration Is Internally Inconsistent on the Partnership Representative, the Program's Start Date, and Other Facts</w:t>
            </w:r>
          </w:p>
        </w:tc>
        <w:tc>
          <w:tcPr>
            <w:tcW w:type="dxa" w:w="1296"/>
          </w:tcPr>
          <w:p>
            <w:r/>
            <w:r>
              <w:rPr>
                <w:b w:val="0"/>
                <w:i w:val="0"/>
                <w:sz w:val="18"/>
              </w:rPr>
              <w:t>Minor</w:t>
            </w:r>
          </w:p>
        </w:tc>
      </w:tr>
      <w:tr>
        <w:tc>
          <w:tcPr>
            <w:tcW w:type="dxa" w:w="720"/>
          </w:tcPr>
          <w:p>
            <w:r/>
            <w:r>
              <w:rPr>
                <w:b w:val="0"/>
                <w:i w:val="0"/>
                <w:sz w:val="18"/>
              </w:rPr>
              <w:t>C-9</w:t>
            </w:r>
          </w:p>
        </w:tc>
        <w:tc>
          <w:tcPr>
            <w:tcW w:type="dxa" w:w="2160"/>
          </w:tcPr>
          <w:p>
            <w:r/>
            <w:r>
              <w:rPr>
                <w:b w:val="0"/>
                <w:i w:val="0"/>
                <w:sz w:val="18"/>
              </w:rPr>
              <w:t>(C) Internal Inconsistency</w:t>
            </w:r>
          </w:p>
        </w:tc>
        <w:tc>
          <w:tcPr>
            <w:tcW w:type="dxa" w:w="5328"/>
          </w:tcPr>
          <w:p>
            <w:r/>
            <w:r>
              <w:rPr>
                <w:b w:val="0"/>
                <w:i w:val="0"/>
                <w:sz w:val="18"/>
              </w:rPr>
              <w:t>The Government's Two Declarations Are Inconsistent With Each Other</w:t>
            </w:r>
          </w:p>
        </w:tc>
        <w:tc>
          <w:tcPr>
            <w:tcW w:type="dxa" w:w="1296"/>
          </w:tcPr>
          <w:p>
            <w:r/>
            <w:r>
              <w:rPr>
                <w:b w:val="0"/>
                <w:i w:val="0"/>
                <w:sz w:val="18"/>
              </w:rPr>
              <w:t>Significant</w:t>
            </w:r>
          </w:p>
        </w:tc>
      </w:tr>
      <w:tr>
        <w:tc>
          <w:tcPr>
            <w:tcW w:type="dxa" w:w="720"/>
          </w:tcPr>
          <w:p>
            <w:r/>
            <w:r>
              <w:rPr>
                <w:b w:val="0"/>
                <w:i w:val="0"/>
                <w:sz w:val="18"/>
              </w:rPr>
              <w:t>C-10</w:t>
            </w:r>
          </w:p>
        </w:tc>
        <w:tc>
          <w:tcPr>
            <w:tcW w:type="dxa" w:w="2160"/>
          </w:tcPr>
          <w:p>
            <w:r/>
            <w:r>
              <w:rPr>
                <w:b w:val="0"/>
                <w:i w:val="0"/>
                <w:sz w:val="18"/>
              </w:rPr>
              <w:t>(C) Internal Inconsistency</w:t>
            </w:r>
          </w:p>
        </w:tc>
        <w:tc>
          <w:tcPr>
            <w:tcW w:type="dxa" w:w="5328"/>
          </w:tcPr>
          <w:p>
            <w:r/>
            <w:r>
              <w:rPr>
                <w:b w:val="0"/>
                <w:i w:val="0"/>
                <w:sz w:val="18"/>
              </w:rPr>
              <w:t>Professor Ashford Uses Fund V — Where HCP Received Nothing — as the “Exemplar” of a Guaranteed Payment</w:t>
            </w:r>
          </w:p>
        </w:tc>
        <w:tc>
          <w:tcPr>
            <w:tcW w:type="dxa" w:w="1296"/>
          </w:tcPr>
          <w:p>
            <w:r/>
            <w:r>
              <w:rPr>
                <w:b w:val="0"/>
                <w:i w:val="0"/>
                <w:sz w:val="18"/>
              </w:rPr>
              <w:t>Significant</w:t>
            </w:r>
          </w:p>
        </w:tc>
      </w:tr>
      <w:tr>
        <w:tc>
          <w:tcPr>
            <w:tcW w:type="dxa" w:w="720"/>
          </w:tcPr>
          <w:p>
            <w:r/>
            <w:r>
              <w:rPr>
                <w:b w:val="0"/>
                <w:i w:val="0"/>
                <w:sz w:val="18"/>
              </w:rPr>
              <w:t>C-11</w:t>
            </w:r>
          </w:p>
        </w:tc>
        <w:tc>
          <w:tcPr>
            <w:tcW w:type="dxa" w:w="2160"/>
          </w:tcPr>
          <w:p>
            <w:r/>
            <w:r>
              <w:rPr>
                <w:b w:val="0"/>
                <w:i w:val="0"/>
                <w:sz w:val="18"/>
              </w:rPr>
              <w:t>(C) Internal Inconsistency</w:t>
            </w:r>
          </w:p>
        </w:tc>
        <w:tc>
          <w:tcPr>
            <w:tcW w:type="dxa" w:w="5328"/>
          </w:tcPr>
          <w:p>
            <w:r/>
            <w:r>
              <w:rPr>
                <w:b w:val="0"/>
                <w:i w:val="0"/>
                <w:sz w:val="18"/>
              </w:rPr>
              <w:t>The Table of Authorities Lists Authorities the Brief Never Discusses and Omits One It Relies On</w:t>
            </w:r>
          </w:p>
        </w:tc>
        <w:tc>
          <w:tcPr>
            <w:tcW w:type="dxa" w:w="1296"/>
          </w:tcPr>
          <w:p>
            <w:r/>
            <w:r>
              <w:rPr>
                <w:b w:val="0"/>
                <w:i w:val="0"/>
                <w:sz w:val="18"/>
              </w:rPr>
              <w:t>Minor</w:t>
            </w:r>
          </w:p>
        </w:tc>
      </w:tr>
      <w:tr>
        <w:tc>
          <w:tcPr>
            <w:tcW w:type="dxa" w:w="720"/>
          </w:tcPr>
          <w:p>
            <w:r/>
            <w:r>
              <w:rPr>
                <w:b w:val="0"/>
                <w:i w:val="0"/>
                <w:sz w:val="18"/>
              </w:rPr>
              <w:t>C-12</w:t>
            </w:r>
          </w:p>
        </w:tc>
        <w:tc>
          <w:tcPr>
            <w:tcW w:type="dxa" w:w="2160"/>
          </w:tcPr>
          <w:p>
            <w:r/>
            <w:r>
              <w:rPr>
                <w:b w:val="0"/>
                <w:i w:val="0"/>
                <w:sz w:val="18"/>
              </w:rPr>
              <w:t>(C) Internal Inconsistency</w:t>
            </w:r>
          </w:p>
        </w:tc>
        <w:tc>
          <w:tcPr>
            <w:tcW w:type="dxa" w:w="5328"/>
          </w:tcPr>
          <w:p>
            <w:r/>
            <w:r>
              <w:rPr>
                <w:b w:val="0"/>
                <w:i w:val="0"/>
                <w:sz w:val="18"/>
              </w:rPr>
              <w:t>The Brief Says the Case Presents a “Pure Question of Law” but Every Theory Depends on Disputed Facts</w:t>
            </w:r>
          </w:p>
        </w:tc>
        <w:tc>
          <w:tcPr>
            <w:tcW w:type="dxa" w:w="1296"/>
          </w:tcPr>
          <w:p>
            <w:r/>
            <w:r>
              <w:rPr>
                <w:b w:val="0"/>
                <w:i w:val="0"/>
                <w:sz w:val="18"/>
              </w:rPr>
              <w:t>Critical</w:t>
            </w:r>
          </w:p>
        </w:tc>
      </w:tr>
      <w:tr>
        <w:tc>
          <w:tcPr>
            <w:tcW w:type="dxa" w:w="720"/>
          </w:tcPr>
          <w:p>
            <w:r/>
            <w:r>
              <w:rPr>
                <w:b w:val="0"/>
                <w:i w:val="0"/>
                <w:sz w:val="18"/>
              </w:rPr>
              <w:t>D-1</w:t>
            </w:r>
          </w:p>
        </w:tc>
        <w:tc>
          <w:tcPr>
            <w:tcW w:type="dxa" w:w="2160"/>
          </w:tcPr>
          <w:p>
            <w:r/>
            <w:r>
              <w:rPr>
                <w:b w:val="0"/>
                <w:i w:val="0"/>
                <w:sz w:val="18"/>
              </w:rPr>
              <w:t>(D) Strategic Vulnerability</w:t>
            </w:r>
          </w:p>
        </w:tc>
        <w:tc>
          <w:tcPr>
            <w:tcW w:type="dxa" w:w="5328"/>
          </w:tcPr>
          <w:p>
            <w:r/>
            <w:r>
              <w:rPr>
                <w:b w:val="0"/>
                <w:i w:val="0"/>
                <w:sz w:val="18"/>
              </w:rPr>
              <w:t>The Government's Own Record Creates the Genuine Disputes That Defeat Its Motion</w:t>
            </w:r>
          </w:p>
        </w:tc>
        <w:tc>
          <w:tcPr>
            <w:tcW w:type="dxa" w:w="1296"/>
          </w:tcPr>
          <w:p>
            <w:r/>
            <w:r>
              <w:rPr>
                <w:b w:val="0"/>
                <w:i w:val="0"/>
                <w:sz w:val="18"/>
              </w:rPr>
              <w:t>Critical</w:t>
            </w:r>
          </w:p>
        </w:tc>
      </w:tr>
      <w:tr>
        <w:tc>
          <w:tcPr>
            <w:tcW w:type="dxa" w:w="720"/>
          </w:tcPr>
          <w:p>
            <w:r/>
            <w:r>
              <w:rPr>
                <w:b w:val="0"/>
                <w:i w:val="0"/>
                <w:sz w:val="18"/>
              </w:rPr>
              <w:t>D-2</w:t>
            </w:r>
          </w:p>
        </w:tc>
        <w:tc>
          <w:tcPr>
            <w:tcW w:type="dxa" w:w="2160"/>
          </w:tcPr>
          <w:p>
            <w:r/>
            <w:r>
              <w:rPr>
                <w:b w:val="0"/>
                <w:i w:val="0"/>
                <w:sz w:val="18"/>
              </w:rPr>
              <w:t>(D) Strategic Vulnerability</w:t>
            </w:r>
          </w:p>
        </w:tc>
        <w:tc>
          <w:tcPr>
            <w:tcW w:type="dxa" w:w="5328"/>
          </w:tcPr>
          <w:p>
            <w:r/>
            <w:r>
              <w:rPr>
                <w:b w:val="0"/>
                <w:i w:val="0"/>
                <w:sz w:val="18"/>
              </w:rPr>
              <w:t>The Ashford Declaration Is Largely Inadmissible Legal Opinion and Is Internally Contradictory</w:t>
            </w:r>
          </w:p>
        </w:tc>
        <w:tc>
          <w:tcPr>
            <w:tcW w:type="dxa" w:w="1296"/>
          </w:tcPr>
          <w:p>
            <w:r/>
            <w:r>
              <w:rPr>
                <w:b w:val="0"/>
                <w:i w:val="0"/>
                <w:sz w:val="18"/>
              </w:rPr>
              <w:t>Significant</w:t>
            </w:r>
          </w:p>
        </w:tc>
      </w:tr>
      <w:tr>
        <w:tc>
          <w:tcPr>
            <w:tcW w:type="dxa" w:w="720"/>
          </w:tcPr>
          <w:p>
            <w:r/>
            <w:r>
              <w:rPr>
                <w:b w:val="0"/>
                <w:i w:val="0"/>
                <w:sz w:val="18"/>
              </w:rPr>
              <w:t>D-3</w:t>
            </w:r>
          </w:p>
        </w:tc>
        <w:tc>
          <w:tcPr>
            <w:tcW w:type="dxa" w:w="2160"/>
          </w:tcPr>
          <w:p>
            <w:r/>
            <w:r>
              <w:rPr>
                <w:b w:val="0"/>
                <w:i w:val="0"/>
                <w:sz w:val="18"/>
              </w:rPr>
              <w:t>(D) Strategic Vulnerability</w:t>
            </w:r>
          </w:p>
        </w:tc>
        <w:tc>
          <w:tcPr>
            <w:tcW w:type="dxa" w:w="5328"/>
          </w:tcPr>
          <w:p>
            <w:r/>
            <w:r>
              <w:rPr>
                <w:b w:val="0"/>
                <w:i w:val="0"/>
                <w:sz w:val="18"/>
              </w:rPr>
              <w:t>The Brief Does Not Use the Strongest Version of the Government's Own Regulatory Argument — Which Is an Opportunity and a Warning</w:t>
            </w:r>
          </w:p>
        </w:tc>
        <w:tc>
          <w:tcPr>
            <w:tcW w:type="dxa" w:w="1296"/>
          </w:tcPr>
          <w:p>
            <w:r/>
            <w:r>
              <w:rPr>
                <w:b w:val="0"/>
                <w:i w:val="0"/>
                <w:sz w:val="18"/>
              </w:rPr>
              <w:t>Significant</w:t>
            </w:r>
          </w:p>
        </w:tc>
      </w:tr>
      <w:tr>
        <w:tc>
          <w:tcPr>
            <w:tcW w:type="dxa" w:w="720"/>
          </w:tcPr>
          <w:p>
            <w:r/>
            <w:r>
              <w:rPr>
                <w:b w:val="0"/>
                <w:i w:val="0"/>
                <w:sz w:val="18"/>
              </w:rPr>
              <w:t>D-4</w:t>
            </w:r>
          </w:p>
        </w:tc>
        <w:tc>
          <w:tcPr>
            <w:tcW w:type="dxa" w:w="2160"/>
          </w:tcPr>
          <w:p>
            <w:r/>
            <w:r>
              <w:rPr>
                <w:b w:val="0"/>
                <w:i w:val="0"/>
                <w:sz w:val="18"/>
              </w:rPr>
              <w:t>(D) Strategic Vulnerability</w:t>
            </w:r>
          </w:p>
        </w:tc>
        <w:tc>
          <w:tcPr>
            <w:tcW w:type="dxa" w:w="5328"/>
          </w:tcPr>
          <w:p>
            <w:r/>
            <w:r>
              <w:rPr>
                <w:b w:val="0"/>
                <w:i w:val="0"/>
                <w:sz w:val="18"/>
              </w:rPr>
              <w:t>Professor Ashford and the Brief Measure Risk With Hindsight</w:t>
            </w:r>
          </w:p>
        </w:tc>
        <w:tc>
          <w:tcPr>
            <w:tcW w:type="dxa" w:w="1296"/>
          </w:tcPr>
          <w:p>
            <w:r/>
            <w:r>
              <w:rPr>
                <w:b w:val="0"/>
                <w:i w:val="0"/>
                <w:sz w:val="18"/>
              </w:rPr>
              <w:t>Significant</w:t>
            </w:r>
          </w:p>
        </w:tc>
      </w:tr>
      <w:tr>
        <w:tc>
          <w:tcPr>
            <w:tcW w:type="dxa" w:w="720"/>
          </w:tcPr>
          <w:p>
            <w:r/>
            <w:r>
              <w:rPr>
                <w:b w:val="0"/>
                <w:i w:val="0"/>
                <w:sz w:val="18"/>
              </w:rPr>
              <w:t>D-5</w:t>
            </w:r>
          </w:p>
        </w:tc>
        <w:tc>
          <w:tcPr>
            <w:tcW w:type="dxa" w:w="2160"/>
          </w:tcPr>
          <w:p>
            <w:r/>
            <w:r>
              <w:rPr>
                <w:b w:val="0"/>
                <w:i w:val="0"/>
                <w:sz w:val="18"/>
              </w:rPr>
              <w:t>(D) Strategic Vulnerability</w:t>
            </w:r>
          </w:p>
        </w:tc>
        <w:tc>
          <w:tcPr>
            <w:tcW w:type="dxa" w:w="5328"/>
          </w:tcPr>
          <w:p>
            <w:r/>
            <w:r>
              <w:rPr>
                <w:b w:val="0"/>
                <w:i w:val="0"/>
                <w:sz w:val="18"/>
              </w:rPr>
              <w:t>Contemporaneous Documents Discuss “Tax Efficiency” and Tax “Benefits”</w:t>
            </w:r>
          </w:p>
        </w:tc>
        <w:tc>
          <w:tcPr>
            <w:tcW w:type="dxa" w:w="1296"/>
          </w:tcPr>
          <w:p>
            <w:r/>
            <w:r>
              <w:rPr>
                <w:b w:val="0"/>
                <w:i w:val="0"/>
                <w:sz w:val="18"/>
              </w:rPr>
              <w:t>Significant</w:t>
            </w:r>
          </w:p>
        </w:tc>
      </w:tr>
      <w:tr>
        <w:tc>
          <w:tcPr>
            <w:tcW w:type="dxa" w:w="720"/>
          </w:tcPr>
          <w:p>
            <w:r/>
            <w:r>
              <w:rPr>
                <w:b w:val="0"/>
                <w:i w:val="0"/>
                <w:sz w:val="18"/>
              </w:rPr>
              <w:t>D-6</w:t>
            </w:r>
          </w:p>
        </w:tc>
        <w:tc>
          <w:tcPr>
            <w:tcW w:type="dxa" w:w="2160"/>
          </w:tcPr>
          <w:p>
            <w:r/>
            <w:r>
              <w:rPr>
                <w:b w:val="0"/>
                <w:i w:val="0"/>
                <w:sz w:val="18"/>
              </w:rPr>
              <w:t>(D) Strategic Vulnerability</w:t>
            </w:r>
          </w:p>
        </w:tc>
        <w:tc>
          <w:tcPr>
            <w:tcW w:type="dxa" w:w="5328"/>
          </w:tcPr>
          <w:p>
            <w:r/>
            <w:r>
              <w:rPr>
                <w:b w:val="0"/>
                <w:i w:val="0"/>
                <w:sz w:val="18"/>
              </w:rPr>
              <w:t>Fund III and Fund IV Gains Dwarfed the Allocations, Which Gives the Government's Ex Post Argument Intuitive Appeal</w:t>
            </w:r>
          </w:p>
        </w:tc>
        <w:tc>
          <w:tcPr>
            <w:tcW w:type="dxa" w:w="1296"/>
          </w:tcPr>
          <w:p>
            <w:r/>
            <w:r>
              <w:rPr>
                <w:b w:val="0"/>
                <w:i w:val="0"/>
                <w:sz w:val="18"/>
              </w:rPr>
              <w:t>Significant</w:t>
            </w:r>
          </w:p>
        </w:tc>
      </w:tr>
      <w:tr>
        <w:tc>
          <w:tcPr>
            <w:tcW w:type="dxa" w:w="720"/>
          </w:tcPr>
          <w:p>
            <w:r/>
            <w:r>
              <w:rPr>
                <w:b w:val="0"/>
                <w:i w:val="0"/>
                <w:sz w:val="18"/>
              </w:rPr>
              <w:t>D-7</w:t>
            </w:r>
          </w:p>
        </w:tc>
        <w:tc>
          <w:tcPr>
            <w:tcW w:type="dxa" w:w="2160"/>
          </w:tcPr>
          <w:p>
            <w:r/>
            <w:r>
              <w:rPr>
                <w:b w:val="0"/>
                <w:i w:val="0"/>
                <w:sz w:val="18"/>
              </w:rPr>
              <w:t>(D) Strategic Vulnerability</w:t>
            </w:r>
          </w:p>
        </w:tc>
        <w:tc>
          <w:tcPr>
            <w:tcW w:type="dxa" w:w="5328"/>
          </w:tcPr>
          <w:p>
            <w:r/>
            <w:r>
              <w:rPr>
                <w:b w:val="0"/>
                <w:i w:val="0"/>
                <w:sz w:val="18"/>
              </w:rPr>
              <w:t>HCP's Expert Engagement Is Not Finalized, and the Opposition Is Due May 17, 2024</w:t>
            </w:r>
          </w:p>
        </w:tc>
        <w:tc>
          <w:tcPr>
            <w:tcW w:type="dxa" w:w="1296"/>
          </w:tcPr>
          <w:p>
            <w:r/>
            <w:r>
              <w:rPr>
                <w:b w:val="0"/>
                <w:i w:val="0"/>
                <w:sz w:val="18"/>
              </w:rPr>
              <w:t>Critical</w:t>
            </w:r>
          </w:p>
        </w:tc>
      </w:tr>
      <w:tr>
        <w:tc>
          <w:tcPr>
            <w:tcW w:type="dxa" w:w="720"/>
          </w:tcPr>
          <w:p>
            <w:r/>
            <w:r>
              <w:rPr>
                <w:b w:val="0"/>
                <w:i w:val="0"/>
                <w:sz w:val="18"/>
              </w:rPr>
              <w:t>D-8</w:t>
            </w:r>
          </w:p>
        </w:tc>
        <w:tc>
          <w:tcPr>
            <w:tcW w:type="dxa" w:w="2160"/>
          </w:tcPr>
          <w:p>
            <w:r/>
            <w:r>
              <w:rPr>
                <w:b w:val="0"/>
                <w:i w:val="0"/>
                <w:sz w:val="18"/>
              </w:rPr>
              <w:t>(D) Strategic Vulnerability</w:t>
            </w:r>
          </w:p>
        </w:tc>
        <w:tc>
          <w:tcPr>
            <w:tcW w:type="dxa" w:w="5328"/>
          </w:tcPr>
          <w:p>
            <w:r/>
            <w:r>
              <w:rPr>
                <w:b w:val="0"/>
                <w:i w:val="0"/>
                <w:sz w:val="18"/>
              </w:rPr>
              <w:t>HCP Reported the $6,000,000 Fund V Allocation as Long-Term Capital Gain for TY 2020 Although No Allocation Was Made</w:t>
            </w:r>
          </w:p>
        </w:tc>
        <w:tc>
          <w:tcPr>
            <w:tcW w:type="dxa" w:w="1296"/>
          </w:tcPr>
          <w:p>
            <w:r/>
            <w:r>
              <w:rPr>
                <w:b w:val="0"/>
                <w:i w:val="0"/>
                <w:sz w:val="18"/>
              </w:rPr>
              <w:t>Critical</w:t>
            </w:r>
          </w:p>
        </w:tc>
      </w:tr>
      <w:tr>
        <w:tc>
          <w:tcPr>
            <w:tcW w:type="dxa" w:w="720"/>
          </w:tcPr>
          <w:p>
            <w:r/>
            <w:r>
              <w:rPr>
                <w:b w:val="0"/>
                <w:i w:val="0"/>
                <w:sz w:val="18"/>
              </w:rPr>
              <w:t>D-9</w:t>
            </w:r>
          </w:p>
        </w:tc>
        <w:tc>
          <w:tcPr>
            <w:tcW w:type="dxa" w:w="2160"/>
          </w:tcPr>
          <w:p>
            <w:r/>
            <w:r>
              <w:rPr>
                <w:b w:val="0"/>
                <w:i w:val="0"/>
                <w:sz w:val="18"/>
              </w:rPr>
              <w:t>(D) Strategic Vulnerability</w:t>
            </w:r>
          </w:p>
        </w:tc>
        <w:tc>
          <w:tcPr>
            <w:tcW w:type="dxa" w:w="5328"/>
          </w:tcPr>
          <w:p>
            <w:r/>
            <w:r>
              <w:rPr>
                <w:b w:val="0"/>
                <w:i w:val="0"/>
                <w:sz w:val="18"/>
              </w:rPr>
              <w:t>The Fund V Election Is Outside the Ridgeline Opinion's Express Reliance Scope</w:t>
            </w:r>
          </w:p>
        </w:tc>
        <w:tc>
          <w:tcPr>
            <w:tcW w:type="dxa" w:w="1296"/>
          </w:tcPr>
          <w:p>
            <w:r/>
            <w:r>
              <w:rPr>
                <w:b w:val="0"/>
                <w:i w:val="0"/>
                <w:sz w:val="18"/>
              </w:rPr>
              <w:t>Significant</w:t>
            </w:r>
          </w:p>
        </w:tc>
      </w:tr>
      <w:tr>
        <w:tc>
          <w:tcPr>
            <w:tcW w:type="dxa" w:w="720"/>
          </w:tcPr>
          <w:p>
            <w:r/>
            <w:r>
              <w:rPr>
                <w:b w:val="0"/>
                <w:i w:val="0"/>
                <w:sz w:val="18"/>
              </w:rPr>
              <w:t>D-10</w:t>
            </w:r>
          </w:p>
        </w:tc>
        <w:tc>
          <w:tcPr>
            <w:tcW w:type="dxa" w:w="2160"/>
          </w:tcPr>
          <w:p>
            <w:r/>
            <w:r>
              <w:rPr>
                <w:b w:val="0"/>
                <w:i w:val="0"/>
                <w:sz w:val="18"/>
              </w:rPr>
              <w:t>(D) Strategic Vulnerability</w:t>
            </w:r>
          </w:p>
        </w:tc>
        <w:tc>
          <w:tcPr>
            <w:tcW w:type="dxa" w:w="5328"/>
          </w:tcPr>
          <w:p>
            <w:r/>
            <w:r>
              <w:rPr>
                <w:b w:val="0"/>
                <w:i w:val="0"/>
                <w:sz w:val="18"/>
              </w:rPr>
              <w:t>The Reasonable Cause Defense Has Weaknesses the Government Has Not Yet Exploited</w:t>
            </w:r>
          </w:p>
        </w:tc>
        <w:tc>
          <w:tcPr>
            <w:tcW w:type="dxa" w:w="1296"/>
          </w:tcPr>
          <w:p>
            <w:r/>
            <w:r>
              <w:rPr>
                <w:b w:val="0"/>
                <w:i w:val="0"/>
                <w:sz w:val="18"/>
              </w:rPr>
              <w:t>Significant</w:t>
            </w:r>
          </w:p>
        </w:tc>
      </w:tr>
      <w:tr>
        <w:tc>
          <w:tcPr>
            <w:tcW w:type="dxa" w:w="720"/>
          </w:tcPr>
          <w:p>
            <w:r/>
            <w:r>
              <w:rPr>
                <w:b w:val="0"/>
                <w:i w:val="0"/>
                <w:sz w:val="18"/>
              </w:rPr>
              <w:t>D-11</w:t>
            </w:r>
          </w:p>
        </w:tc>
        <w:tc>
          <w:tcPr>
            <w:tcW w:type="dxa" w:w="2160"/>
          </w:tcPr>
          <w:p>
            <w:r/>
            <w:r>
              <w:rPr>
                <w:b w:val="0"/>
                <w:i w:val="0"/>
                <w:sz w:val="18"/>
              </w:rPr>
              <w:t>(D) Strategic Vulnerability</w:t>
            </w:r>
          </w:p>
        </w:tc>
        <w:tc>
          <w:tcPr>
            <w:tcW w:type="dxa" w:w="5328"/>
          </w:tcPr>
          <w:p>
            <w:r/>
            <w:r>
              <w:rPr>
                <w:b w:val="0"/>
                <w:i w:val="0"/>
                <w:sz w:val="18"/>
              </w:rPr>
              <w:t>The Greystone Borrowing Base Disclosure Could Be Recast as Credit Support</w:t>
            </w:r>
          </w:p>
        </w:tc>
        <w:tc>
          <w:tcPr>
            <w:tcW w:type="dxa" w:w="1296"/>
          </w:tcPr>
          <w:p>
            <w:r/>
            <w:r>
              <w:rPr>
                <w:b w:val="0"/>
                <w:i w:val="0"/>
                <w:sz w:val="18"/>
              </w:rPr>
              <w:t>Minor</w:t>
            </w:r>
          </w:p>
        </w:tc>
      </w:tr>
      <w:tr>
        <w:tc>
          <w:tcPr>
            <w:tcW w:type="dxa" w:w="720"/>
          </w:tcPr>
          <w:p>
            <w:r/>
            <w:r>
              <w:rPr>
                <w:b w:val="0"/>
                <w:i w:val="0"/>
                <w:sz w:val="18"/>
              </w:rPr>
              <w:t>D-12</w:t>
            </w:r>
          </w:p>
        </w:tc>
        <w:tc>
          <w:tcPr>
            <w:tcW w:type="dxa" w:w="2160"/>
          </w:tcPr>
          <w:p>
            <w:r/>
            <w:r>
              <w:rPr>
                <w:b w:val="0"/>
                <w:i w:val="0"/>
                <w:sz w:val="18"/>
              </w:rPr>
              <w:t>(D) Strategic Vulnerability</w:t>
            </w:r>
          </w:p>
        </w:tc>
        <w:tc>
          <w:tcPr>
            <w:tcW w:type="dxa" w:w="5328"/>
          </w:tcPr>
          <w:p>
            <w:r/>
            <w:r>
              <w:rPr>
                <w:b w:val="0"/>
                <w:i w:val="0"/>
                <w:sz w:val="18"/>
              </w:rPr>
              <w:t>Thornfield &amp; Locke's Own Involvement Creates Privilege-Waiver and Advocate-Witness Risk</w:t>
            </w:r>
          </w:p>
        </w:tc>
        <w:tc>
          <w:tcPr>
            <w:tcW w:type="dxa" w:w="1296"/>
          </w:tcPr>
          <w:p>
            <w:r/>
            <w:r>
              <w:rPr>
                <w:b w:val="0"/>
                <w:i w:val="0"/>
                <w:sz w:val="18"/>
              </w:rPr>
              <w:t>Critical</w:t>
            </w:r>
          </w:p>
        </w:tc>
      </w:tr>
      <w:tr>
        <w:tc>
          <w:tcPr>
            <w:tcW w:type="dxa" w:w="720"/>
          </w:tcPr>
          <w:p>
            <w:r/>
            <w:r>
              <w:rPr>
                <w:b w:val="0"/>
                <w:i w:val="0"/>
                <w:sz w:val="18"/>
              </w:rPr>
              <w:t>D-13</w:t>
            </w:r>
          </w:p>
        </w:tc>
        <w:tc>
          <w:tcPr>
            <w:tcW w:type="dxa" w:w="2160"/>
          </w:tcPr>
          <w:p>
            <w:r/>
            <w:r>
              <w:rPr>
                <w:b w:val="0"/>
                <w:i w:val="0"/>
                <w:sz w:val="18"/>
              </w:rPr>
              <w:t>(D) Strategic Vulnerability</w:t>
            </w:r>
          </w:p>
        </w:tc>
        <w:tc>
          <w:tcPr>
            <w:tcW w:type="dxa" w:w="5328"/>
          </w:tcPr>
          <w:p>
            <w:r/>
            <w:r>
              <w:rPr>
                <w:b w:val="0"/>
                <w:i w:val="0"/>
                <w:sz w:val="18"/>
              </w:rPr>
              <w:t>Accepting the Carried-Interest Analogy Could Invite a § 1061 Recharacterization</w:t>
            </w:r>
          </w:p>
        </w:tc>
        <w:tc>
          <w:tcPr>
            <w:tcW w:type="dxa" w:w="1296"/>
          </w:tcPr>
          <w:p>
            <w:r/>
            <w:r>
              <w:rPr>
                <w:b w:val="0"/>
                <w:i w:val="0"/>
                <w:sz w:val="18"/>
              </w:rPr>
              <w:t>Minor</w:t>
            </w:r>
          </w:p>
        </w:tc>
      </w:tr>
    </w:tbl>
    <w:p>
      <w:pPr>
        <w:spacing w:after="40"/>
      </w:pPr>
    </w:p>
    <w:p>
      <w:pPr>
        <w:spacing w:after="120"/>
      </w:pPr>
      <w:r>
        <w:rPr>
          <w:b w:val="0"/>
          <w:i w:val="0"/>
        </w:rPr>
        <w:t>Totals: 56 issues — 15 Critical, 31 Significant, 10 Minor; plus 13 items identified as not to be raised (Part VIII).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Matter No. HCP-2022-0093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