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ATTORNEY-CLIENT COMMUNICATION / ATTORNEY WORK PRODUCT</w:t>
      </w:r>
    </w:p>
    <w:p>
      <w:pPr>
        <w:spacing w:after="0"/>
        <w:jc w:val="center"/>
      </w:pPr>
      <w:r>
        <w:rPr>
          <w:b/>
          <w:i w:val="0"/>
          <w:sz w:val="28"/>
        </w:rPr>
        <w:t>BELLMORE &amp; ASSOCIATES, P.C.</w:t>
      </w:r>
    </w:p>
    <w:p>
      <w:pPr>
        <w:spacing w:after="80"/>
        <w:jc w:val="center"/>
      </w:pPr>
      <w:r>
        <w:rPr>
          <w:b/>
          <w:i w:val="0"/>
          <w:sz w:val="24"/>
        </w:rPr>
        <w:t>MEMORANDUM</w:t>
      </w:r>
    </w:p>
    <w:tbl>
      <w:tblPr>
        <w:tblStyle w:val="TableGrid"/>
        <w:tblW w:type="auto" w:w="0"/>
        <w:jc w:val="center"/>
        <w:tblLook w:firstColumn="1" w:firstRow="1" w:lastColumn="0" w:lastRow="0" w:noHBand="0" w:noVBand="1" w:val="04A0"/>
      </w:tblPr>
      <w:tblGrid>
        <w:gridCol w:w="4824"/>
        <w:gridCol w:w="4824"/>
      </w:tblGrid>
      <w:tr>
        <w:tc>
          <w:tcPr>
            <w:tcW w:type="dxa" w:w="1296"/>
          </w:tcPr>
          <w:p>
            <w:r>
              <w:rPr>
                <w:b/>
              </w:rPr>
            </w:r>
            <w:r>
              <w:rPr>
                <w:b/>
                <w:sz w:val="20"/>
              </w:rPr>
              <w:t>TO:</w:t>
            </w:r>
          </w:p>
        </w:tc>
        <w:tc>
          <w:tcPr>
            <w:tcW w:type="dxa" w:w="8352"/>
          </w:tcPr>
          <w:p>
            <w:r/>
            <w:r>
              <w:rPr>
                <w:b w:val="0"/>
                <w:sz w:val="20"/>
              </w:rPr>
              <w:t>Margaret T. Bellmore, Esq.</w:t>
            </w:r>
          </w:p>
        </w:tc>
      </w:tr>
      <w:tr>
        <w:tc>
          <w:tcPr>
            <w:tcW w:type="dxa" w:w="1296"/>
          </w:tcPr>
          <w:p>
            <w:r>
              <w:rPr>
                <w:b/>
              </w:rPr>
            </w:r>
            <w:r>
              <w:rPr>
                <w:b/>
                <w:sz w:val="20"/>
              </w:rPr>
              <w:t>FROM:</w:t>
            </w:r>
          </w:p>
        </w:tc>
        <w:tc>
          <w:tcPr>
            <w:tcW w:type="dxa" w:w="8352"/>
          </w:tcPr>
          <w:p>
            <w:r/>
            <w:r>
              <w:rPr>
                <w:b w:val="0"/>
                <w:sz w:val="20"/>
              </w:rPr>
              <w:t>[Associate]</w:t>
            </w:r>
          </w:p>
        </w:tc>
      </w:tr>
      <w:tr>
        <w:tc>
          <w:tcPr>
            <w:tcW w:type="dxa" w:w="1296"/>
          </w:tcPr>
          <w:p>
            <w:r>
              <w:rPr>
                <w:b/>
              </w:rPr>
            </w:r>
            <w:r>
              <w:rPr>
                <w:b/>
                <w:sz w:val="20"/>
              </w:rPr>
              <w:t>DATE:</w:t>
            </w:r>
          </w:p>
        </w:tc>
        <w:tc>
          <w:tcPr>
            <w:tcW w:type="dxa" w:w="8352"/>
          </w:tcPr>
          <w:p>
            <w:r/>
            <w:r>
              <w:rPr>
                <w:b w:val="0"/>
                <w:sz w:val="20"/>
              </w:rPr>
              <w:t>February 18, 2025</w:t>
            </w:r>
          </w:p>
        </w:tc>
      </w:tr>
      <w:tr>
        <w:tc>
          <w:tcPr>
            <w:tcW w:type="dxa" w:w="1296"/>
          </w:tcPr>
          <w:p>
            <w:r>
              <w:rPr>
                <w:b/>
              </w:rPr>
            </w:r>
            <w:r>
              <w:rPr>
                <w:b/>
                <w:sz w:val="20"/>
              </w:rPr>
              <w:t>RE:</w:t>
            </w:r>
          </w:p>
        </w:tc>
        <w:tc>
          <w:tcPr>
            <w:tcW w:type="dxa" w:w="8352"/>
          </w:tcPr>
          <w:p>
            <w:r/>
            <w:r>
              <w:rPr>
                <w:b w:val="0"/>
                <w:sz w:val="20"/>
              </w:rPr>
              <w:t>In re Marriage of Huang-Whitfield — DuPage County Case No. 2025-D-000347 — Key Facts from Client Intake (Questionnaire dated Feb. 10, 2025; Client Email of Feb. 17, 2025; Partial Prenuptial Agreement dated Aug. 2, 2011)</w:t>
            </w:r>
          </w:p>
        </w:tc>
      </w:tr>
    </w:tbl>
    <w:p>
      <w:pPr>
        <w:spacing w:after="40"/>
      </w:pPr>
    </w:p>
    <w:p>
      <w:pPr>
        <w:pStyle w:val="Heading1"/>
      </w:pPr>
      <w:r>
        <w:t>1. Purpose, Sources and Ground Rules</w:t>
      </w:r>
    </w:p>
    <w:p>
      <w:pPr>
        <w:spacing w:after="80"/>
      </w:pPr>
      <w:r>
        <w:rPr>
          <w:b w:val="0"/>
          <w:i w:val="0"/>
        </w:rPr>
        <w:t>This memo organizes the facts supplied by our client, Rachel Min-Ji Huang-Whitfield (“Rachel” or “Client”), into a structured reference for case strategy, the Financial Affidavit, and early motion practice. It flags every material inconsistency among the three source documents, identifies gaps that must be filled before we rely on any figure, and gives a preliminary (not final) view of characterization and support issues.</w:t>
      </w:r>
    </w:p>
    <w:tbl>
      <w:tblPr>
        <w:tblStyle w:val="TableGrid"/>
        <w:tblW w:type="auto" w:w="0"/>
        <w:jc w:val="center"/>
        <w:tblLook w:firstColumn="1" w:firstRow="1" w:lastColumn="0" w:lastRow="0" w:noHBand="0" w:noVBand="1" w:val="04A0"/>
      </w:tblPr>
      <w:tblGrid>
        <w:gridCol w:w="3216"/>
        <w:gridCol w:w="3216"/>
        <w:gridCol w:w="3216"/>
      </w:tblGrid>
      <w:tr>
        <w:tc>
          <w:tcPr>
            <w:tcW w:type="dxa" w:w="864"/>
            <w:shd w:val="clear" w:color="auto" w:fill="1F3A5F"/>
          </w:tcPr>
          <w:p>
            <w:r/>
            <w:r>
              <w:rPr>
                <w:b/>
                <w:color w:val="FFFFFF"/>
                <w:sz w:val="18"/>
              </w:rPr>
              <w:t>Code</w:t>
            </w:r>
          </w:p>
        </w:tc>
        <w:tc>
          <w:tcPr>
            <w:tcW w:type="dxa" w:w="4320"/>
            <w:shd w:val="clear" w:color="auto" w:fill="1F3A5F"/>
          </w:tcPr>
          <w:p>
            <w:r/>
            <w:r>
              <w:rPr>
                <w:b/>
                <w:color w:val="FFFFFF"/>
                <w:sz w:val="18"/>
              </w:rPr>
              <w:t>Source document</w:t>
            </w:r>
          </w:p>
        </w:tc>
        <w:tc>
          <w:tcPr>
            <w:tcW w:type="dxa" w:w="4464"/>
            <w:shd w:val="clear" w:color="auto" w:fill="1F3A5F"/>
          </w:tcPr>
          <w:p>
            <w:r/>
            <w:r>
              <w:rPr>
                <w:b/>
                <w:color w:val="FFFFFF"/>
                <w:sz w:val="18"/>
              </w:rPr>
              <w:t>Notes on reliability</w:t>
            </w:r>
          </w:p>
        </w:tc>
      </w:tr>
      <w:tr>
        <w:tc>
          <w:tcPr>
            <w:tcW w:type="dxa" w:w="864"/>
          </w:tcPr>
          <w:p>
            <w:r/>
            <w:r>
              <w:rPr>
                <w:b w:val="0"/>
                <w:sz w:val="18"/>
              </w:rPr>
              <w:t>[IQ]</w:t>
            </w:r>
          </w:p>
        </w:tc>
        <w:tc>
          <w:tcPr>
            <w:tcW w:type="dxa" w:w="4320"/>
          </w:tcPr>
          <w:p>
            <w:r/>
            <w:r>
              <w:rPr>
                <w:b w:val="0"/>
                <w:sz w:val="18"/>
              </w:rPr>
              <w:t>Confidential Client Intake Questionnaire, completed Feb. 10, 2025 (16 sections)</w:t>
            </w:r>
          </w:p>
        </w:tc>
        <w:tc>
          <w:tcPr>
            <w:tcW w:type="dxa" w:w="4464"/>
          </w:tcPr>
          <w:p>
            <w:r/>
            <w:r>
              <w:rPr>
                <w:b w:val="0"/>
                <w:sz w:val="18"/>
              </w:rPr>
              <w:t>Client’s first account. Certification block is unsigned and witness/notary blank; File/Matter No. and Attorney Assigned fields blank.</w:t>
            </w:r>
          </w:p>
        </w:tc>
      </w:tr>
      <w:tr>
        <w:tc>
          <w:tcPr>
            <w:tcW w:type="dxa" w:w="864"/>
          </w:tcPr>
          <w:p>
            <w:r/>
            <w:r>
              <w:rPr>
                <w:b w:val="0"/>
                <w:sz w:val="18"/>
              </w:rPr>
              <w:t>[EM]</w:t>
            </w:r>
          </w:p>
        </w:tc>
        <w:tc>
          <w:tcPr>
            <w:tcW w:type="dxa" w:w="4320"/>
          </w:tcPr>
          <w:p>
            <w:r/>
            <w:r>
              <w:rPr>
                <w:b w:val="0"/>
                <w:sz w:val="18"/>
              </w:rPr>
              <w:t>Client email to M. Bellmore, “Re: Additional Financial Information,” dated Mon., Feb. 17, 2025 (sent from rachel.huangwhitfield@gmail.com)</w:t>
            </w:r>
          </w:p>
        </w:tc>
        <w:tc>
          <w:tcPr>
            <w:tcW w:type="dxa" w:w="4464"/>
          </w:tcPr>
          <w:p>
            <w:r/>
            <w:r>
              <w:rPr>
                <w:b w:val="0"/>
                <w:sz w:val="18"/>
              </w:rPr>
              <w:t>Supplements and in several places corrects or contradicts [IQ]. Client says figures were refreshed after talking to her mother and locating a wire record.</w:t>
            </w:r>
          </w:p>
        </w:tc>
      </w:tr>
      <w:tr>
        <w:tc>
          <w:tcPr>
            <w:tcW w:type="dxa" w:w="864"/>
          </w:tcPr>
          <w:p>
            <w:r/>
            <w:r>
              <w:rPr>
                <w:b w:val="0"/>
                <w:sz w:val="18"/>
              </w:rPr>
              <w:t>[PN]</w:t>
            </w:r>
          </w:p>
        </w:tc>
        <w:tc>
          <w:tcPr>
            <w:tcW w:type="dxa" w:w="4320"/>
          </w:tcPr>
          <w:p>
            <w:r/>
            <w:r>
              <w:rPr>
                <w:b w:val="0"/>
                <w:sz w:val="18"/>
              </w:rPr>
              <w:t>Prenuptial Agreement dated Aug. 2, 2011 — scanned excerpt (footer: “SCANNED EXCERPT — NOT A COMPLETE COPY”)</w:t>
            </w:r>
          </w:p>
        </w:tc>
        <w:tc>
          <w:tcPr>
            <w:tcW w:type="dxa" w:w="4464"/>
          </w:tcPr>
          <w:p>
            <w:r/>
            <w:r>
              <w:rPr>
                <w:b w:val="0"/>
                <w:sz w:val="18"/>
              </w:rPr>
              <w:t>Pages 1–3 and 7–8 (per the scan notes; the cover note also says 7–9) missing; Schedules A and B missing; Section 4.3 (if any) missing; multiple “[illegible]” gaps, including the operative verb of § 3.3 and § 4.1.</w:t>
            </w:r>
          </w:p>
        </w:tc>
      </w:tr>
    </w:tbl>
    <w:p>
      <w:pPr>
        <w:spacing w:after="40"/>
      </w:pPr>
    </w:p>
    <w:p>
      <w:pPr>
        <w:spacing w:after="80"/>
      </w:pPr>
      <w:r>
        <w:rPr>
          <w:b w:val="0"/>
          <w:i/>
        </w:rPr>
        <w:t>All values below are the Client’s unverified estimates unless stated otherwise. Ages and durations have been recalculated by us; where our calculation differs from the Client’s, the corrected figure is shown and the discrepancy is logged in Section 11.</w:t>
      </w:r>
    </w:p>
    <w:p>
      <w:pPr>
        <w:pStyle w:val="Heading1"/>
      </w:pPr>
      <w:r>
        <w:t>2. Executive Summary — Issues Requiring Partner Attention</w:t>
      </w:r>
    </w:p>
    <w:p>
      <w:pPr>
        <w:pStyle w:val="ListNumber"/>
        <w:spacing w:after="40"/>
      </w:pPr>
      <w:r>
        <w:rPr>
          <w:b/>
          <w:i w:val="0"/>
        </w:rPr>
        <w:t>Maintenance goal is at serious risk of reversal.</w:t>
      </w:r>
      <w:r>
        <w:rPr>
          <w:b w:val="0"/>
          <w:i w:val="0"/>
        </w:rPr>
        <w:t xml:space="preserve"> On reported figures Rachel is the higher earner ($287,000 W-2 vs. Derek’s $195,000 Schedule C). Even crediting all of her add-back theories (max. ~$102,500), Derek’s income (~$297,500) only roughly equals hers. Because the marriage exceeded 10 years, the prenup maintenance waiver (§ 5.1) is void by its own terms (§ 5.2) — this cuts both ways: </w:t>
      </w:r>
      <w:r>
        <w:rPr>
          <w:b/>
          <w:i w:val="0"/>
        </w:rPr>
        <w:t>Derek can seek maintenance from Rachel.</w:t>
      </w:r>
      <w:r>
        <w:rPr>
          <w:b w:val="0"/>
          <w:i w:val="0"/>
        </w:rPr>
        <w:t xml:space="preserve"> Client believes she is the payee; she needs to be counseled early.</w:t>
      </w:r>
    </w:p>
    <w:p>
      <w:pPr>
        <w:pStyle w:val="ListNumber"/>
        <w:spacing w:after="40"/>
      </w:pPr>
      <w:r>
        <w:rPr>
          <w:b/>
          <w:i w:val="0"/>
        </w:rPr>
        <w:t>Marriage length is ~13 years 5½ months, not “approximately 14 years.”</w:t>
      </w:r>
      <w:r>
        <w:rPr>
          <w:b w:val="0"/>
          <w:i w:val="0"/>
        </w:rPr>
        <w:t xml:space="preserve"> (Aug. 18, 2011 to petition filing Feb. 7, 2025.) If statutory guidelines apply, the 750 ILCS 5/504(b-1) duration multiplier is 0.56 (13–14 yrs), not 0.60 (14–15 yrs) — roughly 7.5 years of guideline maintenance in either direction. Combined reported gross income (~$482,000, plus ~$10,800 cabin rent) sits just under the $500,000 guideline ceiling; modest add-backs to Derek’s income would take the case outside the guidelines (court discretion under § 504(a)).</w:t>
      </w:r>
    </w:p>
    <w:p>
      <w:pPr>
        <w:pStyle w:val="ListNumber"/>
        <w:spacing w:after="40"/>
      </w:pPr>
      <w:r>
        <w:rPr>
          <w:b/>
          <w:i w:val="0"/>
        </w:rPr>
        <w:t>Galena cabin “separate property” claim is weak on present facts.</w:t>
      </w:r>
      <w:r>
        <w:rPr>
          <w:b w:val="0"/>
          <w:i w:val="0"/>
        </w:rPr>
        <w:t xml:space="preserve"> Purchased June 2019 — eight years into the marriage — and therefore presumptively marital regardless of title (750 ILCS 5/503(b)). The claimed source (“money I saved before we got married”) is unsupported and was softened in [EM] to “savings I had set aside.” The prenup protects only pre-marital assets “as listed in the Schedules” (§ 3.1), which we do not have. Ongoing $950/mo. mortgage is likely paid from marital income. Rental income (~$1,800/mo. May–Oct.) has not been listed as her income.</w:t>
      </w:r>
    </w:p>
    <w:p>
      <w:pPr>
        <w:pStyle w:val="ListNumber"/>
        <w:spacing w:after="40"/>
      </w:pPr>
      <w:r>
        <w:rPr>
          <w:b/>
          <w:i w:val="0"/>
        </w:rPr>
        <w:t>Down-payment gift amount changed: $80,000 [IQ] vs. $90,000 [EM]</w:t>
      </w:r>
      <w:r>
        <w:rPr>
          <w:b w:val="0"/>
          <w:i w:val="0"/>
        </w:rPr>
        <w:t xml:space="preserve"> (joint-savings portion $57,000 vs. $47,000; both total $137,000). Client says the gift was to “us,” and the house is titled in joint tenancy — both facts point toward marital treatment and against reimbursement. Client’s revised figure came after a conversation with her mother (potential witness) — we need the wire record itself.</w:t>
      </w:r>
    </w:p>
    <w:p>
      <w:pPr>
        <w:pStyle w:val="ListNumber"/>
        <w:spacing w:after="40"/>
      </w:pPr>
      <w:r>
        <w:rPr>
          <w:b/>
          <w:i w:val="0"/>
        </w:rPr>
        <w:t>Inheritance tracing gap of roughly $78,500.</w:t>
      </w:r>
      <w:r>
        <w:rPr>
          <w:b w:val="0"/>
          <w:i w:val="0"/>
        </w:rPr>
        <w:t xml:space="preserve"> $175,000 inheritance (Feb. 2020) deposited to individual savings; up to $58,000 used for the 2021 kitchen in the jointly titled home; current balance is only $38,500. The difference is unexplained. Under prenup § 3.2 any commingled portion is presumed marital unless traced by clear and convincing evidence.</w:t>
      </w:r>
    </w:p>
    <w:p>
      <w:pPr>
        <w:pStyle w:val="ListNumber"/>
        <w:spacing w:after="40"/>
      </w:pPr>
      <w:r>
        <w:rPr>
          <w:b/>
          <w:i w:val="0"/>
        </w:rPr>
        <w:t>Student-loan / PSLF assumptions look wrong.</w:t>
      </w:r>
      <w:r>
        <w:rPr>
          <w:b w:val="0"/>
          <w:i w:val="0"/>
        </w:rPr>
        <w:t xml:space="preserve"> Lakeshore Medical Group, S.C. is an Illinois service (professional) corporation — likely not a PSLF-qualifying employer (government or 501(c)(3)). Forgiveness timing also differs (“next year or so” [IQ] vs. “about two more years” [EM]). Paydown from $180,000 to $34,000 cannot be reconciled with ~$400/mo. income-driven payments — suggests lump-sum payments (from marital or inheritance funds?). Conversely, Derek’s pre-marital MBA loans were paid off in 2017 during the marriage (possible contribution claim for Rachel).</w:t>
      </w:r>
    </w:p>
    <w:p>
      <w:pPr>
        <w:pStyle w:val="ListNumber"/>
        <w:spacing w:after="40"/>
      </w:pPr>
      <w:r>
        <w:rPr>
          <w:b/>
          <w:i w:val="0"/>
        </w:rPr>
        <w:t>Derek’s business — Client’s add-back narrative is internally inconsistent.</w:t>
      </w:r>
      <w:r>
        <w:rPr>
          <w:b w:val="0"/>
          <w:i w:val="0"/>
        </w:rPr>
        <w:t xml:space="preserve"> Nature of business: “digital marketing and SEO” [IQ] vs. “IT strategy and digital transformation” [EM] (graphic-design spend is far more plausible for a marketing/SEO firm). Disputed trips: “Las Vegas twice” [IQ] vs. Miami (Mar. 2024), Austin (July 2024) and Scottsdale golf (Oct. 2024) [EM]. Her “almost $103,000” figure is simply the full totals of three expense categories; her own [EM] estimate of the personal T&amp;E portion is $15,000–$20,000. Only the $7,200 gaming PC appears documented (receipt).</w:t>
      </w:r>
    </w:p>
    <w:p>
      <w:pPr>
        <w:pStyle w:val="ListNumber"/>
        <w:spacing w:after="40"/>
      </w:pPr>
      <w:r>
        <w:rPr>
          <w:b/>
          <w:i w:val="0"/>
        </w:rPr>
        <w:t>Cryptocurrency — urgent preservation step.</w:t>
      </w:r>
      <w:r>
        <w:rPr>
          <w:b w:val="0"/>
          <w:i w:val="0"/>
        </w:rPr>
        <w:t xml:space="preserve"> ~$85,000 Coinbase balance observed late Nov. 2024; Dec. 2024 “wallet transfer” notification. Recommend immediate preservation demand to Calder &amp; Rourke, motion for preliminary injunction / temporary restraining order under 750 ILCS 5/501(a)(2), Coinbase subpoena, and timely Notice of Intent to Claim Dissipation (750 ILCS 5/503(d)(2)). Note: [EM] says she saw the notice “when he came to pick up the kids,” which conflicts with [IQ] (Derek still lives in the marital home).</w:t>
      </w:r>
    </w:p>
    <w:p>
      <w:pPr>
        <w:pStyle w:val="ListNumber"/>
        <w:spacing w:after="40"/>
      </w:pPr>
      <w:r>
        <w:rPr>
          <w:b/>
          <w:i w:val="0"/>
        </w:rPr>
        <w:t>Possible joint-return exposure.</w:t>
      </w:r>
      <w:r>
        <w:rPr>
          <w:b w:val="0"/>
          <w:i w:val="0"/>
        </w:rPr>
        <w:t xml:space="preserve"> Client recites Derek’s Schedule C revenue and net figures. If the parties filed jointly for 2024 (or prior years), her allegations that expenses were inflated to suppress taxable income implicate her own joint-and-several tax liability (innocent-spouse relief under IRC § 6015 would need evaluation). Filing status must be confirmed before these allegations are pressed.</w:t>
      </w:r>
    </w:p>
    <w:p>
      <w:pPr>
        <w:pStyle w:val="ListNumber"/>
        <w:spacing w:after="40"/>
      </w:pPr>
      <w:r>
        <w:rPr>
          <w:b/>
          <w:i w:val="0"/>
        </w:rPr>
        <w:t>Procedural anomaly.</w:t>
      </w:r>
      <w:r>
        <w:rPr>
          <w:b w:val="0"/>
          <w:i w:val="0"/>
        </w:rPr>
        <w:t xml:space="preserve"> [IQ] (Feb. 10) states opposing counsel “filed his appearance about 3 weeks ago” (~Jan. 20), which pre-dates our Feb. 7 petition. Confirm the docket — did Derek file first, or is the Client mistaken? Also confirm who is Petitioner and whether service has been completed. Client has received an informal financial-disclosure request from Sean P. Calder; she must not respond directly.</w:t>
      </w:r>
    </w:p>
    <w:p>
      <w:pPr>
        <w:pStyle w:val="ListNumber"/>
        <w:spacing w:after="40"/>
      </w:pPr>
      <w:r>
        <w:rPr>
          <w:b/>
          <w:i w:val="0"/>
        </w:rPr>
        <w:t>Prenuptial agreement — enforceability vs. strategy.</w:t>
      </w:r>
      <w:r>
        <w:rPr>
          <w:b w:val="0"/>
          <w:i w:val="0"/>
        </w:rPr>
        <w:t xml:space="preserve"> Signed 16 days before the wedding; Rachel unrepresented (friend was a 2L law student); drafted by Derek’s counsel (Harold Finch, now deceased); disclosure schedules missing. But § 9.2–9.4 contain voluntariness, adequate-time, advice-of-counsel and disclosure acknowledgments, and the agreement is the principal source of protection for Rachel’s own separate-property claims (inheritance, Whitcroft pre-marital balance). Any challenge under 750 ILCS 10/7 must be weighed against what Rachel would lose. A complete executed copy (including Schedules A/B and the missing Section 4.3) is a priority.</w:t>
      </w:r>
    </w:p>
    <w:p>
      <w:pPr>
        <w:pStyle w:val="Heading1"/>
      </w:pPr>
      <w:r>
        <w:t>3. Matter Snapshot</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3A5F"/>
          </w:tcPr>
          <w:p>
            <w:r/>
            <w:r>
              <w:rPr>
                <w:b/>
                <w:color w:val="FFFFFF"/>
                <w:sz w:val="18"/>
              </w:rPr>
              <w:t>Item</w:t>
            </w:r>
          </w:p>
        </w:tc>
        <w:tc>
          <w:tcPr>
            <w:tcW w:type="dxa" w:w="4320"/>
            <w:shd w:val="clear" w:color="auto" w:fill="1F3A5F"/>
          </w:tcPr>
          <w:p>
            <w:r/>
            <w:r>
              <w:rPr>
                <w:b/>
                <w:color w:val="FFFFFF"/>
                <w:sz w:val="18"/>
              </w:rPr>
              <w:t>Fact</w:t>
            </w:r>
          </w:p>
        </w:tc>
        <w:tc>
          <w:tcPr>
            <w:tcW w:type="dxa" w:w="3312"/>
            <w:shd w:val="clear" w:color="auto" w:fill="1F3A5F"/>
          </w:tcPr>
          <w:p>
            <w:r/>
            <w:r>
              <w:rPr>
                <w:b/>
                <w:color w:val="FFFFFF"/>
                <w:sz w:val="18"/>
              </w:rPr>
              <w:t>Source / comment</w:t>
            </w:r>
          </w:p>
        </w:tc>
      </w:tr>
      <w:tr>
        <w:tc>
          <w:tcPr>
            <w:tcW w:type="dxa" w:w="2016"/>
          </w:tcPr>
          <w:p>
            <w:r/>
            <w:r>
              <w:rPr>
                <w:b w:val="0"/>
                <w:sz w:val="18"/>
              </w:rPr>
              <w:t>Court / case no.</w:t>
            </w:r>
          </w:p>
        </w:tc>
        <w:tc>
          <w:tcPr>
            <w:tcW w:type="dxa" w:w="4320"/>
          </w:tcPr>
          <w:p>
            <w:r/>
            <w:r>
              <w:rPr>
                <w:b w:val="0"/>
                <w:sz w:val="18"/>
              </w:rPr>
              <w:t>Circuit Court of DuPage County (18th Judicial Circuit); No. 2025-D-000347</w:t>
            </w:r>
          </w:p>
        </w:tc>
        <w:tc>
          <w:tcPr>
            <w:tcW w:type="dxa" w:w="3312"/>
          </w:tcPr>
          <w:p>
            <w:r/>
            <w:r>
              <w:rPr>
                <w:b w:val="0"/>
                <w:sz w:val="18"/>
              </w:rPr>
              <w:t>[IQ] §3</w:t>
            </w:r>
          </w:p>
        </w:tc>
      </w:tr>
      <w:tr>
        <w:tc>
          <w:tcPr>
            <w:tcW w:type="dxa" w:w="2016"/>
          </w:tcPr>
          <w:p>
            <w:r/>
            <w:r>
              <w:rPr>
                <w:b w:val="0"/>
                <w:sz w:val="18"/>
              </w:rPr>
              <w:t>Petition filed</w:t>
            </w:r>
          </w:p>
        </w:tc>
        <w:tc>
          <w:tcPr>
            <w:tcW w:type="dxa" w:w="4320"/>
          </w:tcPr>
          <w:p>
            <w:r/>
            <w:r>
              <w:rPr>
                <w:b w:val="0"/>
                <w:sz w:val="18"/>
              </w:rPr>
              <w:t>February 7, 2025 — dissolution of marriage; grounds: irreconcilable differences</w:t>
            </w:r>
          </w:p>
        </w:tc>
        <w:tc>
          <w:tcPr>
            <w:tcW w:type="dxa" w:w="3312"/>
          </w:tcPr>
          <w:p>
            <w:r/>
            <w:r>
              <w:rPr>
                <w:b w:val="0"/>
                <w:sz w:val="18"/>
              </w:rPr>
              <w:t>[IQ] §3. Petitioner presumed to be Rachel — confirm.</w:t>
            </w:r>
          </w:p>
        </w:tc>
      </w:tr>
      <w:tr>
        <w:tc>
          <w:tcPr>
            <w:tcW w:type="dxa" w:w="2016"/>
          </w:tcPr>
          <w:p>
            <w:r/>
            <w:r>
              <w:rPr>
                <w:b w:val="0"/>
                <w:sz w:val="18"/>
              </w:rPr>
              <w:t>Legal separation filed?</w:t>
            </w:r>
          </w:p>
        </w:tc>
        <w:tc>
          <w:tcPr>
            <w:tcW w:type="dxa" w:w="4320"/>
          </w:tcPr>
          <w:p>
            <w:r/>
            <w:r>
              <w:rPr>
                <w:b w:val="0"/>
                <w:sz w:val="18"/>
              </w:rPr>
              <w:t>No</w:t>
            </w:r>
          </w:p>
        </w:tc>
        <w:tc>
          <w:tcPr>
            <w:tcW w:type="dxa" w:w="3312"/>
          </w:tcPr>
          <w:p>
            <w:r/>
            <w:r>
              <w:rPr>
                <w:b w:val="0"/>
                <w:sz w:val="18"/>
              </w:rPr>
              <w:t>[IQ] §3</w:t>
            </w:r>
          </w:p>
        </w:tc>
      </w:tr>
      <w:tr>
        <w:tc>
          <w:tcPr>
            <w:tcW w:type="dxa" w:w="2016"/>
          </w:tcPr>
          <w:p>
            <w:r/>
            <w:r>
              <w:rPr>
                <w:b w:val="0"/>
                <w:sz w:val="18"/>
              </w:rPr>
              <w:t>Our client</w:t>
            </w:r>
          </w:p>
        </w:tc>
        <w:tc>
          <w:tcPr>
            <w:tcW w:type="dxa" w:w="4320"/>
          </w:tcPr>
          <w:p>
            <w:r/>
            <w:r>
              <w:rPr>
                <w:b w:val="0"/>
                <w:sz w:val="18"/>
              </w:rPr>
              <w:t>Rachel Min-Ji Huang-Whitfield</w:t>
            </w:r>
          </w:p>
        </w:tc>
        <w:tc>
          <w:tcPr>
            <w:tcW w:type="dxa" w:w="3312"/>
          </w:tcPr>
          <w:p>
            <w:r/>
            <w:r>
              <w:rPr>
                <w:b w:val="0"/>
                <w:sz w:val="18"/>
              </w:rPr>
              <w:t>Engagement with M. Bellmore; Matter No. not yet assigned on form</w:t>
            </w:r>
          </w:p>
        </w:tc>
      </w:tr>
      <w:tr>
        <w:tc>
          <w:tcPr>
            <w:tcW w:type="dxa" w:w="2016"/>
          </w:tcPr>
          <w:p>
            <w:r/>
            <w:r>
              <w:rPr>
                <w:b w:val="0"/>
                <w:sz w:val="18"/>
              </w:rPr>
              <w:t>Opposing party</w:t>
            </w:r>
          </w:p>
        </w:tc>
        <w:tc>
          <w:tcPr>
            <w:tcW w:type="dxa" w:w="4320"/>
          </w:tcPr>
          <w:p>
            <w:r/>
            <w:r>
              <w:rPr>
                <w:b w:val="0"/>
                <w:sz w:val="18"/>
              </w:rPr>
              <w:t>Derek James Whitfield</w:t>
            </w:r>
          </w:p>
        </w:tc>
        <w:tc>
          <w:tcPr>
            <w:tcW w:type="dxa" w:w="3312"/>
          </w:tcPr>
          <w:p>
            <w:r/>
          </w:p>
        </w:tc>
      </w:tr>
      <w:tr>
        <w:tc>
          <w:tcPr>
            <w:tcW w:type="dxa" w:w="2016"/>
          </w:tcPr>
          <w:p>
            <w:r/>
            <w:r>
              <w:rPr>
                <w:b w:val="0"/>
                <w:sz w:val="18"/>
              </w:rPr>
              <w:t>Opposing counsel</w:t>
            </w:r>
          </w:p>
        </w:tc>
        <w:tc>
          <w:tcPr>
            <w:tcW w:type="dxa" w:w="4320"/>
          </w:tcPr>
          <w:p>
            <w:r/>
            <w:r>
              <w:rPr>
                <w:b w:val="0"/>
                <w:sz w:val="18"/>
              </w:rPr>
              <w:t>Sean P. Calder, Esq., Calder &amp; Rourke, LLP, 155 North Wacker Drive, Suite 800, Chicago, IL 60606</w:t>
            </w:r>
          </w:p>
        </w:tc>
        <w:tc>
          <w:tcPr>
            <w:tcW w:type="dxa" w:w="3312"/>
          </w:tcPr>
          <w:p>
            <w:r/>
            <w:r>
              <w:rPr>
                <w:b w:val="0"/>
                <w:sz w:val="18"/>
              </w:rPr>
              <w:t>[IQ] §2; [EM]. Appearance reportedly filed ~Jan. 20, 2025 (before our petition — verify). Has sent letter requesting informal financial disclosures.</w:t>
            </w:r>
          </w:p>
        </w:tc>
      </w:tr>
      <w:tr>
        <w:tc>
          <w:tcPr>
            <w:tcW w:type="dxa" w:w="2016"/>
          </w:tcPr>
          <w:p>
            <w:r/>
            <w:r>
              <w:rPr>
                <w:b w:val="0"/>
                <w:sz w:val="18"/>
              </w:rPr>
              <w:t>Date of marriage / place</w:t>
            </w:r>
          </w:p>
        </w:tc>
        <w:tc>
          <w:tcPr>
            <w:tcW w:type="dxa" w:w="4320"/>
          </w:tcPr>
          <w:p>
            <w:r/>
            <w:r>
              <w:rPr>
                <w:b w:val="0"/>
                <w:sz w:val="18"/>
              </w:rPr>
              <w:t>August 18, 2011 — Lake Forest, Illinois</w:t>
            </w:r>
          </w:p>
        </w:tc>
        <w:tc>
          <w:tcPr>
            <w:tcW w:type="dxa" w:w="3312"/>
          </w:tcPr>
          <w:p>
            <w:r/>
            <w:r>
              <w:rPr>
                <w:b w:val="0"/>
                <w:sz w:val="18"/>
              </w:rPr>
              <w:t>[IQ] §3; [PN] recital</w:t>
            </w:r>
          </w:p>
        </w:tc>
      </w:tr>
      <w:tr>
        <w:tc>
          <w:tcPr>
            <w:tcW w:type="dxa" w:w="2016"/>
          </w:tcPr>
          <w:p>
            <w:r/>
            <w:r>
              <w:rPr>
                <w:b w:val="0"/>
                <w:sz w:val="18"/>
              </w:rPr>
              <w:t>Prenuptial agreement</w:t>
            </w:r>
          </w:p>
        </w:tc>
        <w:tc>
          <w:tcPr>
            <w:tcW w:type="dxa" w:w="4320"/>
          </w:tcPr>
          <w:p>
            <w:r/>
            <w:r>
              <w:rPr>
                <w:b w:val="0"/>
                <w:sz w:val="18"/>
              </w:rPr>
              <w:t>Executed August 2, 2011 (16 days before wedding); notarized in Lake County, IL</w:t>
            </w:r>
          </w:p>
        </w:tc>
        <w:tc>
          <w:tcPr>
            <w:tcW w:type="dxa" w:w="3312"/>
          </w:tcPr>
          <w:p>
            <w:r/>
            <w:r>
              <w:rPr>
                <w:b w:val="0"/>
                <w:sz w:val="18"/>
              </w:rPr>
              <w:t>[PN]</w:t>
            </w:r>
          </w:p>
        </w:tc>
      </w:tr>
      <w:tr>
        <w:tc>
          <w:tcPr>
            <w:tcW w:type="dxa" w:w="2016"/>
          </w:tcPr>
          <w:p>
            <w:r/>
            <w:r>
              <w:rPr>
                <w:b w:val="0"/>
                <w:sz w:val="18"/>
              </w:rPr>
              <w:t>Separation</w:t>
            </w:r>
          </w:p>
        </w:tc>
        <w:tc>
          <w:tcPr>
            <w:tcW w:type="dxa" w:w="4320"/>
          </w:tcPr>
          <w:p>
            <w:r/>
            <w:r>
              <w:rPr>
                <w:b w:val="0"/>
                <w:sz w:val="18"/>
              </w:rPr>
              <w:t>Rachel moved into guest bedroom Nov. 4, 2024; both parties still reside at 2918 Ridgeview Terrace</w:t>
            </w:r>
          </w:p>
        </w:tc>
        <w:tc>
          <w:tcPr>
            <w:tcW w:type="dxa" w:w="3312"/>
          </w:tcPr>
          <w:p>
            <w:r/>
            <w:r>
              <w:rPr>
                <w:b w:val="0"/>
                <w:sz w:val="18"/>
              </w:rPr>
              <w:t>[IQ] §3; [EM] (“physically separated in early November”)</w:t>
            </w:r>
          </w:p>
        </w:tc>
      </w:tr>
      <w:tr>
        <w:tc>
          <w:tcPr>
            <w:tcW w:type="dxa" w:w="2016"/>
          </w:tcPr>
          <w:p>
            <w:r/>
            <w:r>
              <w:rPr>
                <w:b w:val="0"/>
                <w:sz w:val="18"/>
              </w:rPr>
              <w:t>Length of marriage to filing</w:t>
            </w:r>
          </w:p>
        </w:tc>
        <w:tc>
          <w:tcPr>
            <w:tcW w:type="dxa" w:w="4320"/>
          </w:tcPr>
          <w:p>
            <w:r/>
            <w:r>
              <w:rPr>
                <w:b w:val="0"/>
                <w:sz w:val="18"/>
              </w:rPr>
              <w:t>13 years, 5 months, 20 days (≈13.48 yrs)</w:t>
            </w:r>
          </w:p>
        </w:tc>
        <w:tc>
          <w:tcPr>
            <w:tcW w:type="dxa" w:w="3312"/>
          </w:tcPr>
          <w:p>
            <w:r/>
            <w:r>
              <w:rPr>
                <w:b w:val="0"/>
                <w:sz w:val="18"/>
              </w:rPr>
              <w:t>Our calculation; Client says “approximately 14 years.”</w:t>
            </w:r>
          </w:p>
        </w:tc>
      </w:tr>
      <w:tr>
        <w:tc>
          <w:tcPr>
            <w:tcW w:type="dxa" w:w="2016"/>
          </w:tcPr>
          <w:p>
            <w:r/>
            <w:r>
              <w:rPr>
                <w:b w:val="0"/>
                <w:sz w:val="18"/>
              </w:rPr>
              <w:t>Marriage counseling</w:t>
            </w:r>
          </w:p>
        </w:tc>
        <w:tc>
          <w:tcPr>
            <w:tcW w:type="dxa" w:w="4320"/>
          </w:tcPr>
          <w:p>
            <w:r/>
            <w:r>
              <w:rPr>
                <w:b w:val="0"/>
                <w:sz w:val="18"/>
              </w:rPr>
              <w:t>Briefly in 2023; Derek stopped after three sessions</w:t>
            </w:r>
          </w:p>
        </w:tc>
        <w:tc>
          <w:tcPr>
            <w:tcW w:type="dxa" w:w="3312"/>
          </w:tcPr>
          <w:p>
            <w:r/>
            <w:r>
              <w:rPr>
                <w:b w:val="0"/>
                <w:sz w:val="18"/>
              </w:rPr>
              <w:t>[IQ] §3</w:t>
            </w:r>
          </w:p>
        </w:tc>
      </w:tr>
      <w:tr>
        <w:tc>
          <w:tcPr>
            <w:tcW w:type="dxa" w:w="2016"/>
          </w:tcPr>
          <w:p>
            <w:r/>
            <w:r>
              <w:rPr>
                <w:b w:val="0"/>
                <w:sz w:val="18"/>
              </w:rPr>
              <w:t>Prior orders</w:t>
            </w:r>
          </w:p>
        </w:tc>
        <w:tc>
          <w:tcPr>
            <w:tcW w:type="dxa" w:w="4320"/>
          </w:tcPr>
          <w:p>
            <w:r/>
            <w:r>
              <w:rPr>
                <w:b w:val="0"/>
                <w:sz w:val="18"/>
              </w:rPr>
              <w:t>No DCFS involvement; no orders of protection; no known DUIs</w:t>
            </w:r>
          </w:p>
        </w:tc>
        <w:tc>
          <w:tcPr>
            <w:tcW w:type="dxa" w:w="3312"/>
          </w:tcPr>
          <w:p>
            <w:r/>
            <w:r>
              <w:rPr>
                <w:b w:val="0"/>
                <w:sz w:val="18"/>
              </w:rPr>
              <w:t>[IQ] §5</w:t>
            </w:r>
          </w:p>
        </w:tc>
      </w:tr>
    </w:tbl>
    <w:p>
      <w:pPr>
        <w:spacing w:after="40"/>
      </w:pPr>
    </w:p>
    <w:p>
      <w:pPr>
        <w:pStyle w:val="Heading1"/>
      </w:pPr>
      <w:r>
        <w:t>4. The Parties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18"/>
              </w:rPr>
            </w:r>
          </w:p>
        </w:tc>
        <w:tc>
          <w:tcPr>
            <w:tcW w:type="dxa" w:w="4032"/>
            <w:shd w:val="clear" w:color="auto" w:fill="1F3A5F"/>
          </w:tcPr>
          <w:p>
            <w:r/>
            <w:r>
              <w:rPr>
                <w:b/>
                <w:color w:val="FFFFFF"/>
                <w:sz w:val="18"/>
              </w:rPr>
              <w:t>Rachel (Client)</w:t>
            </w:r>
          </w:p>
        </w:tc>
        <w:tc>
          <w:tcPr>
            <w:tcW w:type="dxa" w:w="3744"/>
            <w:shd w:val="clear" w:color="auto" w:fill="1F3A5F"/>
          </w:tcPr>
          <w:p>
            <w:r/>
            <w:r>
              <w:rPr>
                <w:b/>
                <w:color w:val="FFFFFF"/>
                <w:sz w:val="18"/>
              </w:rPr>
              <w:t>Derek (Spouse)</w:t>
            </w:r>
          </w:p>
        </w:tc>
      </w:tr>
      <w:tr>
        <w:tc>
          <w:tcPr>
            <w:tcW w:type="dxa" w:w="1872"/>
          </w:tcPr>
          <w:p>
            <w:r/>
            <w:r>
              <w:rPr>
                <w:b w:val="0"/>
                <w:sz w:val="18"/>
              </w:rPr>
              <w:t>Full legal name</w:t>
            </w:r>
          </w:p>
        </w:tc>
        <w:tc>
          <w:tcPr>
            <w:tcW w:type="dxa" w:w="4032"/>
          </w:tcPr>
          <w:p>
            <w:r/>
            <w:r>
              <w:rPr>
                <w:b w:val="0"/>
                <w:sz w:val="18"/>
              </w:rPr>
              <w:t>Rachel Min-Ji Huang-Whitfield (maiden: Rachel Min-Ji Huang)</w:t>
            </w:r>
          </w:p>
        </w:tc>
        <w:tc>
          <w:tcPr>
            <w:tcW w:type="dxa" w:w="3744"/>
          </w:tcPr>
          <w:p>
            <w:r/>
            <w:r>
              <w:rPr>
                <w:b w:val="0"/>
                <w:sz w:val="18"/>
              </w:rPr>
              <w:t>Derek James Whitfield</w:t>
            </w:r>
          </w:p>
        </w:tc>
      </w:tr>
      <w:tr>
        <w:tc>
          <w:tcPr>
            <w:tcW w:type="dxa" w:w="1872"/>
          </w:tcPr>
          <w:p>
            <w:r/>
            <w:r>
              <w:rPr>
                <w:b w:val="0"/>
                <w:sz w:val="18"/>
              </w:rPr>
              <w:t>Date of birth / age</w:t>
            </w:r>
          </w:p>
        </w:tc>
        <w:tc>
          <w:tcPr>
            <w:tcW w:type="dxa" w:w="4032"/>
          </w:tcPr>
          <w:p>
            <w:r/>
            <w:r>
              <w:rPr>
                <w:b w:val="0"/>
                <w:sz w:val="18"/>
              </w:rPr>
              <w:t xml:space="preserve">Mar. 14, 1984 — </w:t>
            </w:r>
            <w:r>
              <w:rPr>
                <w:b/>
                <w:sz w:val="18"/>
              </w:rPr>
              <w:t>age 40</w:t>
            </w:r>
            <w:r>
              <w:rPr>
                <w:b w:val="0"/>
                <w:sz w:val="18"/>
              </w:rPr>
              <w:t xml:space="preserve"> as of Feb. 10, 2025 (form says 41; turns 41 on Mar. 14, 2025)</w:t>
            </w:r>
          </w:p>
        </w:tc>
        <w:tc>
          <w:tcPr>
            <w:tcW w:type="dxa" w:w="3744"/>
          </w:tcPr>
          <w:p>
            <w:r/>
            <w:r>
              <w:rPr>
                <w:b w:val="0"/>
                <w:sz w:val="18"/>
              </w:rPr>
              <w:t>Nov. 2, 1982 — age 42</w:t>
            </w:r>
          </w:p>
        </w:tc>
      </w:tr>
      <w:tr>
        <w:tc>
          <w:tcPr>
            <w:tcW w:type="dxa" w:w="1872"/>
          </w:tcPr>
          <w:p>
            <w:r/>
            <w:r>
              <w:rPr>
                <w:b w:val="0"/>
                <w:sz w:val="18"/>
              </w:rPr>
              <w:t>SSN</w:t>
            </w:r>
          </w:p>
        </w:tc>
        <w:tc>
          <w:tcPr>
            <w:tcW w:type="dxa" w:w="4032"/>
          </w:tcPr>
          <w:p>
            <w:r/>
            <w:r>
              <w:rPr>
                <w:b w:val="0"/>
                <w:sz w:val="18"/>
              </w:rPr>
              <w:t>Last four 7823 (declined to provide full number)</w:t>
            </w:r>
          </w:p>
        </w:tc>
        <w:tc>
          <w:tcPr>
            <w:tcW w:type="dxa" w:w="3744"/>
          </w:tcPr>
          <w:p>
            <w:r/>
            <w:r>
              <w:rPr>
                <w:b w:val="0"/>
                <w:sz w:val="18"/>
              </w:rPr>
              <w:t>Unknown to Client</w:t>
            </w:r>
          </w:p>
        </w:tc>
      </w:tr>
      <w:tr>
        <w:tc>
          <w:tcPr>
            <w:tcW w:type="dxa" w:w="1872"/>
          </w:tcPr>
          <w:p>
            <w:r/>
            <w:r>
              <w:rPr>
                <w:b w:val="0"/>
                <w:sz w:val="18"/>
              </w:rPr>
              <w:t>Residence</w:t>
            </w:r>
          </w:p>
        </w:tc>
        <w:tc>
          <w:tcPr>
            <w:tcW w:type="dxa" w:w="4032"/>
          </w:tcPr>
          <w:p>
            <w:r/>
            <w:r>
              <w:rPr>
                <w:b w:val="0"/>
                <w:sz w:val="18"/>
              </w:rPr>
              <w:t>2918 Ridgeview Terrace, Naperville, IL 60540</w:t>
            </w:r>
          </w:p>
        </w:tc>
        <w:tc>
          <w:tcPr>
            <w:tcW w:type="dxa" w:w="3744"/>
          </w:tcPr>
          <w:p>
            <w:r/>
            <w:r>
              <w:rPr>
                <w:b w:val="0"/>
                <w:sz w:val="18"/>
              </w:rPr>
              <w:t>Same (still in marital home; Client does not believe he plans to leave)</w:t>
            </w:r>
          </w:p>
        </w:tc>
      </w:tr>
      <w:tr>
        <w:tc>
          <w:tcPr>
            <w:tcW w:type="dxa" w:w="1872"/>
          </w:tcPr>
          <w:p>
            <w:r/>
            <w:r>
              <w:rPr>
                <w:b w:val="0"/>
                <w:sz w:val="18"/>
              </w:rPr>
              <w:t>Contact</w:t>
            </w:r>
          </w:p>
        </w:tc>
        <w:tc>
          <w:tcPr>
            <w:tcW w:type="dxa" w:w="4032"/>
          </w:tcPr>
          <w:p>
            <w:r/>
            <w:r>
              <w:rPr>
                <w:b w:val="0"/>
                <w:sz w:val="18"/>
              </w:rPr>
              <w:t xml:space="preserve">Cell (630) 555-8371 [IQ]; signature line in [EM] gives (630) 555-8214; home (630) 555-2194; email listed on form is her </w:t>
            </w:r>
            <w:r>
              <w:rPr>
                <w:b/>
                <w:sz w:val="18"/>
              </w:rPr>
              <w:t>work</w:t>
            </w:r>
            <w:r>
              <w:rPr>
                <w:b w:val="0"/>
                <w:sz w:val="18"/>
              </w:rPr>
              <w:t xml:space="preserve"> address rhuangwhitfield@lakeshoremedgroup.com; [EM] sent from rachel.huangwhitfield@gmail.com</w:t>
            </w:r>
          </w:p>
        </w:tc>
        <w:tc>
          <w:tcPr>
            <w:tcW w:type="dxa" w:w="3744"/>
          </w:tcPr>
          <w:p>
            <w:r/>
            <w:r>
              <w:rPr>
                <w:b w:val="0"/>
                <w:sz w:val="18"/>
              </w:rPr>
              <w:t>—</w:t>
            </w:r>
          </w:p>
        </w:tc>
      </w:tr>
      <w:tr>
        <w:tc>
          <w:tcPr>
            <w:tcW w:type="dxa" w:w="1872"/>
          </w:tcPr>
          <w:p>
            <w:r/>
            <w:r>
              <w:rPr>
                <w:b w:val="0"/>
                <w:sz w:val="18"/>
              </w:rPr>
              <w:t>Citizenship</w:t>
            </w:r>
          </w:p>
        </w:tc>
        <w:tc>
          <w:tcPr>
            <w:tcW w:type="dxa" w:w="4032"/>
          </w:tcPr>
          <w:p>
            <w:r/>
            <w:r>
              <w:rPr>
                <w:b w:val="0"/>
                <w:sz w:val="18"/>
              </w:rPr>
              <w:t>U.S. citizen, born Evanston, IL</w:t>
            </w:r>
          </w:p>
        </w:tc>
        <w:tc>
          <w:tcPr>
            <w:tcW w:type="dxa" w:w="3744"/>
          </w:tcPr>
          <w:p>
            <w:r/>
            <w:r>
              <w:rPr>
                <w:b w:val="0"/>
                <w:sz w:val="18"/>
              </w:rPr>
              <w:t>U.S. citizen (to Client’s knowledge)</w:t>
            </w:r>
          </w:p>
        </w:tc>
      </w:tr>
      <w:tr>
        <w:tc>
          <w:tcPr>
            <w:tcW w:type="dxa" w:w="1872"/>
          </w:tcPr>
          <w:p>
            <w:r/>
            <w:r>
              <w:rPr>
                <w:b w:val="0"/>
                <w:sz w:val="18"/>
              </w:rPr>
              <w:t>Education</w:t>
            </w:r>
          </w:p>
        </w:tc>
        <w:tc>
          <w:tcPr>
            <w:tcW w:type="dxa" w:w="4032"/>
          </w:tcPr>
          <w:p>
            <w:r/>
            <w:r>
              <w:rPr>
                <w:b w:val="0"/>
                <w:sz w:val="18"/>
              </w:rPr>
              <w:t>M.D., Loyola Univ. Chicago Stritch School of Medicine, 2012</w:t>
            </w:r>
          </w:p>
        </w:tc>
        <w:tc>
          <w:tcPr>
            <w:tcW w:type="dxa" w:w="3744"/>
          </w:tcPr>
          <w:p>
            <w:r/>
            <w:r>
              <w:rPr>
                <w:b w:val="0"/>
                <w:sz w:val="18"/>
              </w:rPr>
              <w:t>MBA, Kellogg School of Management, 2009</w:t>
            </w:r>
          </w:p>
        </w:tc>
      </w:tr>
      <w:tr>
        <w:tc>
          <w:tcPr>
            <w:tcW w:type="dxa" w:w="1872"/>
          </w:tcPr>
          <w:p>
            <w:r/>
            <w:r>
              <w:rPr>
                <w:b w:val="0"/>
                <w:sz w:val="18"/>
              </w:rPr>
              <w:t>Employment</w:t>
            </w:r>
          </w:p>
        </w:tc>
        <w:tc>
          <w:tcPr>
            <w:tcW w:type="dxa" w:w="4032"/>
          </w:tcPr>
          <w:p>
            <w:r/>
            <w:r>
              <w:rPr>
                <w:b w:val="0"/>
                <w:sz w:val="18"/>
              </w:rPr>
              <w:t>Staff Psychiatrist, Lakeshore Medical Group, S.C., since 2014 (~11 yrs). M–F 8–5; on call ~12 Saturdays/yr</w:t>
            </w:r>
          </w:p>
        </w:tc>
        <w:tc>
          <w:tcPr>
            <w:tcW w:type="dxa" w:w="3744"/>
          </w:tcPr>
          <w:p>
            <w:r/>
            <w:r>
              <w:rPr>
                <w:b w:val="0"/>
                <w:sz w:val="18"/>
              </w:rPr>
              <w:t>Self-employed; sole member, Whitfield Digital Consulting, LLC (IL LLC formed Sept. 2018)</w:t>
            </w:r>
          </w:p>
        </w:tc>
      </w:tr>
      <w:tr>
        <w:tc>
          <w:tcPr>
            <w:tcW w:type="dxa" w:w="1872"/>
          </w:tcPr>
          <w:p>
            <w:r/>
            <w:r>
              <w:rPr>
                <w:b w:val="0"/>
                <w:sz w:val="18"/>
              </w:rPr>
              <w:t>2024 gross income (per Client)</w:t>
            </w:r>
          </w:p>
        </w:tc>
        <w:tc>
          <w:tcPr>
            <w:tcW w:type="dxa" w:w="4032"/>
          </w:tcPr>
          <w:p>
            <w:r/>
            <w:r>
              <w:rPr>
                <w:b w:val="0"/>
                <w:sz w:val="18"/>
              </w:rPr>
              <w:t>$287,000 (W-2) + undisclosed cabin rental receipts (~$10,800 peak-season gross)</w:t>
            </w:r>
          </w:p>
        </w:tc>
        <w:tc>
          <w:tcPr>
            <w:tcW w:type="dxa" w:w="3744"/>
          </w:tcPr>
          <w:p>
            <w:r/>
            <w:r>
              <w:rPr>
                <w:b w:val="0"/>
                <w:sz w:val="18"/>
              </w:rPr>
              <w:t>$195,000 net on Schedule C; gross revenue ~$640,000 (~$445,000 expenses claimed)</w:t>
            </w:r>
          </w:p>
        </w:tc>
      </w:tr>
      <w:tr>
        <w:tc>
          <w:tcPr>
            <w:tcW w:type="dxa" w:w="1872"/>
          </w:tcPr>
          <w:p>
            <w:r/>
            <w:r>
              <w:rPr>
                <w:b w:val="0"/>
                <w:sz w:val="18"/>
              </w:rPr>
              <w:t>Health insurance</w:t>
            </w:r>
          </w:p>
        </w:tc>
        <w:tc>
          <w:tcPr>
            <w:tcW w:type="dxa" w:w="4032"/>
          </w:tcPr>
          <w:p>
            <w:r/>
            <w:r>
              <w:rPr>
                <w:b w:val="0"/>
                <w:sz w:val="18"/>
              </w:rPr>
              <w:t>Employer plan (Lakeshore) covers Rachel and all three children</w:t>
            </w:r>
          </w:p>
        </w:tc>
        <w:tc>
          <w:tcPr>
            <w:tcW w:type="dxa" w:w="3744"/>
          </w:tcPr>
          <w:p>
            <w:r/>
            <w:r>
              <w:rPr>
                <w:b w:val="0"/>
                <w:sz w:val="18"/>
              </w:rPr>
              <w:t>Individual ACA Marketplace plan, ~$620/mo.</w:t>
            </w:r>
          </w:p>
        </w:tc>
      </w:tr>
      <w:tr>
        <w:tc>
          <w:tcPr>
            <w:tcW w:type="dxa" w:w="1872"/>
          </w:tcPr>
          <w:p>
            <w:r/>
            <w:r>
              <w:rPr>
                <w:b w:val="0"/>
                <w:sz w:val="18"/>
              </w:rPr>
              <w:t>Retirement</w:t>
            </w:r>
          </w:p>
        </w:tc>
        <w:tc>
          <w:tcPr>
            <w:tcW w:type="dxa" w:w="4032"/>
          </w:tcPr>
          <w:p>
            <w:r/>
            <w:r>
              <w:rPr>
                <w:b w:val="0"/>
                <w:sz w:val="18"/>
              </w:rPr>
              <w:t>401(k) via Lakeshore (administered by “Saxonbrook”), ~$523,000</w:t>
            </w:r>
          </w:p>
        </w:tc>
        <w:tc>
          <w:tcPr>
            <w:tcW w:type="dxa" w:w="3744"/>
          </w:tcPr>
          <w:p>
            <w:r/>
            <w:r>
              <w:rPr>
                <w:b w:val="0"/>
                <w:sz w:val="18"/>
              </w:rPr>
              <w:t>SEP-IRA at Hartleigh, ~$189,000</w:t>
            </w:r>
          </w:p>
        </w:tc>
      </w:tr>
      <w:tr>
        <w:tc>
          <w:tcPr>
            <w:tcW w:type="dxa" w:w="1872"/>
          </w:tcPr>
          <w:p>
            <w:r/>
            <w:r>
              <w:rPr>
                <w:b w:val="0"/>
                <w:sz w:val="18"/>
              </w:rPr>
              <w:t>Counsel</w:t>
            </w:r>
          </w:p>
        </w:tc>
        <w:tc>
          <w:tcPr>
            <w:tcW w:type="dxa" w:w="4032"/>
          </w:tcPr>
          <w:p>
            <w:r/>
            <w:r>
              <w:rPr>
                <w:b w:val="0"/>
                <w:sz w:val="18"/>
              </w:rPr>
              <w:t>Bellmore &amp; Associates, P.C.</w:t>
            </w:r>
          </w:p>
        </w:tc>
        <w:tc>
          <w:tcPr>
            <w:tcW w:type="dxa" w:w="3744"/>
          </w:tcPr>
          <w:p>
            <w:r/>
            <w:r>
              <w:rPr>
                <w:b w:val="0"/>
                <w:sz w:val="18"/>
              </w:rPr>
              <w:t>Calder &amp; Rourke, LLP</w:t>
            </w:r>
          </w:p>
        </w:tc>
      </w:tr>
    </w:tbl>
    <w:p>
      <w:pPr>
        <w:spacing w:after="40"/>
      </w:pPr>
    </w:p>
    <w:p>
      <w:pPr>
        <w:pStyle w:val="Heading1"/>
      </w:pPr>
      <w:r>
        <w:t>5. Children and Parenting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val="clear" w:color="auto" w:fill="1F3A5F"/>
          </w:tcPr>
          <w:p>
            <w:r/>
            <w:r>
              <w:rPr>
                <w:b/>
                <w:color w:val="FFFFFF"/>
                <w:sz w:val="18"/>
              </w:rPr>
              <w:t>Child</w:t>
            </w:r>
          </w:p>
        </w:tc>
        <w:tc>
          <w:tcPr>
            <w:tcW w:type="dxa" w:w="1224"/>
            <w:shd w:val="clear" w:color="auto" w:fill="1F3A5F"/>
          </w:tcPr>
          <w:p>
            <w:r/>
            <w:r>
              <w:rPr>
                <w:b/>
                <w:color w:val="FFFFFF"/>
                <w:sz w:val="18"/>
              </w:rPr>
              <w:t>DOB</w:t>
            </w:r>
          </w:p>
        </w:tc>
        <w:tc>
          <w:tcPr>
            <w:tcW w:type="dxa" w:w="1728"/>
            <w:shd w:val="clear" w:color="auto" w:fill="1F3A5F"/>
          </w:tcPr>
          <w:p>
            <w:r/>
            <w:r>
              <w:rPr>
                <w:b/>
                <w:color w:val="FFFFFF"/>
                <w:sz w:val="18"/>
              </w:rPr>
              <w:t>Age (Feb. 2025)</w:t>
            </w:r>
          </w:p>
        </w:tc>
        <w:tc>
          <w:tcPr>
            <w:tcW w:type="dxa" w:w="2520"/>
            <w:shd w:val="clear" w:color="auto" w:fill="1F3A5F"/>
          </w:tcPr>
          <w:p>
            <w:r/>
            <w:r>
              <w:rPr>
                <w:b/>
                <w:color w:val="FFFFFF"/>
                <w:sz w:val="18"/>
              </w:rPr>
              <w:t>School / activities</w:t>
            </w:r>
          </w:p>
        </w:tc>
        <w:tc>
          <w:tcPr>
            <w:tcW w:type="dxa" w:w="2448"/>
            <w:shd w:val="clear" w:color="auto" w:fill="1F3A5F"/>
          </w:tcPr>
          <w:p>
            <w:r/>
            <w:r>
              <w:rPr>
                <w:b/>
                <w:color w:val="FFFFFF"/>
                <w:sz w:val="18"/>
              </w:rPr>
              <w:t>Special needs / notes</w:t>
            </w:r>
          </w:p>
        </w:tc>
      </w:tr>
      <w:tr>
        <w:tc>
          <w:tcPr>
            <w:tcW w:type="dxa" w:w="1728"/>
          </w:tcPr>
          <w:p>
            <w:r/>
            <w:r>
              <w:rPr>
                <w:b w:val="0"/>
                <w:sz w:val="18"/>
              </w:rPr>
              <w:t>Ethan James Whitfield</w:t>
            </w:r>
          </w:p>
        </w:tc>
        <w:tc>
          <w:tcPr>
            <w:tcW w:type="dxa" w:w="1224"/>
          </w:tcPr>
          <w:p>
            <w:r/>
            <w:r>
              <w:rPr>
                <w:b w:val="0"/>
                <w:sz w:val="18"/>
              </w:rPr>
              <w:t>June 11, 2014</w:t>
            </w:r>
          </w:p>
        </w:tc>
        <w:tc>
          <w:tcPr>
            <w:tcW w:type="dxa" w:w="1728"/>
          </w:tcPr>
          <w:p>
            <w:r/>
            <w:r>
              <w:rPr>
                <w:b/>
                <w:sz w:val="18"/>
              </w:rPr>
              <w:t>10</w:t>
            </w:r>
            <w:r>
              <w:rPr>
                <w:b w:val="0"/>
                <w:sz w:val="18"/>
              </w:rPr>
              <w:t xml:space="preserve"> (form says “11 (will turn 11 in June 2025)” — internally inconsistent)</w:t>
            </w:r>
          </w:p>
        </w:tc>
        <w:tc>
          <w:tcPr>
            <w:tcW w:type="dxa" w:w="2520"/>
          </w:tcPr>
          <w:p>
            <w:r/>
            <w:r>
              <w:rPr>
                <w:b w:val="0"/>
                <w:sz w:val="18"/>
              </w:rPr>
              <w:t>Meadow Creek Elementary, 5th grade; travel soccer Tue/Thu evenings (Derek takes him); ~$300/mo.</w:t>
            </w:r>
          </w:p>
        </w:tc>
        <w:tc>
          <w:tcPr>
            <w:tcW w:type="dxa" w:w="2448"/>
          </w:tcPr>
          <w:p>
            <w:r/>
            <w:r>
              <w:rPr>
                <w:b w:val="0"/>
                <w:sz w:val="18"/>
              </w:rPr>
              <w:t>None academically. Recipient of $7,200 gaming PC (June 2024) that Derek booked as a business expense.</w:t>
            </w:r>
          </w:p>
        </w:tc>
      </w:tr>
      <w:tr>
        <w:tc>
          <w:tcPr>
            <w:tcW w:type="dxa" w:w="1728"/>
          </w:tcPr>
          <w:p>
            <w:r/>
            <w:r>
              <w:rPr>
                <w:b w:val="0"/>
                <w:sz w:val="18"/>
              </w:rPr>
              <w:t>Lily Huang Whitfield</w:t>
            </w:r>
          </w:p>
        </w:tc>
        <w:tc>
          <w:tcPr>
            <w:tcW w:type="dxa" w:w="1224"/>
          </w:tcPr>
          <w:p>
            <w:r/>
            <w:r>
              <w:rPr>
                <w:b w:val="0"/>
                <w:sz w:val="18"/>
              </w:rPr>
              <w:t>Sept. 3, 2017</w:t>
            </w:r>
          </w:p>
        </w:tc>
        <w:tc>
          <w:tcPr>
            <w:tcW w:type="dxa" w:w="1728"/>
          </w:tcPr>
          <w:p>
            <w:r/>
            <w:r>
              <w:rPr>
                <w:b w:val="0"/>
                <w:sz w:val="18"/>
              </w:rPr>
              <w:t>7</w:t>
            </w:r>
          </w:p>
        </w:tc>
        <w:tc>
          <w:tcPr>
            <w:tcW w:type="dxa" w:w="2520"/>
          </w:tcPr>
          <w:p>
            <w:r/>
            <w:r>
              <w:rPr>
                <w:b w:val="0"/>
                <w:sz w:val="18"/>
              </w:rPr>
              <w:t>Meadow Creek Elementary, 2nd grade; ballet $150/mo.</w:t>
            </w:r>
          </w:p>
        </w:tc>
        <w:tc>
          <w:tcPr>
            <w:tcW w:type="dxa" w:w="2448"/>
          </w:tcPr>
          <w:p>
            <w:r/>
            <w:r>
              <w:rPr>
                <w:b w:val="0"/>
                <w:sz w:val="18"/>
              </w:rPr>
              <w:t>None. (Born two days after Illinois’ Sept. 1 kindergarten cut-off — 2nd-grade placement is possible but worth confirming.)</w:t>
            </w:r>
          </w:p>
        </w:tc>
      </w:tr>
      <w:tr>
        <w:tc>
          <w:tcPr>
            <w:tcW w:type="dxa" w:w="1728"/>
          </w:tcPr>
          <w:p>
            <w:r/>
            <w:r>
              <w:rPr>
                <w:b w:val="0"/>
                <w:sz w:val="18"/>
              </w:rPr>
              <w:t>Owen Derek Whitfield</w:t>
            </w:r>
          </w:p>
        </w:tc>
        <w:tc>
          <w:tcPr>
            <w:tcW w:type="dxa" w:w="1224"/>
          </w:tcPr>
          <w:p>
            <w:r/>
            <w:r>
              <w:rPr>
                <w:b w:val="0"/>
                <w:sz w:val="18"/>
              </w:rPr>
              <w:t>Jan. 20, 2021</w:t>
            </w:r>
          </w:p>
        </w:tc>
        <w:tc>
          <w:tcPr>
            <w:tcW w:type="dxa" w:w="1728"/>
          </w:tcPr>
          <w:p>
            <w:r/>
            <w:r>
              <w:rPr>
                <w:b w:val="0"/>
                <w:sz w:val="18"/>
              </w:rPr>
              <w:t>4</w:t>
            </w:r>
          </w:p>
        </w:tc>
        <w:tc>
          <w:tcPr>
            <w:tcW w:type="dxa" w:w="2520"/>
          </w:tcPr>
          <w:p>
            <w:r/>
            <w:r>
              <w:rPr>
                <w:b w:val="0"/>
                <w:sz w:val="18"/>
              </w:rPr>
              <w:t>Bright Horizons Preschool, Naperville; $1,800/mo.</w:t>
            </w:r>
          </w:p>
        </w:tc>
        <w:tc>
          <w:tcPr>
            <w:tcW w:type="dxa" w:w="2448"/>
          </w:tcPr>
          <w:p>
            <w:r/>
            <w:r>
              <w:rPr>
                <w:b w:val="0"/>
                <w:sz w:val="18"/>
              </w:rPr>
              <w:t>Speech delay; therapy twice weekly at DuPage Easter Seals, $40 copay/session. [IQ] says services are “through Early Intervention” — Illinois EI ends at age 3 (Owen turned 3 in Jan. 2024); confirm current program and payor.</w:t>
            </w:r>
          </w:p>
        </w:tc>
      </w:tr>
    </w:tbl>
    <w:p>
      <w:pPr>
        <w:spacing w:after="40"/>
      </w:pPr>
    </w:p>
    <w:p>
      <w:pPr>
        <w:pStyle w:val="Heading2"/>
      </w:pPr>
      <w:r>
        <w:t>5.1 Current informal arrangement (per Client)</w:t>
      </w:r>
    </w:p>
    <w:p>
      <w:pPr>
        <w:pStyle w:val="ListBullet"/>
        <w:spacing w:after="40"/>
      </w:pPr>
      <w:r>
        <w:rPr>
          <w:b w:val="0"/>
          <w:i w:val="0"/>
        </w:rPr>
        <w:t>Derek: school drop-off and pick-up for Ethan and Lily Monday, Wednesday and Friday; attends all of Ethan’s travel-soccer practices Tuesday and Thursday evenings.</w:t>
      </w:r>
    </w:p>
    <w:p>
      <w:pPr>
        <w:pStyle w:val="ListBullet"/>
        <w:spacing w:after="40"/>
      </w:pPr>
      <w:r>
        <w:rPr>
          <w:b w:val="0"/>
          <w:i w:val="0"/>
        </w:rPr>
        <w:t>Rachel: medical appointments, all of Owen’s speech-therapy sessions, homework, bedtime routines, meal planning, scheduling (“mental load”). Note: she works M–F 8:00–5:00, so we should confirm how she attends twice-weekly therapy sessions (session times/records) before relying on that assertion.</w:t>
      </w:r>
    </w:p>
    <w:p>
      <w:pPr>
        <w:pStyle w:val="ListBullet"/>
        <w:spacing w:after="40"/>
      </w:pPr>
      <w:r>
        <w:rPr>
          <w:b w:val="0"/>
          <w:i w:val="0"/>
        </w:rPr>
        <w:t>Concerns raised: Derek “drinks too much on weekends” (never observed incapacitated; no DUIs); one incident of yelling at Ethan in Sept. 2024 (details not recalled); on weekends he is “on his laptop or on the couch with a beer.” No DCFS involvement, no orders of protection.</w:t>
      </w:r>
    </w:p>
    <w:p>
      <w:pPr>
        <w:pStyle w:val="Heading2"/>
      </w:pPr>
      <w:r>
        <w:t>5.2 Client’s objective and preliminary observations</w:t>
      </w:r>
    </w:p>
    <w:p>
      <w:pPr>
        <w:pStyle w:val="ListBullet"/>
        <w:spacing w:after="40"/>
      </w:pPr>
      <w:r>
        <w:rPr>
          <w:b w:val="0"/>
          <w:i w:val="0"/>
        </w:rPr>
        <w:t>Seeks “primary residential custody” of all three children and to remain in the marital home and school district ([IQ] §§5, 14; [EM]). In Illinois terms this is an allocation of majority parenting time and decision-making responsibility (750 ILCS 5/602.5, 602.7) — the Client should be introduced to that vocabulary.</w:t>
      </w:r>
    </w:p>
    <w:p>
      <w:pPr>
        <w:pStyle w:val="ListBullet"/>
        <w:spacing w:after="40"/>
      </w:pPr>
      <w:r>
        <w:rPr>
          <w:b w:val="0"/>
          <w:i w:val="0"/>
        </w:rPr>
        <w:t>Derek’s documented, regular involvement (five recurring weekday commitments) will support a request for substantial parenting time. If Derek reaches 146 or more overnights per year, the shared-physical-care child-support calculation applies (750 ILCS 5/505(a)(3.8)). The current alcohol and yelling concerns, as described, are unlikely on their own to restrict his time; Client also says she does not want to be “unreasonable” about his weekday routine.</w:t>
      </w:r>
    </w:p>
    <w:p>
      <w:pPr>
        <w:pStyle w:val="ListBullet"/>
        <w:spacing w:after="40"/>
      </w:pPr>
      <w:r>
        <w:rPr>
          <w:b w:val="0"/>
          <w:i w:val="0"/>
        </w:rPr>
        <w:t>Stability of Owen’s therapy routine is a legitimate best-interest theme; gather therapy attendance records and provider contacts.</w:t>
      </w:r>
    </w:p>
    <w:p>
      <w:pPr>
        <w:pStyle w:val="Heading1"/>
      </w:pPr>
      <w:r>
        <w:t>6. Key Chronology</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18"/>
              </w:rPr>
              <w:t>Date</w:t>
            </w:r>
          </w:p>
        </w:tc>
        <w:tc>
          <w:tcPr>
            <w:tcW w:type="dxa" w:w="6192"/>
            <w:shd w:val="clear" w:color="auto" w:fill="1F3A5F"/>
          </w:tcPr>
          <w:p>
            <w:r/>
            <w:r>
              <w:rPr>
                <w:b/>
                <w:color w:val="FFFFFF"/>
                <w:sz w:val="18"/>
              </w:rPr>
              <w:t>Event</w:t>
            </w:r>
          </w:p>
        </w:tc>
        <w:tc>
          <w:tcPr>
            <w:tcW w:type="dxa" w:w="1584"/>
            <w:shd w:val="clear" w:color="auto" w:fill="1F3A5F"/>
          </w:tcPr>
          <w:p>
            <w:r/>
            <w:r>
              <w:rPr>
                <w:b/>
                <w:color w:val="FFFFFF"/>
                <w:sz w:val="18"/>
              </w:rPr>
              <w:t>Source</w:t>
            </w:r>
          </w:p>
        </w:tc>
      </w:tr>
      <w:tr>
        <w:tc>
          <w:tcPr>
            <w:tcW w:type="dxa" w:w="1872"/>
          </w:tcPr>
          <w:p>
            <w:r/>
            <w:r>
              <w:rPr>
                <w:b w:val="0"/>
                <w:sz w:val="18"/>
              </w:rPr>
              <w:t>Nov. 2, 1982</w:t>
            </w:r>
          </w:p>
        </w:tc>
        <w:tc>
          <w:tcPr>
            <w:tcW w:type="dxa" w:w="6192"/>
          </w:tcPr>
          <w:p>
            <w:r/>
            <w:r>
              <w:rPr>
                <w:b w:val="0"/>
                <w:sz w:val="18"/>
              </w:rPr>
              <w:t>Derek born</w:t>
            </w:r>
          </w:p>
        </w:tc>
        <w:tc>
          <w:tcPr>
            <w:tcW w:type="dxa" w:w="1584"/>
          </w:tcPr>
          <w:p>
            <w:r/>
            <w:r>
              <w:rPr>
                <w:b w:val="0"/>
                <w:sz w:val="18"/>
              </w:rPr>
              <w:t>[IQ]</w:t>
            </w:r>
          </w:p>
        </w:tc>
      </w:tr>
      <w:tr>
        <w:tc>
          <w:tcPr>
            <w:tcW w:type="dxa" w:w="1872"/>
          </w:tcPr>
          <w:p>
            <w:r/>
            <w:r>
              <w:rPr>
                <w:b w:val="0"/>
                <w:sz w:val="18"/>
              </w:rPr>
              <w:t>Mar. 14, 1984</w:t>
            </w:r>
          </w:p>
        </w:tc>
        <w:tc>
          <w:tcPr>
            <w:tcW w:type="dxa" w:w="6192"/>
          </w:tcPr>
          <w:p>
            <w:r/>
            <w:r>
              <w:rPr>
                <w:b w:val="0"/>
                <w:sz w:val="18"/>
              </w:rPr>
              <w:t>Rachel born</w:t>
            </w:r>
          </w:p>
        </w:tc>
        <w:tc>
          <w:tcPr>
            <w:tcW w:type="dxa" w:w="1584"/>
          </w:tcPr>
          <w:p>
            <w:r/>
            <w:r>
              <w:rPr>
                <w:b w:val="0"/>
                <w:sz w:val="18"/>
              </w:rPr>
              <w:t>[IQ]</w:t>
            </w:r>
          </w:p>
        </w:tc>
      </w:tr>
      <w:tr>
        <w:tc>
          <w:tcPr>
            <w:tcW w:type="dxa" w:w="1872"/>
          </w:tcPr>
          <w:p>
            <w:r/>
            <w:r>
              <w:rPr>
                <w:b w:val="0"/>
                <w:sz w:val="18"/>
              </w:rPr>
              <w:t>2008</w:t>
            </w:r>
          </w:p>
        </w:tc>
        <w:tc>
          <w:tcPr>
            <w:tcW w:type="dxa" w:w="6192"/>
          </w:tcPr>
          <w:p>
            <w:r/>
            <w:r>
              <w:rPr>
                <w:b w:val="0"/>
                <w:sz w:val="18"/>
              </w:rPr>
              <w:t>Rachel opens Whitcroft brokerage account (pre-marital)</w:t>
            </w:r>
          </w:p>
        </w:tc>
        <w:tc>
          <w:tcPr>
            <w:tcW w:type="dxa" w:w="1584"/>
          </w:tcPr>
          <w:p>
            <w:r/>
            <w:r>
              <w:rPr>
                <w:b w:val="0"/>
                <w:sz w:val="18"/>
              </w:rPr>
              <w:t>[IQ] §§8C, 15</w:t>
            </w:r>
          </w:p>
        </w:tc>
      </w:tr>
      <w:tr>
        <w:tc>
          <w:tcPr>
            <w:tcW w:type="dxa" w:w="1872"/>
          </w:tcPr>
          <w:p>
            <w:r/>
            <w:r>
              <w:rPr>
                <w:b w:val="0"/>
                <w:sz w:val="18"/>
              </w:rPr>
              <w:t>2009</w:t>
            </w:r>
          </w:p>
        </w:tc>
        <w:tc>
          <w:tcPr>
            <w:tcW w:type="dxa" w:w="6192"/>
          </w:tcPr>
          <w:p>
            <w:r/>
            <w:r>
              <w:rPr>
                <w:b w:val="0"/>
                <w:sz w:val="18"/>
              </w:rPr>
              <w:t>Derek earns MBA (Kellogg); his student loans incurred pre-marriage</w:t>
            </w:r>
          </w:p>
        </w:tc>
        <w:tc>
          <w:tcPr>
            <w:tcW w:type="dxa" w:w="1584"/>
          </w:tcPr>
          <w:p>
            <w:r/>
            <w:r>
              <w:rPr>
                <w:b w:val="0"/>
                <w:sz w:val="18"/>
              </w:rPr>
              <w:t>[IQ] §§2, 10</w:t>
            </w:r>
          </w:p>
        </w:tc>
      </w:tr>
      <w:tr>
        <w:tc>
          <w:tcPr>
            <w:tcW w:type="dxa" w:w="1872"/>
          </w:tcPr>
          <w:p>
            <w:r/>
            <w:r>
              <w:rPr>
                <w:b w:val="0"/>
                <w:sz w:val="18"/>
              </w:rPr>
              <w:t>Aug. 2, 2011</w:t>
            </w:r>
          </w:p>
        </w:tc>
        <w:tc>
          <w:tcPr>
            <w:tcW w:type="dxa" w:w="6192"/>
          </w:tcPr>
          <w:p>
            <w:r/>
            <w:r>
              <w:rPr>
                <w:b w:val="0"/>
                <w:sz w:val="18"/>
              </w:rPr>
              <w:t>Prenuptial Agreement executed and notarized (Lake County); drafted by Harold Finch, Esq. (Derek’s counsel)</w:t>
            </w:r>
          </w:p>
        </w:tc>
        <w:tc>
          <w:tcPr>
            <w:tcW w:type="dxa" w:w="1584"/>
          </w:tcPr>
          <w:p>
            <w:r/>
            <w:r>
              <w:rPr>
                <w:b w:val="0"/>
                <w:sz w:val="18"/>
              </w:rPr>
              <w:t>[PN]; [IQ] §4</w:t>
            </w:r>
          </w:p>
        </w:tc>
      </w:tr>
      <w:tr>
        <w:tc>
          <w:tcPr>
            <w:tcW w:type="dxa" w:w="1872"/>
          </w:tcPr>
          <w:p>
            <w:r/>
            <w:r>
              <w:rPr>
                <w:b w:val="0"/>
                <w:sz w:val="18"/>
              </w:rPr>
              <w:t>Aug. 18, 2011</w:t>
            </w:r>
          </w:p>
        </w:tc>
        <w:tc>
          <w:tcPr>
            <w:tcW w:type="dxa" w:w="6192"/>
          </w:tcPr>
          <w:p>
            <w:r/>
            <w:r>
              <w:rPr>
                <w:b w:val="0"/>
                <w:sz w:val="18"/>
              </w:rPr>
              <w:t>Marriage, Lake Forest, IL. Whitcroft balance ~$45,000 at this date</w:t>
            </w:r>
          </w:p>
        </w:tc>
        <w:tc>
          <w:tcPr>
            <w:tcW w:type="dxa" w:w="1584"/>
          </w:tcPr>
          <w:p>
            <w:r/>
            <w:r>
              <w:rPr>
                <w:b w:val="0"/>
                <w:sz w:val="18"/>
              </w:rPr>
              <w:t>[IQ] §§3, 8C</w:t>
            </w:r>
          </w:p>
        </w:tc>
      </w:tr>
      <w:tr>
        <w:tc>
          <w:tcPr>
            <w:tcW w:type="dxa" w:w="1872"/>
          </w:tcPr>
          <w:p>
            <w:r/>
            <w:r>
              <w:rPr>
                <w:b w:val="0"/>
                <w:sz w:val="18"/>
              </w:rPr>
              <w:t>2012</w:t>
            </w:r>
          </w:p>
        </w:tc>
        <w:tc>
          <w:tcPr>
            <w:tcW w:type="dxa" w:w="6192"/>
          </w:tcPr>
          <w:p>
            <w:r/>
            <w:r>
              <w:rPr>
                <w:b w:val="0"/>
                <w:sz w:val="18"/>
              </w:rPr>
              <w:t>Rachel earns M.D. (Loyola Stritch); ~$180,000 med-school loans (part incurred during marriage)</w:t>
            </w:r>
          </w:p>
        </w:tc>
        <w:tc>
          <w:tcPr>
            <w:tcW w:type="dxa" w:w="1584"/>
          </w:tcPr>
          <w:p>
            <w:r/>
            <w:r>
              <w:rPr>
                <w:b w:val="0"/>
                <w:sz w:val="18"/>
              </w:rPr>
              <w:t>[IQ] §§1, 10</w:t>
            </w:r>
          </w:p>
        </w:tc>
      </w:tr>
      <w:tr>
        <w:tc>
          <w:tcPr>
            <w:tcW w:type="dxa" w:w="1872"/>
          </w:tcPr>
          <w:p>
            <w:r/>
            <w:r>
              <w:rPr>
                <w:b w:val="0"/>
                <w:sz w:val="18"/>
              </w:rPr>
              <w:t>2014</w:t>
            </w:r>
          </w:p>
        </w:tc>
        <w:tc>
          <w:tcPr>
            <w:tcW w:type="dxa" w:w="6192"/>
          </w:tcPr>
          <w:p>
            <w:r/>
            <w:r>
              <w:rPr>
                <w:b w:val="0"/>
                <w:sz w:val="18"/>
              </w:rPr>
              <w:t>Rachel begins at Lakeshore Medical Group; 401(k) contributions begin</w:t>
            </w:r>
          </w:p>
        </w:tc>
        <w:tc>
          <w:tcPr>
            <w:tcW w:type="dxa" w:w="1584"/>
          </w:tcPr>
          <w:p>
            <w:r/>
            <w:r>
              <w:rPr>
                <w:b w:val="0"/>
                <w:sz w:val="18"/>
              </w:rPr>
              <w:t>[IQ] §§1, 8A</w:t>
            </w:r>
          </w:p>
        </w:tc>
      </w:tr>
      <w:tr>
        <w:tc>
          <w:tcPr>
            <w:tcW w:type="dxa" w:w="1872"/>
          </w:tcPr>
          <w:p>
            <w:r/>
            <w:r>
              <w:rPr>
                <w:b w:val="0"/>
                <w:sz w:val="18"/>
              </w:rPr>
              <w:t>June 11, 2014</w:t>
            </w:r>
          </w:p>
        </w:tc>
        <w:tc>
          <w:tcPr>
            <w:tcW w:type="dxa" w:w="6192"/>
          </w:tcPr>
          <w:p>
            <w:r/>
            <w:r>
              <w:rPr>
                <w:b w:val="0"/>
                <w:sz w:val="18"/>
              </w:rPr>
              <w:t>Ethan born</w:t>
            </w:r>
          </w:p>
        </w:tc>
        <w:tc>
          <w:tcPr>
            <w:tcW w:type="dxa" w:w="1584"/>
          </w:tcPr>
          <w:p>
            <w:r/>
            <w:r>
              <w:rPr>
                <w:b w:val="0"/>
                <w:sz w:val="18"/>
              </w:rPr>
              <w:t>[IQ]</w:t>
            </w:r>
          </w:p>
        </w:tc>
      </w:tr>
      <w:tr>
        <w:tc>
          <w:tcPr>
            <w:tcW w:type="dxa" w:w="1872"/>
          </w:tcPr>
          <w:p>
            <w:r/>
            <w:r>
              <w:rPr>
                <w:b w:val="0"/>
                <w:sz w:val="18"/>
              </w:rPr>
              <w:t>Mar. 15, 2016</w:t>
            </w:r>
          </w:p>
        </w:tc>
        <w:tc>
          <w:tcPr>
            <w:tcW w:type="dxa" w:w="6192"/>
          </w:tcPr>
          <w:p>
            <w:r/>
            <w:r>
              <w:rPr>
                <w:b w:val="0"/>
                <w:sz w:val="18"/>
              </w:rPr>
              <w:t>Marital home purchased, $685,000; $137,000 down ($80,000 or $90,000 parental gift + $57,000 or $47,000 joint savings); JTWROS</w:t>
            </w:r>
          </w:p>
        </w:tc>
        <w:tc>
          <w:tcPr>
            <w:tcW w:type="dxa" w:w="1584"/>
          </w:tcPr>
          <w:p>
            <w:r/>
            <w:r>
              <w:rPr>
                <w:b w:val="0"/>
                <w:sz w:val="18"/>
              </w:rPr>
              <w:t>[IQ] §6A; [EM]</w:t>
            </w:r>
          </w:p>
        </w:tc>
      </w:tr>
      <w:tr>
        <w:tc>
          <w:tcPr>
            <w:tcW w:type="dxa" w:w="1872"/>
          </w:tcPr>
          <w:p>
            <w:r/>
            <w:r>
              <w:rPr>
                <w:b w:val="0"/>
                <w:sz w:val="18"/>
              </w:rPr>
              <w:t>2017</w:t>
            </w:r>
          </w:p>
        </w:tc>
        <w:tc>
          <w:tcPr>
            <w:tcW w:type="dxa" w:w="6192"/>
          </w:tcPr>
          <w:p>
            <w:r/>
            <w:r>
              <w:rPr>
                <w:b w:val="0"/>
                <w:sz w:val="18"/>
              </w:rPr>
              <w:t>Derek pays off his student loans (during marriage)</w:t>
            </w:r>
          </w:p>
        </w:tc>
        <w:tc>
          <w:tcPr>
            <w:tcW w:type="dxa" w:w="1584"/>
          </w:tcPr>
          <w:p>
            <w:r/>
            <w:r>
              <w:rPr>
                <w:b w:val="0"/>
                <w:sz w:val="18"/>
              </w:rPr>
              <w:t>[IQ] §10</w:t>
            </w:r>
          </w:p>
        </w:tc>
      </w:tr>
      <w:tr>
        <w:tc>
          <w:tcPr>
            <w:tcW w:type="dxa" w:w="1872"/>
          </w:tcPr>
          <w:p>
            <w:r/>
            <w:r>
              <w:rPr>
                <w:b w:val="0"/>
                <w:sz w:val="18"/>
              </w:rPr>
              <w:t>Sept. 3, 2017</w:t>
            </w:r>
          </w:p>
        </w:tc>
        <w:tc>
          <w:tcPr>
            <w:tcW w:type="dxa" w:w="6192"/>
          </w:tcPr>
          <w:p>
            <w:r/>
            <w:r>
              <w:rPr>
                <w:b w:val="0"/>
                <w:sz w:val="18"/>
              </w:rPr>
              <w:t>Lily born</w:t>
            </w:r>
          </w:p>
        </w:tc>
        <w:tc>
          <w:tcPr>
            <w:tcW w:type="dxa" w:w="1584"/>
          </w:tcPr>
          <w:p>
            <w:r/>
            <w:r>
              <w:rPr>
                <w:b w:val="0"/>
                <w:sz w:val="18"/>
              </w:rPr>
              <w:t>[IQ]</w:t>
            </w:r>
          </w:p>
        </w:tc>
      </w:tr>
      <w:tr>
        <w:tc>
          <w:tcPr>
            <w:tcW w:type="dxa" w:w="1872"/>
          </w:tcPr>
          <w:p>
            <w:r/>
            <w:r>
              <w:rPr>
                <w:b w:val="0"/>
                <w:sz w:val="18"/>
              </w:rPr>
              <w:t>Sept. 2018</w:t>
            </w:r>
          </w:p>
        </w:tc>
        <w:tc>
          <w:tcPr>
            <w:tcW w:type="dxa" w:w="6192"/>
          </w:tcPr>
          <w:p>
            <w:r/>
            <w:r>
              <w:rPr>
                <w:b w:val="0"/>
                <w:sz w:val="18"/>
              </w:rPr>
              <w:t>Whitfield Digital Consulting, LLC formed (during marriage)</w:t>
            </w:r>
          </w:p>
        </w:tc>
        <w:tc>
          <w:tcPr>
            <w:tcW w:type="dxa" w:w="1584"/>
          </w:tcPr>
          <w:p>
            <w:r/>
            <w:r>
              <w:rPr>
                <w:b w:val="0"/>
                <w:sz w:val="18"/>
              </w:rPr>
              <w:t>[IQ] §§2, 7</w:t>
            </w:r>
          </w:p>
        </w:tc>
      </w:tr>
      <w:tr>
        <w:tc>
          <w:tcPr>
            <w:tcW w:type="dxa" w:w="1872"/>
          </w:tcPr>
          <w:p>
            <w:r/>
            <w:r>
              <w:rPr>
                <w:b w:val="0"/>
                <w:sz w:val="18"/>
              </w:rPr>
              <w:t>June 2019</w:t>
            </w:r>
          </w:p>
        </w:tc>
        <w:tc>
          <w:tcPr>
            <w:tcW w:type="dxa" w:w="6192"/>
          </w:tcPr>
          <w:p>
            <w:r/>
            <w:r>
              <w:rPr>
                <w:b w:val="0"/>
                <w:sz w:val="18"/>
              </w:rPr>
              <w:t>Galena cabin purchased, $220,000, titled in Rachel’s sole name; Heartland mortgage</w:t>
            </w:r>
          </w:p>
        </w:tc>
        <w:tc>
          <w:tcPr>
            <w:tcW w:type="dxa" w:w="1584"/>
          </w:tcPr>
          <w:p>
            <w:r/>
            <w:r>
              <w:rPr>
                <w:b w:val="0"/>
                <w:sz w:val="18"/>
              </w:rPr>
              <w:t>[IQ] §6B; [EM]</w:t>
            </w:r>
          </w:p>
        </w:tc>
      </w:tr>
      <w:tr>
        <w:tc>
          <w:tcPr>
            <w:tcW w:type="dxa" w:w="1872"/>
          </w:tcPr>
          <w:p>
            <w:r/>
            <w:r>
              <w:rPr>
                <w:b w:val="0"/>
                <w:sz w:val="18"/>
              </w:rPr>
              <w:t>Feb. 2020</w:t>
            </w:r>
          </w:p>
        </w:tc>
        <w:tc>
          <w:tcPr>
            <w:tcW w:type="dxa" w:w="6192"/>
          </w:tcPr>
          <w:p>
            <w:r/>
            <w:r>
              <w:rPr>
                <w:b w:val="0"/>
                <w:sz w:val="18"/>
              </w:rPr>
              <w:t>Rachel’s grandmother, Soo-Jin Park, dies; $175,000 inheritance deposited to Rachel’s individual Heartland savings</w:t>
            </w:r>
          </w:p>
        </w:tc>
        <w:tc>
          <w:tcPr>
            <w:tcW w:type="dxa" w:w="1584"/>
          </w:tcPr>
          <w:p>
            <w:r/>
            <w:r>
              <w:rPr>
                <w:b w:val="0"/>
                <w:sz w:val="18"/>
              </w:rPr>
              <w:t>[IQ] §9</w:t>
            </w:r>
          </w:p>
        </w:tc>
      </w:tr>
      <w:tr>
        <w:tc>
          <w:tcPr>
            <w:tcW w:type="dxa" w:w="1872"/>
          </w:tcPr>
          <w:p>
            <w:r/>
            <w:r>
              <w:rPr>
                <w:b w:val="0"/>
                <w:sz w:val="18"/>
              </w:rPr>
              <w:t>Jan. 20, 2021</w:t>
            </w:r>
          </w:p>
        </w:tc>
        <w:tc>
          <w:tcPr>
            <w:tcW w:type="dxa" w:w="6192"/>
          </w:tcPr>
          <w:p>
            <w:r/>
            <w:r>
              <w:rPr>
                <w:b w:val="0"/>
                <w:sz w:val="18"/>
              </w:rPr>
              <w:t>Owen born</w:t>
            </w:r>
          </w:p>
        </w:tc>
        <w:tc>
          <w:tcPr>
            <w:tcW w:type="dxa" w:w="1584"/>
          </w:tcPr>
          <w:p>
            <w:r/>
            <w:r>
              <w:rPr>
                <w:b w:val="0"/>
                <w:sz w:val="18"/>
              </w:rPr>
              <w:t>[IQ]</w:t>
            </w:r>
          </w:p>
        </w:tc>
      </w:tr>
      <w:tr>
        <w:tc>
          <w:tcPr>
            <w:tcW w:type="dxa" w:w="1872"/>
          </w:tcPr>
          <w:p>
            <w:r/>
            <w:r>
              <w:rPr>
                <w:b w:val="0"/>
                <w:sz w:val="18"/>
              </w:rPr>
              <w:t>2021</w:t>
            </w:r>
          </w:p>
        </w:tc>
        <w:tc>
          <w:tcPr>
            <w:tcW w:type="dxa" w:w="6192"/>
          </w:tcPr>
          <w:p>
            <w:r/>
            <w:r>
              <w:rPr>
                <w:b w:val="0"/>
                <w:sz w:val="18"/>
              </w:rPr>
              <w:t>Kitchen renovation, ~$58,000, funded at least partly from inheritance</w:t>
            </w:r>
          </w:p>
        </w:tc>
        <w:tc>
          <w:tcPr>
            <w:tcW w:type="dxa" w:w="1584"/>
          </w:tcPr>
          <w:p>
            <w:r/>
            <w:r>
              <w:rPr>
                <w:b w:val="0"/>
                <w:sz w:val="18"/>
              </w:rPr>
              <w:t>[IQ] §§6A, 9</w:t>
            </w:r>
          </w:p>
        </w:tc>
      </w:tr>
      <w:tr>
        <w:tc>
          <w:tcPr>
            <w:tcW w:type="dxa" w:w="1872"/>
          </w:tcPr>
          <w:p>
            <w:r/>
            <w:r>
              <w:rPr>
                <w:b w:val="0"/>
                <w:sz w:val="18"/>
              </w:rPr>
              <w:t>2023</w:t>
            </w:r>
          </w:p>
        </w:tc>
        <w:tc>
          <w:tcPr>
            <w:tcW w:type="dxa" w:w="6192"/>
          </w:tcPr>
          <w:p>
            <w:r/>
            <w:r>
              <w:rPr>
                <w:b w:val="0"/>
                <w:sz w:val="18"/>
              </w:rPr>
              <w:t>Brief marriage counseling (Derek quits after 3 sessions)</w:t>
            </w:r>
          </w:p>
        </w:tc>
        <w:tc>
          <w:tcPr>
            <w:tcW w:type="dxa" w:w="1584"/>
          </w:tcPr>
          <w:p>
            <w:r/>
            <w:r>
              <w:rPr>
                <w:b w:val="0"/>
                <w:sz w:val="18"/>
              </w:rPr>
              <w:t>[IQ] §3</w:t>
            </w:r>
          </w:p>
        </w:tc>
      </w:tr>
      <w:tr>
        <w:tc>
          <w:tcPr>
            <w:tcW w:type="dxa" w:w="1872"/>
          </w:tcPr>
          <w:p>
            <w:r/>
            <w:r>
              <w:rPr>
                <w:b w:val="0"/>
                <w:sz w:val="18"/>
              </w:rPr>
              <w:t>Mar. 2024</w:t>
            </w:r>
          </w:p>
        </w:tc>
        <w:tc>
          <w:tcPr>
            <w:tcW w:type="dxa" w:w="6192"/>
          </w:tcPr>
          <w:p>
            <w:r/>
            <w:r>
              <w:rPr>
                <w:b w:val="0"/>
                <w:sz w:val="18"/>
              </w:rPr>
              <w:t>Derek’s Miami “business trip” (nightclub photos on social media)</w:t>
            </w:r>
          </w:p>
        </w:tc>
        <w:tc>
          <w:tcPr>
            <w:tcW w:type="dxa" w:w="1584"/>
          </w:tcPr>
          <w:p>
            <w:r/>
            <w:r>
              <w:rPr>
                <w:b w:val="0"/>
                <w:sz w:val="18"/>
              </w:rPr>
              <w:t>[EM]</w:t>
            </w:r>
          </w:p>
        </w:tc>
      </w:tr>
      <w:tr>
        <w:tc>
          <w:tcPr>
            <w:tcW w:type="dxa" w:w="1872"/>
          </w:tcPr>
          <w:p>
            <w:r/>
            <w:r>
              <w:rPr>
                <w:b w:val="0"/>
                <w:sz w:val="18"/>
              </w:rPr>
              <w:t>June 2024</w:t>
            </w:r>
          </w:p>
        </w:tc>
        <w:tc>
          <w:tcPr>
            <w:tcW w:type="dxa" w:w="6192"/>
          </w:tcPr>
          <w:p>
            <w:r/>
            <w:r>
              <w:rPr>
                <w:b w:val="0"/>
                <w:sz w:val="18"/>
              </w:rPr>
              <w:t>Derek buys $7,200 custom gaming PC for Ethan’s birthday; expensed as Equipment &amp; Software</w:t>
            </w:r>
          </w:p>
        </w:tc>
        <w:tc>
          <w:tcPr>
            <w:tcW w:type="dxa" w:w="1584"/>
          </w:tcPr>
          <w:p>
            <w:r/>
            <w:r>
              <w:rPr>
                <w:b w:val="0"/>
                <w:sz w:val="18"/>
              </w:rPr>
              <w:t>[IQ] §7; [EM]</w:t>
            </w:r>
          </w:p>
        </w:tc>
      </w:tr>
      <w:tr>
        <w:tc>
          <w:tcPr>
            <w:tcW w:type="dxa" w:w="1872"/>
          </w:tcPr>
          <w:p>
            <w:r/>
            <w:r>
              <w:rPr>
                <w:b w:val="0"/>
                <w:sz w:val="18"/>
              </w:rPr>
              <w:t>Summer 2024</w:t>
            </w:r>
          </w:p>
        </w:tc>
        <w:tc>
          <w:tcPr>
            <w:tcW w:type="dxa" w:w="6192"/>
          </w:tcPr>
          <w:p>
            <w:r/>
            <w:r>
              <w:rPr>
                <w:b w:val="0"/>
                <w:sz w:val="18"/>
              </w:rPr>
              <w:t>Rachel begins considering divorce</w:t>
            </w:r>
          </w:p>
        </w:tc>
        <w:tc>
          <w:tcPr>
            <w:tcW w:type="dxa" w:w="1584"/>
          </w:tcPr>
          <w:p>
            <w:r/>
            <w:r>
              <w:rPr>
                <w:b w:val="0"/>
                <w:sz w:val="18"/>
              </w:rPr>
              <w:t>[IQ] §3</w:t>
            </w:r>
          </w:p>
        </w:tc>
      </w:tr>
      <w:tr>
        <w:tc>
          <w:tcPr>
            <w:tcW w:type="dxa" w:w="1872"/>
          </w:tcPr>
          <w:p>
            <w:r/>
            <w:r>
              <w:rPr>
                <w:b w:val="0"/>
                <w:sz w:val="18"/>
              </w:rPr>
              <w:t>July 2024</w:t>
            </w:r>
          </w:p>
        </w:tc>
        <w:tc>
          <w:tcPr>
            <w:tcW w:type="dxa" w:w="6192"/>
          </w:tcPr>
          <w:p>
            <w:r/>
            <w:r>
              <w:rPr>
                <w:b w:val="0"/>
                <w:sz w:val="18"/>
              </w:rPr>
              <w:t>Derek’s Austin “conference” trip</w:t>
            </w:r>
          </w:p>
        </w:tc>
        <w:tc>
          <w:tcPr>
            <w:tcW w:type="dxa" w:w="1584"/>
          </w:tcPr>
          <w:p>
            <w:r/>
            <w:r>
              <w:rPr>
                <w:b w:val="0"/>
                <w:sz w:val="18"/>
              </w:rPr>
              <w:t>[EM]</w:t>
            </w:r>
          </w:p>
        </w:tc>
      </w:tr>
      <w:tr>
        <w:tc>
          <w:tcPr>
            <w:tcW w:type="dxa" w:w="1872"/>
          </w:tcPr>
          <w:p>
            <w:r/>
            <w:r>
              <w:rPr>
                <w:b w:val="0"/>
                <w:sz w:val="18"/>
              </w:rPr>
              <w:t>Sept. 2024</w:t>
            </w:r>
          </w:p>
        </w:tc>
        <w:tc>
          <w:tcPr>
            <w:tcW w:type="dxa" w:w="6192"/>
          </w:tcPr>
          <w:p>
            <w:r/>
            <w:r>
              <w:rPr>
                <w:b w:val="0"/>
                <w:sz w:val="18"/>
              </w:rPr>
              <w:t>Derek yells at Ethan (single incident)</w:t>
            </w:r>
          </w:p>
        </w:tc>
        <w:tc>
          <w:tcPr>
            <w:tcW w:type="dxa" w:w="1584"/>
          </w:tcPr>
          <w:p>
            <w:r/>
            <w:r>
              <w:rPr>
                <w:b w:val="0"/>
                <w:sz w:val="18"/>
              </w:rPr>
              <w:t>[IQ] §5</w:t>
            </w:r>
          </w:p>
        </w:tc>
      </w:tr>
      <w:tr>
        <w:tc>
          <w:tcPr>
            <w:tcW w:type="dxa" w:w="1872"/>
          </w:tcPr>
          <w:p>
            <w:r/>
            <w:r>
              <w:rPr>
                <w:b w:val="0"/>
                <w:sz w:val="18"/>
              </w:rPr>
              <w:t>Oct. 2024</w:t>
            </w:r>
          </w:p>
        </w:tc>
        <w:tc>
          <w:tcPr>
            <w:tcW w:type="dxa" w:w="6192"/>
          </w:tcPr>
          <w:p>
            <w:r/>
            <w:r>
              <w:rPr>
                <w:b w:val="0"/>
                <w:sz w:val="18"/>
              </w:rPr>
              <w:t>Derek and Marcus Voss golf trip to Scottsdale</w:t>
            </w:r>
          </w:p>
        </w:tc>
        <w:tc>
          <w:tcPr>
            <w:tcW w:type="dxa" w:w="1584"/>
          </w:tcPr>
          <w:p>
            <w:r/>
            <w:r>
              <w:rPr>
                <w:b w:val="0"/>
                <w:sz w:val="18"/>
              </w:rPr>
              <w:t>[EM]</w:t>
            </w:r>
          </w:p>
        </w:tc>
      </w:tr>
      <w:tr>
        <w:tc>
          <w:tcPr>
            <w:tcW w:type="dxa" w:w="1872"/>
          </w:tcPr>
          <w:p>
            <w:r/>
            <w:r>
              <w:rPr>
                <w:b w:val="0"/>
                <w:sz w:val="18"/>
              </w:rPr>
              <w:t>Nov. 4, 2024</w:t>
            </w:r>
          </w:p>
        </w:tc>
        <w:tc>
          <w:tcPr>
            <w:tcW w:type="dxa" w:w="6192"/>
          </w:tcPr>
          <w:p>
            <w:r/>
            <w:r>
              <w:rPr>
                <w:b w:val="0"/>
                <w:sz w:val="18"/>
              </w:rPr>
              <w:t>Rachel moves into guest bedroom (date of separation)</w:t>
            </w:r>
          </w:p>
        </w:tc>
        <w:tc>
          <w:tcPr>
            <w:tcW w:type="dxa" w:w="1584"/>
          </w:tcPr>
          <w:p>
            <w:r/>
            <w:r>
              <w:rPr>
                <w:b w:val="0"/>
                <w:sz w:val="18"/>
              </w:rPr>
              <w:t>[IQ] §3</w:t>
            </w:r>
          </w:p>
        </w:tc>
      </w:tr>
      <w:tr>
        <w:tc>
          <w:tcPr>
            <w:tcW w:type="dxa" w:w="1872"/>
          </w:tcPr>
          <w:p>
            <w:r/>
            <w:r>
              <w:rPr>
                <w:b w:val="0"/>
                <w:sz w:val="18"/>
              </w:rPr>
              <w:t>Late Nov. 2024 (Thanksgiving)</w:t>
            </w:r>
          </w:p>
        </w:tc>
        <w:tc>
          <w:tcPr>
            <w:tcW w:type="dxa" w:w="6192"/>
          </w:tcPr>
          <w:p>
            <w:r/>
            <w:r>
              <w:rPr>
                <w:b w:val="0"/>
                <w:sz w:val="18"/>
              </w:rPr>
              <w:t>Rachel sees Coinbase dashboard showing ~$85,000</w:t>
            </w:r>
          </w:p>
        </w:tc>
        <w:tc>
          <w:tcPr>
            <w:tcW w:type="dxa" w:w="1584"/>
          </w:tcPr>
          <w:p>
            <w:r/>
            <w:r>
              <w:rPr>
                <w:b w:val="0"/>
                <w:sz w:val="18"/>
              </w:rPr>
              <w:t>[EM]; [IQ] §8E</w:t>
            </w:r>
          </w:p>
        </w:tc>
      </w:tr>
      <w:tr>
        <w:tc>
          <w:tcPr>
            <w:tcW w:type="dxa" w:w="1872"/>
          </w:tcPr>
          <w:p>
            <w:r/>
            <w:r>
              <w:rPr>
                <w:b w:val="0"/>
                <w:sz w:val="18"/>
              </w:rPr>
              <w:t>Dec. 2024</w:t>
            </w:r>
          </w:p>
        </w:tc>
        <w:tc>
          <w:tcPr>
            <w:tcW w:type="dxa" w:w="6192"/>
          </w:tcPr>
          <w:p>
            <w:r/>
            <w:r>
              <w:rPr>
                <w:b w:val="0"/>
                <w:sz w:val="18"/>
              </w:rPr>
              <w:t>Rachel sees phone notification of Coinbase “wallet transfer” / transfer to external wallet; Derek says he is “just reorganizing”</w:t>
            </w:r>
          </w:p>
        </w:tc>
        <w:tc>
          <w:tcPr>
            <w:tcW w:type="dxa" w:w="1584"/>
          </w:tcPr>
          <w:p>
            <w:r/>
            <w:r>
              <w:rPr>
                <w:b w:val="0"/>
                <w:sz w:val="18"/>
              </w:rPr>
              <w:t>[IQ] §8E; [EM]</w:t>
            </w:r>
          </w:p>
        </w:tc>
      </w:tr>
      <w:tr>
        <w:tc>
          <w:tcPr>
            <w:tcW w:type="dxa" w:w="1872"/>
          </w:tcPr>
          <w:p>
            <w:r/>
            <w:r>
              <w:rPr>
                <w:b w:val="0"/>
                <w:sz w:val="18"/>
              </w:rPr>
              <w:t>~Jan. 20, 2025</w:t>
            </w:r>
          </w:p>
        </w:tc>
        <w:tc>
          <w:tcPr>
            <w:tcW w:type="dxa" w:w="6192"/>
          </w:tcPr>
          <w:p>
            <w:r/>
            <w:r>
              <w:rPr>
                <w:b w:val="0"/>
                <w:sz w:val="18"/>
              </w:rPr>
              <w:t>Sean P. Calder reportedly files appearance for Derek (“about 3 weeks” before Feb. 10)</w:t>
            </w:r>
          </w:p>
        </w:tc>
        <w:tc>
          <w:tcPr>
            <w:tcW w:type="dxa" w:w="1584"/>
          </w:tcPr>
          <w:p>
            <w:r/>
            <w:r>
              <w:rPr>
                <w:b w:val="0"/>
                <w:sz w:val="18"/>
              </w:rPr>
              <w:t>[IQ] §2 — conflicts with petition date</w:t>
            </w:r>
          </w:p>
        </w:tc>
      </w:tr>
      <w:tr>
        <w:tc>
          <w:tcPr>
            <w:tcW w:type="dxa" w:w="1872"/>
          </w:tcPr>
          <w:p>
            <w:r/>
            <w:r>
              <w:rPr>
                <w:b w:val="0"/>
                <w:sz w:val="18"/>
              </w:rPr>
              <w:t>Feb. 7, 2025</w:t>
            </w:r>
          </w:p>
        </w:tc>
        <w:tc>
          <w:tcPr>
            <w:tcW w:type="dxa" w:w="6192"/>
          </w:tcPr>
          <w:p>
            <w:r/>
            <w:r>
              <w:rPr>
                <w:b w:val="0"/>
                <w:sz w:val="18"/>
              </w:rPr>
              <w:t>Petition for Dissolution filed, DuPage County, No. 2025-D-000347</w:t>
            </w:r>
          </w:p>
        </w:tc>
        <w:tc>
          <w:tcPr>
            <w:tcW w:type="dxa" w:w="1584"/>
          </w:tcPr>
          <w:p>
            <w:r/>
            <w:r>
              <w:rPr>
                <w:b w:val="0"/>
                <w:sz w:val="18"/>
              </w:rPr>
              <w:t>[IQ] §3</w:t>
            </w:r>
          </w:p>
        </w:tc>
      </w:tr>
      <w:tr>
        <w:tc>
          <w:tcPr>
            <w:tcW w:type="dxa" w:w="1872"/>
          </w:tcPr>
          <w:p>
            <w:r/>
            <w:r>
              <w:rPr>
                <w:b w:val="0"/>
                <w:sz w:val="18"/>
              </w:rPr>
              <w:t>Feb. 10, 2025 (Mon.)</w:t>
            </w:r>
          </w:p>
        </w:tc>
        <w:tc>
          <w:tcPr>
            <w:tcW w:type="dxa" w:w="6192"/>
          </w:tcPr>
          <w:p>
            <w:r/>
            <w:r>
              <w:rPr>
                <w:b w:val="0"/>
                <w:sz w:val="18"/>
              </w:rPr>
              <w:t>Intake questionnaire dated</w:t>
            </w:r>
          </w:p>
        </w:tc>
        <w:tc>
          <w:tcPr>
            <w:tcW w:type="dxa" w:w="1584"/>
          </w:tcPr>
          <w:p>
            <w:r/>
            <w:r>
              <w:rPr>
                <w:b w:val="0"/>
                <w:sz w:val="18"/>
              </w:rPr>
              <w:t>[IQ]</w:t>
            </w:r>
          </w:p>
        </w:tc>
      </w:tr>
      <w:tr>
        <w:tc>
          <w:tcPr>
            <w:tcW w:type="dxa" w:w="1872"/>
          </w:tcPr>
          <w:p>
            <w:r/>
            <w:r>
              <w:rPr>
                <w:b w:val="0"/>
                <w:sz w:val="18"/>
              </w:rPr>
              <w:t>Feb. 14, 2025 (Fri.)</w:t>
            </w:r>
          </w:p>
        </w:tc>
        <w:tc>
          <w:tcPr>
            <w:tcW w:type="dxa" w:w="6192"/>
          </w:tcPr>
          <w:p>
            <w:r/>
            <w:r>
              <w:rPr>
                <w:b w:val="0"/>
                <w:sz w:val="18"/>
              </w:rPr>
              <w:t>Questionnaire submitted to firm (per [EM] “on Friday”)</w:t>
            </w:r>
          </w:p>
        </w:tc>
        <w:tc>
          <w:tcPr>
            <w:tcW w:type="dxa" w:w="1584"/>
          </w:tcPr>
          <w:p>
            <w:r/>
            <w:r>
              <w:rPr>
                <w:b w:val="0"/>
                <w:sz w:val="18"/>
              </w:rPr>
              <w:t>[EM]</w:t>
            </w:r>
          </w:p>
        </w:tc>
      </w:tr>
      <w:tr>
        <w:tc>
          <w:tcPr>
            <w:tcW w:type="dxa" w:w="1872"/>
          </w:tcPr>
          <w:p>
            <w:r/>
            <w:r>
              <w:rPr>
                <w:b w:val="0"/>
                <w:sz w:val="18"/>
              </w:rPr>
              <w:t>Feb. 17, 2025 (Mon.)</w:t>
            </w:r>
          </w:p>
        </w:tc>
        <w:tc>
          <w:tcPr>
            <w:tcW w:type="dxa" w:w="6192"/>
          </w:tcPr>
          <w:p>
            <w:r/>
            <w:r>
              <w:rPr>
                <w:b w:val="0"/>
                <w:sz w:val="18"/>
              </w:rPr>
              <w:t>Client’s supplemental email (says written ~10 p.m.; header timestamp 09:43 UTC)</w:t>
            </w:r>
          </w:p>
        </w:tc>
        <w:tc>
          <w:tcPr>
            <w:tcW w:type="dxa" w:w="1584"/>
          </w:tcPr>
          <w:p>
            <w:r/>
            <w:r>
              <w:rPr>
                <w:b w:val="0"/>
                <w:sz w:val="18"/>
              </w:rPr>
              <w:t>[EM]</w:t>
            </w:r>
          </w:p>
        </w:tc>
      </w:tr>
    </w:tbl>
    <w:p>
      <w:pPr>
        <w:spacing w:after="40"/>
      </w:pPr>
    </w:p>
    <w:p>
      <w:pPr>
        <w:pStyle w:val="Heading1"/>
      </w:pPr>
      <w:r>
        <w:t>7. Prenuptial Agreement (Partial Copy)</w:t>
      </w:r>
    </w:p>
    <w:p>
      <w:pPr>
        <w:pStyle w:val="Heading2"/>
      </w:pPr>
      <w:r>
        <w:t>7.1 What the excerpt says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18"/>
              </w:rPr>
              <w:t>Provision</w:t>
            </w:r>
          </w:p>
        </w:tc>
        <w:tc>
          <w:tcPr>
            <w:tcW w:type="dxa" w:w="4176"/>
            <w:shd w:val="clear" w:color="auto" w:fill="1F3A5F"/>
          </w:tcPr>
          <w:p>
            <w:r/>
            <w:r>
              <w:rPr>
                <w:b/>
                <w:color w:val="FFFFFF"/>
                <w:sz w:val="18"/>
              </w:rPr>
              <w:t>Substance</w:t>
            </w:r>
          </w:p>
        </w:tc>
        <w:tc>
          <w:tcPr>
            <w:tcW w:type="dxa" w:w="3600"/>
            <w:shd w:val="clear" w:color="auto" w:fill="1F3A5F"/>
          </w:tcPr>
          <w:p>
            <w:r/>
            <w:r>
              <w:rPr>
                <w:b/>
                <w:color w:val="FFFFFF"/>
                <w:sz w:val="18"/>
              </w:rPr>
              <w:t>Significance here</w:t>
            </w:r>
          </w:p>
        </w:tc>
      </w:tr>
      <w:tr>
        <w:tc>
          <w:tcPr>
            <w:tcW w:type="dxa" w:w="1872"/>
          </w:tcPr>
          <w:p>
            <w:r/>
            <w:r>
              <w:rPr>
                <w:b w:val="0"/>
                <w:sz w:val="18"/>
              </w:rPr>
              <w:t>Recitals</w:t>
            </w:r>
          </w:p>
        </w:tc>
        <w:tc>
          <w:tcPr>
            <w:tcW w:type="dxa" w:w="4176"/>
          </w:tcPr>
          <w:p>
            <w:r/>
            <w:r>
              <w:rPr>
                <w:b w:val="0"/>
                <w:sz w:val="18"/>
              </w:rPr>
              <w:t>Rachel Min-Ji Huang (then Cook County) and Derek James Whitfield (then Lake County); marriage contemplated on or about Aug. 18, 2011; covers rights on dissolution, separation or death; parties acknowledge fairness.</w:t>
            </w:r>
          </w:p>
        </w:tc>
        <w:tc>
          <w:tcPr>
            <w:tcW w:type="dxa" w:w="3600"/>
          </w:tcPr>
          <w:p>
            <w:r/>
            <w:r>
              <w:rPr>
                <w:b w:val="0"/>
                <w:sz w:val="18"/>
              </w:rPr>
              <w:t>Recitals of fairness are standard; not dispositive.</w:t>
            </w:r>
          </w:p>
        </w:tc>
      </w:tr>
      <w:tr>
        <w:tc>
          <w:tcPr>
            <w:tcW w:type="dxa" w:w="1872"/>
          </w:tcPr>
          <w:p>
            <w:r/>
            <w:r>
              <w:rPr>
                <w:b w:val="0"/>
                <w:sz w:val="18"/>
              </w:rPr>
              <w:t>Art. III preamble</w:t>
            </w:r>
          </w:p>
        </w:tc>
        <w:tc>
          <w:tcPr>
            <w:tcW w:type="dxa" w:w="4176"/>
          </w:tcPr>
          <w:p>
            <w:r/>
            <w:r>
              <w:rPr>
                <w:b w:val="0"/>
                <w:sz w:val="18"/>
              </w:rPr>
              <w:t>“[illegible] …property owned by either party prior to the date of this Agreement shall remain the sole and separate property of that party.”</w:t>
            </w:r>
          </w:p>
        </w:tc>
        <w:tc>
          <w:tcPr>
            <w:tcW w:type="dxa" w:w="3600"/>
          </w:tcPr>
          <w:p>
            <w:r/>
            <w:r>
              <w:rPr>
                <w:b w:val="0"/>
                <w:sz w:val="18"/>
              </w:rPr>
              <w:t>Pre-marital assets stay separate.</w:t>
            </w:r>
          </w:p>
        </w:tc>
      </w:tr>
      <w:tr>
        <w:tc>
          <w:tcPr>
            <w:tcW w:type="dxa" w:w="1872"/>
          </w:tcPr>
          <w:p>
            <w:r/>
            <w:r>
              <w:rPr>
                <w:b w:val="0"/>
                <w:sz w:val="18"/>
              </w:rPr>
              <w:t>§ 3.1 Pre-Marital Assets</w:t>
            </w:r>
          </w:p>
        </w:tc>
        <w:tc>
          <w:tcPr>
            <w:tcW w:type="dxa" w:w="4176"/>
          </w:tcPr>
          <w:p>
            <w:r/>
            <w:r>
              <w:rPr>
                <w:b w:val="0"/>
                <w:sz w:val="18"/>
              </w:rPr>
              <w:t xml:space="preserve">Assets owned as of the Agreement date, </w:t>
            </w:r>
            <w:r>
              <w:rPr>
                <w:b/>
                <w:sz w:val="18"/>
              </w:rPr>
              <w:t>“as listed in the Schedules attached hereto,”</w:t>
            </w:r>
            <w:r>
              <w:rPr>
                <w:b w:val="0"/>
                <w:sz w:val="18"/>
              </w:rPr>
              <w:t xml:space="preserve"> remain separate, free of claims by the other party.</w:t>
            </w:r>
          </w:p>
        </w:tc>
        <w:tc>
          <w:tcPr>
            <w:tcW w:type="dxa" w:w="3600"/>
          </w:tcPr>
          <w:p>
            <w:r/>
            <w:r>
              <w:rPr>
                <w:b w:val="0"/>
                <w:sz w:val="18"/>
              </w:rPr>
              <w:t>Separate status appears tied to Schedules A/B (missing). Need to know whether Whitcroft (~$45k) and any other “pre-marital savings” were scheduled.</w:t>
            </w:r>
          </w:p>
        </w:tc>
      </w:tr>
      <w:tr>
        <w:tc>
          <w:tcPr>
            <w:tcW w:type="dxa" w:w="1872"/>
          </w:tcPr>
          <w:p>
            <w:r/>
            <w:r>
              <w:rPr>
                <w:b w:val="0"/>
                <w:sz w:val="18"/>
              </w:rPr>
              <w:t>§ 3.2 Inheritances and Gifts</w:t>
            </w:r>
          </w:p>
        </w:tc>
        <w:tc>
          <w:tcPr>
            <w:tcW w:type="dxa" w:w="4176"/>
          </w:tcPr>
          <w:p>
            <w:r/>
            <w:r>
              <w:rPr>
                <w:b w:val="0"/>
                <w:sz w:val="18"/>
              </w:rPr>
              <w:t xml:space="preserve">Inheritances and third-party gifts to </w:t>
            </w:r>
            <w:r>
              <w:rPr>
                <w:b/>
                <w:sz w:val="18"/>
              </w:rPr>
              <w:t>either Party</w:t>
            </w:r>
            <w:r>
              <w:rPr>
                <w:b w:val="0"/>
                <w:sz w:val="18"/>
              </w:rPr>
              <w:t xml:space="preserve"> are separate </w:t>
            </w:r>
            <w:r>
              <w:rPr>
                <w:b/>
                <w:sz w:val="18"/>
              </w:rPr>
              <w:t>provided</w:t>
            </w:r>
            <w:r>
              <w:rPr>
                <w:b w:val="0"/>
                <w:sz w:val="18"/>
              </w:rPr>
              <w:t xml:space="preserve"> kept in a separate account and not commingled; if deposited in a joint account or otherwise commingled, </w:t>
            </w:r>
            <w:r>
              <w:rPr>
                <w:b/>
                <w:sz w:val="18"/>
              </w:rPr>
              <w:t>presumed marital</w:t>
            </w:r>
            <w:r>
              <w:rPr>
                <w:b w:val="0"/>
                <w:sz w:val="18"/>
              </w:rPr>
              <w:t xml:space="preserve"> unless traced to the separate source by </w:t>
            </w:r>
            <w:r>
              <w:rPr>
                <w:b/>
                <w:sz w:val="18"/>
              </w:rPr>
              <w:t>clear and convincing evidence</w:t>
            </w:r>
            <w:r>
              <w:rPr>
                <w:b w:val="0"/>
                <w:sz w:val="18"/>
              </w:rPr>
              <w:t>.</w:t>
            </w:r>
          </w:p>
        </w:tc>
        <w:tc>
          <w:tcPr>
            <w:tcW w:type="dxa" w:w="3600"/>
          </w:tcPr>
          <w:p>
            <w:r/>
            <w:r>
              <w:rPr>
                <w:b w:val="0"/>
                <w:sz w:val="18"/>
              </w:rPr>
              <w:t>Governs the $175k inheritance (individual account — favorable — but kitchen spend and $78.5k gap) and the parental down-payment gift (Client says gift was to “us”; applied to joint property).</w:t>
            </w:r>
          </w:p>
        </w:tc>
      </w:tr>
      <w:tr>
        <w:tc>
          <w:tcPr>
            <w:tcW w:type="dxa" w:w="1872"/>
          </w:tcPr>
          <w:p>
            <w:r/>
            <w:r>
              <w:rPr>
                <w:b w:val="0"/>
                <w:sz w:val="18"/>
              </w:rPr>
              <w:t>§ 3.3 Appreciation</w:t>
            </w:r>
          </w:p>
        </w:tc>
        <w:tc>
          <w:tcPr>
            <w:tcW w:type="dxa" w:w="4176"/>
          </w:tcPr>
          <w:p>
            <w:r/>
            <w:r>
              <w:rPr>
                <w:b w:val="0"/>
                <w:sz w:val="18"/>
              </w:rPr>
              <w:t>Appreciation of separate property “shall [illegible] …to the extent such appreciation is passive in nature and not attributable to the efforts of [illegible] …or the contribution of marital funds.” Remainder illegible.</w:t>
            </w:r>
          </w:p>
        </w:tc>
        <w:tc>
          <w:tcPr>
            <w:tcW w:type="dxa" w:w="3600"/>
          </w:tcPr>
          <w:p>
            <w:r/>
            <w:r>
              <w:rPr>
                <w:b w:val="0"/>
                <w:sz w:val="18"/>
              </w:rPr>
              <w:t>Likely: passive appreciation stays separate; active/marital-funded appreciation does not. Relevant to Whitcroft growth ($45k → $112k with marital contributions).</w:t>
            </w:r>
          </w:p>
        </w:tc>
      </w:tr>
      <w:tr>
        <w:tc>
          <w:tcPr>
            <w:tcW w:type="dxa" w:w="1872"/>
          </w:tcPr>
          <w:p>
            <w:r/>
            <w:r>
              <w:rPr>
                <w:b w:val="0"/>
                <w:sz w:val="18"/>
              </w:rPr>
              <w:t>§ 4.1 Property Acquired During Marriage</w:t>
            </w:r>
          </w:p>
        </w:tc>
        <w:tc>
          <w:tcPr>
            <w:tcW w:type="dxa" w:w="4176"/>
          </w:tcPr>
          <w:p>
            <w:r/>
            <w:r>
              <w:rPr>
                <w:b w:val="0"/>
                <w:sz w:val="18"/>
              </w:rPr>
              <w:t>Except per Art. III, property acquired during marriage shall be [illegible] … under Illinois law; subject to equitable distribution under the IMDMA.</w:t>
            </w:r>
          </w:p>
        </w:tc>
        <w:tc>
          <w:tcPr>
            <w:tcW w:type="dxa" w:w="3600"/>
          </w:tcPr>
          <w:p>
            <w:r/>
            <w:r>
              <w:rPr>
                <w:b w:val="0"/>
                <w:sz w:val="18"/>
              </w:rPr>
              <w:t>Defaults to IMDMA for marital property — includes the business (formed 2018) and the cabin (bought 2019) unless Art. III applies.</w:t>
            </w:r>
          </w:p>
        </w:tc>
      </w:tr>
      <w:tr>
        <w:tc>
          <w:tcPr>
            <w:tcW w:type="dxa" w:w="1872"/>
          </w:tcPr>
          <w:p>
            <w:r/>
            <w:r>
              <w:rPr>
                <w:b w:val="0"/>
                <w:sz w:val="18"/>
              </w:rPr>
              <w:t>§ 4.2 Marital Income</w:t>
            </w:r>
          </w:p>
        </w:tc>
        <w:tc>
          <w:tcPr>
            <w:tcW w:type="dxa" w:w="4176"/>
          </w:tcPr>
          <w:p>
            <w:r/>
            <w:r>
              <w:rPr>
                <w:b w:val="0"/>
                <w:sz w:val="18"/>
              </w:rPr>
              <w:t xml:space="preserve">Income earned by either party during marriage is marital, </w:t>
            </w:r>
            <w:r>
              <w:rPr>
                <w:b/>
                <w:sz w:val="18"/>
              </w:rPr>
              <w:t>except to the extent used to maintain or preserve separate property</w:t>
            </w:r>
            <w:r>
              <w:rPr>
                <w:b w:val="0"/>
                <w:sz w:val="18"/>
              </w:rPr>
              <w:t>; each party manages own income during marriage.</w:t>
            </w:r>
          </w:p>
        </w:tc>
        <w:tc>
          <w:tcPr>
            <w:tcW w:type="dxa" w:w="3600"/>
          </w:tcPr>
          <w:p>
            <w:r/>
            <w:r>
              <w:rPr>
                <w:b w:val="0"/>
                <w:sz w:val="18"/>
              </w:rPr>
              <w:t>Unusual carve-out. Could be argued to protect marital income applied to the cabin mortgage — only if the cabin is first established as separate. Needs full text (preceding words illegible).</w:t>
            </w:r>
          </w:p>
        </w:tc>
      </w:tr>
      <w:tr>
        <w:tc>
          <w:tcPr>
            <w:tcW w:type="dxa" w:w="1872"/>
          </w:tcPr>
          <w:p>
            <w:r/>
            <w:r>
              <w:rPr>
                <w:b w:val="0"/>
                <w:sz w:val="18"/>
              </w:rPr>
              <w:t>§ 4.3</w:t>
            </w:r>
          </w:p>
        </w:tc>
        <w:tc>
          <w:tcPr>
            <w:tcW w:type="dxa" w:w="4176"/>
          </w:tcPr>
          <w:p>
            <w:r/>
            <w:r>
              <w:rPr>
                <w:b w:val="0"/>
                <w:sz w:val="18"/>
              </w:rPr>
              <w:t>Not in excerpt — pages skip from § 4.2 to Art. V.</w:t>
            </w:r>
          </w:p>
        </w:tc>
        <w:tc>
          <w:tcPr>
            <w:tcW w:type="dxa" w:w="3600"/>
          </w:tcPr>
          <w:p>
            <w:r/>
            <w:r>
              <w:rPr>
                <w:b/>
                <w:sz w:val="18"/>
              </w:rPr>
              <w:t>Client says the prenup says nothing about businesses — we cannot confirm.</w:t>
            </w:r>
            <w:r>
              <w:rPr>
                <w:b w:val="0"/>
                <w:sz w:val="18"/>
              </w:rPr>
              <w:t xml:space="preserve"> A business clause could be here.</w:t>
            </w:r>
          </w:p>
        </w:tc>
      </w:tr>
      <w:tr>
        <w:tc>
          <w:tcPr>
            <w:tcW w:type="dxa" w:w="1872"/>
          </w:tcPr>
          <w:p>
            <w:r/>
            <w:r>
              <w:rPr>
                <w:b w:val="0"/>
                <w:sz w:val="18"/>
              </w:rPr>
              <w:t>§ 5.1 Maintenance Waiver</w:t>
            </w:r>
          </w:p>
        </w:tc>
        <w:tc>
          <w:tcPr>
            <w:tcW w:type="dxa" w:w="4176"/>
          </w:tcPr>
          <w:p>
            <w:r/>
            <w:r>
              <w:rPr>
                <w:b w:val="0"/>
                <w:sz w:val="18"/>
              </w:rPr>
              <w:t xml:space="preserve">Mutual waiver of maintenance if marriage dissolved </w:t>
            </w:r>
            <w:r>
              <w:rPr>
                <w:b/>
                <w:sz w:val="18"/>
              </w:rPr>
              <w:t>within ten years</w:t>
            </w:r>
            <w:r>
              <w:rPr>
                <w:b w:val="0"/>
                <w:sz w:val="18"/>
              </w:rPr>
              <w:t xml:space="preserve"> of the marriage date, except as needed to prevent an [illegible] unconscionable result.</w:t>
            </w:r>
          </w:p>
        </w:tc>
        <w:tc>
          <w:tcPr>
            <w:tcW w:type="dxa" w:w="3600"/>
          </w:tcPr>
          <w:p>
            <w:r/>
            <w:r>
              <w:rPr>
                <w:b w:val="0"/>
                <w:sz w:val="18"/>
              </w:rPr>
              <w:t>Inapplicable — marriage ~13.5 yrs at filing.</w:t>
            </w:r>
          </w:p>
        </w:tc>
      </w:tr>
      <w:tr>
        <w:tc>
          <w:tcPr>
            <w:tcW w:type="dxa" w:w="1872"/>
          </w:tcPr>
          <w:p>
            <w:r/>
            <w:r>
              <w:rPr>
                <w:b w:val="0"/>
                <w:sz w:val="18"/>
              </w:rPr>
              <w:t>§ 5.2 Marriages &gt; 10 Years</w:t>
            </w:r>
          </w:p>
        </w:tc>
        <w:tc>
          <w:tcPr>
            <w:tcW w:type="dxa" w:w="4176"/>
          </w:tcPr>
          <w:p>
            <w:r/>
            <w:r>
              <w:rPr>
                <w:b w:val="0"/>
                <w:sz w:val="18"/>
              </w:rPr>
              <w:t>§ 5.1 has no force or effect; maintenance determined under Illinois law then in effect.</w:t>
            </w:r>
          </w:p>
        </w:tc>
        <w:tc>
          <w:tcPr>
            <w:tcW w:type="dxa" w:w="3600"/>
          </w:tcPr>
          <w:p>
            <w:r/>
            <w:r>
              <w:rPr>
                <w:b w:val="0"/>
                <w:sz w:val="18"/>
              </w:rPr>
              <w:t xml:space="preserve">Maintenance is open </w:t>
            </w:r>
            <w:r>
              <w:rPr>
                <w:b/>
                <w:sz w:val="18"/>
              </w:rPr>
              <w:t>for both parties</w:t>
            </w:r>
            <w:r>
              <w:rPr>
                <w:b w:val="0"/>
                <w:sz w:val="18"/>
              </w:rPr>
              <w:t xml:space="preserve"> — including a claim by Derek against Rachel.</w:t>
            </w:r>
          </w:p>
        </w:tc>
      </w:tr>
      <w:tr>
        <w:tc>
          <w:tcPr>
            <w:tcW w:type="dxa" w:w="1872"/>
          </w:tcPr>
          <w:p>
            <w:r/>
            <w:r>
              <w:rPr>
                <w:b w:val="0"/>
                <w:sz w:val="18"/>
              </w:rPr>
              <w:t>Arts. VI–VIII</w:t>
            </w:r>
          </w:p>
        </w:tc>
        <w:tc>
          <w:tcPr>
            <w:tcW w:type="dxa" w:w="4176"/>
          </w:tcPr>
          <w:p>
            <w:r/>
            <w:r>
              <w:rPr>
                <w:b w:val="0"/>
                <w:sz w:val="18"/>
              </w:rPr>
              <w:t>Missing (believed modification, governing law, severability).</w:t>
            </w:r>
          </w:p>
        </w:tc>
        <w:tc>
          <w:tcPr>
            <w:tcW w:type="dxa" w:w="3600"/>
          </w:tcPr>
          <w:p>
            <w:r/>
            <w:r>
              <w:rPr>
                <w:b w:val="0"/>
                <w:sz w:val="18"/>
              </w:rPr>
              <w:t>Need governing-law and severability text.</w:t>
            </w:r>
          </w:p>
        </w:tc>
      </w:tr>
      <w:tr>
        <w:tc>
          <w:tcPr>
            <w:tcW w:type="dxa" w:w="1872"/>
          </w:tcPr>
          <w:p>
            <w:r/>
            <w:r>
              <w:rPr>
                <w:b w:val="0"/>
                <w:sz w:val="18"/>
              </w:rPr>
              <w:t>§ 9.1 Entire Agreement</w:t>
            </w:r>
          </w:p>
        </w:tc>
        <w:tc>
          <w:tcPr>
            <w:tcW w:type="dxa" w:w="4176"/>
          </w:tcPr>
          <w:p>
            <w:r/>
            <w:r>
              <w:rPr>
                <w:b w:val="0"/>
                <w:sz w:val="18"/>
              </w:rPr>
              <w:t>Integration clause.</w:t>
            </w:r>
          </w:p>
        </w:tc>
        <w:tc>
          <w:tcPr>
            <w:tcW w:type="dxa" w:w="3600"/>
          </w:tcPr>
          <w:p>
            <w:r/>
          </w:p>
        </w:tc>
      </w:tr>
      <w:tr>
        <w:tc>
          <w:tcPr>
            <w:tcW w:type="dxa" w:w="1872"/>
          </w:tcPr>
          <w:p>
            <w:r/>
            <w:r>
              <w:rPr>
                <w:b w:val="0"/>
                <w:sz w:val="18"/>
              </w:rPr>
              <w:t>§ 9.2 Voluntary Execution</w:t>
            </w:r>
          </w:p>
        </w:tc>
        <w:tc>
          <w:tcPr>
            <w:tcW w:type="dxa" w:w="4176"/>
          </w:tcPr>
          <w:p>
            <w:r/>
            <w:r>
              <w:rPr>
                <w:b w:val="0"/>
                <w:sz w:val="18"/>
              </w:rPr>
              <w:t xml:space="preserve">Each party warrants voluntary execution, free of duress, with full knowledge, and </w:t>
            </w:r>
            <w:r>
              <w:rPr>
                <w:b/>
                <w:sz w:val="18"/>
              </w:rPr>
              <w:t>adequate time to consider</w:t>
            </w:r>
            <w:r>
              <w:rPr>
                <w:b w:val="0"/>
                <w:sz w:val="18"/>
              </w:rPr>
              <w:t>.</w:t>
            </w:r>
          </w:p>
        </w:tc>
        <w:tc>
          <w:tcPr>
            <w:tcW w:type="dxa" w:w="3600"/>
          </w:tcPr>
          <w:p>
            <w:r/>
            <w:r>
              <w:rPr>
                <w:b w:val="0"/>
                <w:sz w:val="18"/>
              </w:rPr>
              <w:t>Undercuts a time-pressure argument (16 days before wedding).</w:t>
            </w:r>
          </w:p>
        </w:tc>
      </w:tr>
      <w:tr>
        <w:tc>
          <w:tcPr>
            <w:tcW w:type="dxa" w:w="1872"/>
          </w:tcPr>
          <w:p>
            <w:r/>
            <w:r>
              <w:rPr>
                <w:b w:val="0"/>
                <w:sz w:val="18"/>
              </w:rPr>
              <w:t>§ 9.3 Legal Representation</w:t>
            </w:r>
          </w:p>
        </w:tc>
        <w:tc>
          <w:tcPr>
            <w:tcW w:type="dxa" w:w="4176"/>
          </w:tcPr>
          <w:p>
            <w:r/>
            <w:r>
              <w:rPr>
                <w:b w:val="0"/>
                <w:sz w:val="18"/>
              </w:rPr>
              <w:t xml:space="preserve">Derek represented by Harold Finch, Esq.; Rachel acknowledges she was </w:t>
            </w:r>
            <w:r>
              <w:rPr>
                <w:b/>
                <w:sz w:val="18"/>
              </w:rPr>
              <w:t>advised to seek independent counsel</w:t>
            </w:r>
            <w:r>
              <w:rPr>
                <w:b w:val="0"/>
                <w:sz w:val="18"/>
              </w:rPr>
              <w:t>, had the opportunity, and chose to sign after that opportunity.</w:t>
            </w:r>
          </w:p>
        </w:tc>
        <w:tc>
          <w:tcPr>
            <w:tcW w:type="dxa" w:w="3600"/>
          </w:tcPr>
          <w:p>
            <w:r/>
            <w:r>
              <w:rPr>
                <w:b w:val="0"/>
                <w:sz w:val="18"/>
              </w:rPr>
              <w:t>Consistent with Client’s account (no lawyer; friend Jessica, then a 2L, called it “standard”).</w:t>
            </w:r>
          </w:p>
        </w:tc>
      </w:tr>
      <w:tr>
        <w:tc>
          <w:tcPr>
            <w:tcW w:type="dxa" w:w="1872"/>
          </w:tcPr>
          <w:p>
            <w:r/>
            <w:r>
              <w:rPr>
                <w:b w:val="0"/>
                <w:sz w:val="18"/>
              </w:rPr>
              <w:t>§ 9.4 Financial Disclosure</w:t>
            </w:r>
          </w:p>
        </w:tc>
        <w:tc>
          <w:tcPr>
            <w:tcW w:type="dxa" w:w="4176"/>
          </w:tcPr>
          <w:p>
            <w:r/>
            <w:r>
              <w:rPr>
                <w:b w:val="0"/>
                <w:sz w:val="18"/>
              </w:rPr>
              <w:t xml:space="preserve">Each party acknowledges receipt of a summary of the other’s financial [illegible] </w:t>
            </w:r>
            <w:r>
              <w:rPr>
                <w:b/>
                <w:sz w:val="18"/>
              </w:rPr>
              <w:t>or has voluntarily waived</w:t>
            </w:r>
            <w:r>
              <w:rPr>
                <w:b w:val="0"/>
                <w:sz w:val="18"/>
              </w:rPr>
              <w:t xml:space="preserve"> disclosure; Schedules A and B “set forth [illegible]…”.</w:t>
            </w:r>
          </w:p>
        </w:tc>
        <w:tc>
          <w:tcPr>
            <w:tcW w:type="dxa" w:w="3600"/>
          </w:tcPr>
          <w:p>
            <w:r/>
            <w:r>
              <w:rPr>
                <w:b w:val="0"/>
                <w:sz w:val="18"/>
              </w:rPr>
              <w:t>Adequacy of Derek’s disclosure is the key enforceability fact — Schedules missing.</w:t>
            </w:r>
          </w:p>
        </w:tc>
      </w:tr>
      <w:tr>
        <w:tc>
          <w:tcPr>
            <w:tcW w:type="dxa" w:w="1872"/>
          </w:tcPr>
          <w:p>
            <w:r/>
            <w:r>
              <w:rPr>
                <w:b w:val="0"/>
                <w:sz w:val="18"/>
              </w:rPr>
              <w:t>Execution</w:t>
            </w:r>
          </w:p>
        </w:tc>
        <w:tc>
          <w:tcPr>
            <w:tcW w:type="dxa" w:w="4176"/>
          </w:tcPr>
          <w:p>
            <w:r/>
            <w:r>
              <w:rPr>
                <w:b w:val="0"/>
                <w:sz w:val="18"/>
              </w:rPr>
              <w:t>Signed by both Aug. 2, 2011; prepared by Harold Finch, Esq., Suite 400, Lake Forest, IL 60045; notarized Lake County (notary name and commission illegible); two witnesses (names illegible).</w:t>
            </w:r>
          </w:p>
        </w:tc>
        <w:tc>
          <w:tcPr>
            <w:tcW w:type="dxa" w:w="3600"/>
          </w:tcPr>
          <w:p>
            <w:r/>
            <w:r>
              <w:rPr>
                <w:b w:val="0"/>
                <w:sz w:val="18"/>
              </w:rPr>
              <w:t>Finch is deceased (per Client); notary/witnesses unidentified.</w:t>
            </w:r>
          </w:p>
        </w:tc>
      </w:tr>
    </w:tbl>
    <w:p>
      <w:pPr>
        <w:spacing w:after="40"/>
      </w:pPr>
    </w:p>
    <w:p>
      <w:pPr>
        <w:pStyle w:val="Heading2"/>
      </w:pPr>
      <w:r>
        <w:t>7.2 Client’s recollection vs. the text</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A5F"/>
          </w:tcPr>
          <w:p>
            <w:r/>
            <w:r>
              <w:rPr>
                <w:b/>
                <w:color w:val="FFFFFF"/>
                <w:sz w:val="18"/>
              </w:rPr>
              <w:t>Client’s recollection [IQ] §4</w:t>
            </w:r>
          </w:p>
        </w:tc>
        <w:tc>
          <w:tcPr>
            <w:tcW w:type="dxa" w:w="5904"/>
            <w:shd w:val="clear" w:color="auto" w:fill="1F3A5F"/>
          </w:tcPr>
          <w:p>
            <w:r/>
            <w:r>
              <w:rPr>
                <w:b/>
                <w:color w:val="FFFFFF"/>
                <w:sz w:val="18"/>
              </w:rPr>
              <w:t>What the excerpt shows</w:t>
            </w:r>
          </w:p>
        </w:tc>
      </w:tr>
      <w:tr>
        <w:tc>
          <w:tcPr>
            <w:tcW w:type="dxa" w:w="3744"/>
          </w:tcPr>
          <w:p>
            <w:r/>
            <w:r>
              <w:rPr>
                <w:b w:val="0"/>
                <w:sz w:val="18"/>
              </w:rPr>
              <w:t>Each keeps pre-marital assets and inheritances as separate property.</w:t>
            </w:r>
          </w:p>
        </w:tc>
        <w:tc>
          <w:tcPr>
            <w:tcW w:type="dxa" w:w="5904"/>
          </w:tcPr>
          <w:p>
            <w:r/>
            <w:r>
              <w:rPr>
                <w:b w:val="0"/>
                <w:sz w:val="18"/>
              </w:rPr>
              <w:t>Correct in substance, but with conditions she did not mention: § 3.1 limits protection to scheduled assets; § 3.2 converts commingled inheritances/gifts to presumptively marital property, rebuttable only by clear and convincing tracing.</w:t>
            </w:r>
          </w:p>
        </w:tc>
      </w:tr>
      <w:tr>
        <w:tc>
          <w:tcPr>
            <w:tcW w:type="dxa" w:w="3744"/>
          </w:tcPr>
          <w:p>
            <w:r/>
            <w:r>
              <w:rPr>
                <w:b w:val="0"/>
                <w:sz w:val="18"/>
              </w:rPr>
              <w:t>Maintenance waived if divorce within 10 years; no longer applies after 14 years.</w:t>
            </w:r>
          </w:p>
        </w:tc>
        <w:tc>
          <w:tcPr>
            <w:tcW w:type="dxa" w:w="5904"/>
          </w:tcPr>
          <w:p>
            <w:r/>
            <w:r>
              <w:rPr>
                <w:b w:val="0"/>
                <w:sz w:val="18"/>
              </w:rPr>
              <w:t>Correct that § 5.1 is inoperative (§ 5.2), though the marriage is ~13.5 years, not 14. She has not appreciated that § 5.2 also opens maintenance to Derek.</w:t>
            </w:r>
          </w:p>
        </w:tc>
      </w:tr>
      <w:tr>
        <w:tc>
          <w:tcPr>
            <w:tcW w:type="dxa" w:w="3744"/>
          </w:tcPr>
          <w:p>
            <w:r/>
            <w:r>
              <w:rPr>
                <w:b w:val="0"/>
                <w:sz w:val="18"/>
              </w:rPr>
              <w:t>Nothing about businesses started during the marriage.</w:t>
            </w:r>
          </w:p>
        </w:tc>
        <w:tc>
          <w:tcPr>
            <w:tcW w:type="dxa" w:w="5904"/>
          </w:tcPr>
          <w:p>
            <w:r/>
            <w:r>
              <w:rPr>
                <w:b w:val="0"/>
                <w:sz w:val="18"/>
              </w:rPr>
              <w:t>Cannot be verified — § 4.3 and pages 7–8 are missing.</w:t>
            </w:r>
          </w:p>
        </w:tc>
      </w:tr>
      <w:tr>
        <w:tc>
          <w:tcPr>
            <w:tcW w:type="dxa" w:w="3744"/>
          </w:tcPr>
          <w:p>
            <w:r/>
            <w:r>
              <w:rPr>
                <w:b w:val="0"/>
                <w:sz w:val="18"/>
              </w:rPr>
              <w:t>Signed about two weeks before the wedding.</w:t>
            </w:r>
          </w:p>
        </w:tc>
        <w:tc>
          <w:tcPr>
            <w:tcW w:type="dxa" w:w="5904"/>
          </w:tcPr>
          <w:p>
            <w:r/>
            <w:r>
              <w:rPr>
                <w:b w:val="0"/>
                <w:sz w:val="18"/>
              </w:rPr>
              <w:t>Correct — Aug. 2 vs. Aug. 18, 2011 (16 days).</w:t>
            </w:r>
          </w:p>
        </w:tc>
      </w:tr>
    </w:tbl>
    <w:p>
      <w:pPr>
        <w:spacing w:after="40"/>
      </w:pPr>
    </w:p>
    <w:p>
      <w:pPr>
        <w:pStyle w:val="Heading2"/>
      </w:pPr>
      <w:r>
        <w:t>7.3 Enforceability considerations (preliminary)</w:t>
      </w:r>
    </w:p>
    <w:p>
      <w:pPr>
        <w:pStyle w:val="ListBullet"/>
        <w:spacing w:after="40"/>
      </w:pPr>
      <w:r>
        <w:rPr>
          <w:b w:val="0"/>
          <w:i w:val="0"/>
        </w:rPr>
        <w:t>Statute: Illinois Uniform Premarital Agreement Act, 750 ILCS 10/1 et seq. (applies to agreements executed on or after Jan. 1, 1990). Under 750 ILCS 10/7(a), the challenger must prove involuntary execution, or unconscionability at execution coupled with lack of fair and reasonable disclosure, no voluntary written waiver of disclosure, and no adequate knowledge of the other’s finances. The § 9.2–9.4 acknowledgments will be the other side’s first line of defense.</w:t>
      </w:r>
    </w:p>
    <w:p>
      <w:pPr>
        <w:pStyle w:val="ListBullet"/>
        <w:spacing w:after="40"/>
      </w:pPr>
      <w:r>
        <w:rPr>
          <w:b w:val="0"/>
          <w:i w:val="0"/>
        </w:rPr>
        <w:t>Facts potentially supporting a challenge: 16-day window during wedding planning; no independent counsel for Rachel; agreement drafted by Derek’s attorney; disclosure schedules not yet located; Rachel was a medical student carrying substantial debt.</w:t>
      </w:r>
    </w:p>
    <w:p>
      <w:pPr>
        <w:pStyle w:val="ListBullet"/>
        <w:spacing w:after="40"/>
      </w:pPr>
      <w:r>
        <w:rPr>
          <w:b w:val="0"/>
          <w:i w:val="0"/>
        </w:rPr>
        <w:t xml:space="preserve">Strategic caution: the provisions most likely to matter (Art. III) principally </w:t>
      </w:r>
      <w:r>
        <w:rPr>
          <w:b/>
          <w:i w:val="0"/>
        </w:rPr>
        <w:t>protect Rachel’s</w:t>
      </w:r>
      <w:r>
        <w:rPr>
          <w:b w:val="0"/>
          <w:i w:val="0"/>
        </w:rPr>
        <w:t xml:space="preserve"> separate-property claims. The maintenance waiver is already inoperative. Before considering any challenge we need Schedule B (Derek’s pre-marital assets) to see what, if anything, Rachel would gain.</w:t>
      </w:r>
    </w:p>
    <w:p>
      <w:pPr>
        <w:pStyle w:val="ListBullet"/>
        <w:spacing w:after="40"/>
      </w:pPr>
      <w:r>
        <w:rPr>
          <w:b w:val="0"/>
          <w:i w:val="0"/>
        </w:rPr>
        <w:t>Evidence availability: Finch is deceased; identify his firm’s successor for the file; identify notary and witnesses; locate Jessica (then 2L) as a fact witness to circumstances only.</w:t>
      </w:r>
    </w:p>
    <w:p>
      <w:pPr>
        <w:pStyle w:val="ListBullet"/>
        <w:spacing w:after="40"/>
      </w:pPr>
      <w:r>
        <w:rPr>
          <w:b w:val="0"/>
          <w:i w:val="0"/>
        </w:rPr>
        <w:t>Action: obtain Client’s full PDF immediately “as is” (do not wait for a better scan); request a complete executed copy with Schedules from Calder &amp; Rourke.</w:t>
      </w:r>
    </w:p>
    <w:p>
      <w:pPr>
        <w:pStyle w:val="Heading1"/>
      </w:pPr>
      <w:r>
        <w:t>8. Assets and Liabilities (Client Estimates)</w:t>
      </w:r>
    </w:p>
    <w:p>
      <w:pPr>
        <w:pStyle w:val="Heading2"/>
      </w:pPr>
      <w:r>
        <w:t>8.1 Asset schedule with characterization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00"/>
            <w:shd w:val="clear" w:color="auto" w:fill="1F3A5F"/>
          </w:tcPr>
          <w:p>
            <w:r/>
            <w:r>
              <w:rPr>
                <w:b/>
                <w:color w:val="FFFFFF"/>
                <w:sz w:val="16"/>
              </w:rPr>
              <w:t>Asset</w:t>
            </w:r>
          </w:p>
        </w:tc>
        <w:tc>
          <w:tcPr>
            <w:tcW w:type="dxa" w:w="1080"/>
            <w:shd w:val="clear" w:color="auto" w:fill="1F3A5F"/>
          </w:tcPr>
          <w:p>
            <w:r/>
            <w:r>
              <w:rPr>
                <w:b/>
                <w:color w:val="FFFFFF"/>
                <w:sz w:val="16"/>
              </w:rPr>
              <w:t>Title / holder</w:t>
            </w:r>
          </w:p>
        </w:tc>
        <w:tc>
          <w:tcPr>
            <w:tcW w:type="dxa" w:w="1296"/>
            <w:shd w:val="clear" w:color="auto" w:fill="1F3A5F"/>
          </w:tcPr>
          <w:p>
            <w:r/>
            <w:r>
              <w:rPr>
                <w:b/>
                <w:color w:val="FFFFFF"/>
                <w:sz w:val="16"/>
              </w:rPr>
              <w:t>Client value</w:t>
            </w:r>
          </w:p>
        </w:tc>
        <w:tc>
          <w:tcPr>
            <w:tcW w:type="dxa" w:w="1224"/>
            <w:shd w:val="clear" w:color="auto" w:fill="1F3A5F"/>
          </w:tcPr>
          <w:p>
            <w:r/>
            <w:r>
              <w:rPr>
                <w:b/>
                <w:color w:val="FFFFFF"/>
                <w:sz w:val="16"/>
              </w:rPr>
              <w:t>Debt</w:t>
            </w:r>
          </w:p>
        </w:tc>
        <w:tc>
          <w:tcPr>
            <w:tcW w:type="dxa" w:w="1656"/>
            <w:shd w:val="clear" w:color="auto" w:fill="1F3A5F"/>
          </w:tcPr>
          <w:p>
            <w:r/>
            <w:r>
              <w:rPr>
                <w:b/>
                <w:color w:val="FFFFFF"/>
                <w:sz w:val="16"/>
              </w:rPr>
              <w:t>Client’s position</w:t>
            </w:r>
          </w:p>
        </w:tc>
        <w:tc>
          <w:tcPr>
            <w:tcW w:type="dxa" w:w="2592"/>
            <w:shd w:val="clear" w:color="auto" w:fill="1F3A5F"/>
          </w:tcPr>
          <w:p>
            <w:r/>
            <w:r>
              <w:rPr>
                <w:b/>
                <w:color w:val="FFFFFF"/>
                <w:sz w:val="16"/>
              </w:rPr>
              <w:t>Preliminary characterization issues</w:t>
            </w:r>
          </w:p>
        </w:tc>
      </w:tr>
      <w:tr>
        <w:tc>
          <w:tcPr>
            <w:tcW w:type="dxa" w:w="1800"/>
          </w:tcPr>
          <w:p>
            <w:r/>
            <w:r>
              <w:rPr>
                <w:b w:val="0"/>
                <w:sz w:val="16"/>
              </w:rPr>
              <w:t>Marital home, 2918 Ridgeview Terrace, Naperville (bought 3/15/2016 for $685,000)</w:t>
            </w:r>
          </w:p>
        </w:tc>
        <w:tc>
          <w:tcPr>
            <w:tcW w:type="dxa" w:w="1080"/>
          </w:tcPr>
          <w:p>
            <w:r/>
            <w:r>
              <w:rPr>
                <w:b w:val="0"/>
                <w:sz w:val="16"/>
              </w:rPr>
              <w:t>Joint tenants w/ ROS</w:t>
            </w:r>
          </w:p>
        </w:tc>
        <w:tc>
          <w:tcPr>
            <w:tcW w:type="dxa" w:w="1296"/>
          </w:tcPr>
          <w:p>
            <w:r/>
            <w:r>
              <w:rPr>
                <w:b w:val="0"/>
                <w:sz w:val="16"/>
              </w:rPr>
              <w:t>$910,000 (her estimate; no appraisal)</w:t>
            </w:r>
          </w:p>
        </w:tc>
        <w:tc>
          <w:tcPr>
            <w:tcW w:type="dxa" w:w="1224"/>
          </w:tcPr>
          <w:p>
            <w:r/>
            <w:r>
              <w:rPr>
                <w:b w:val="0"/>
                <w:sz w:val="16"/>
              </w:rPr>
              <w:t>$412,000 Heartland, 30-yr fixed 3.75%</w:t>
            </w:r>
          </w:p>
        </w:tc>
        <w:tc>
          <w:tcPr>
            <w:tcW w:type="dxa" w:w="1656"/>
          </w:tcPr>
          <w:p>
            <w:r/>
            <w:r>
              <w:rPr>
                <w:b w:val="0"/>
                <w:sz w:val="16"/>
              </w:rPr>
              <w:t>Marital; wants to keep and buy out Derek; seeks credit for parental gift</w:t>
            </w:r>
          </w:p>
        </w:tc>
        <w:tc>
          <w:tcPr>
            <w:tcW w:type="dxa" w:w="2592"/>
          </w:tcPr>
          <w:p>
            <w:r/>
            <w:r>
              <w:rPr>
                <w:b w:val="0"/>
                <w:sz w:val="16"/>
              </w:rPr>
              <w:t>Marital. Equity ≈ $498,000. Parental gift ($80k/$90k) said to be to “us” and placed in joint tenancy → presumed gift to marital estate; reimbursement under 503(c)(2) unavailable for contributions that were gifts or untraceable. Kitchen ($58k, inheritance) same issue.</w:t>
            </w:r>
          </w:p>
        </w:tc>
      </w:tr>
      <w:tr>
        <w:tc>
          <w:tcPr>
            <w:tcW w:type="dxa" w:w="1800"/>
          </w:tcPr>
          <w:p>
            <w:r/>
            <w:r>
              <w:rPr>
                <w:b w:val="0"/>
                <w:sz w:val="16"/>
              </w:rPr>
              <w:t>Galena cabin, 7742 Pine Bluff Rd., Galena, IL 61036 (bought June 2019 for $220,000)</w:t>
            </w:r>
          </w:p>
        </w:tc>
        <w:tc>
          <w:tcPr>
            <w:tcW w:type="dxa" w:w="1080"/>
          </w:tcPr>
          <w:p>
            <w:r/>
            <w:r>
              <w:rPr>
                <w:b w:val="0"/>
                <w:sz w:val="16"/>
              </w:rPr>
              <w:t>Rachel only</w:t>
            </w:r>
          </w:p>
        </w:tc>
        <w:tc>
          <w:tcPr>
            <w:tcW w:type="dxa" w:w="1296"/>
          </w:tcPr>
          <w:p>
            <w:r/>
            <w:r>
              <w:rPr>
                <w:b w:val="0"/>
                <w:sz w:val="16"/>
              </w:rPr>
              <w:t>$265,000 (her estimate)</w:t>
            </w:r>
          </w:p>
        </w:tc>
        <w:tc>
          <w:tcPr>
            <w:tcW w:type="dxa" w:w="1224"/>
          </w:tcPr>
          <w:p>
            <w:r/>
            <w:r>
              <w:rPr>
                <w:b w:val="0"/>
                <w:sz w:val="16"/>
              </w:rPr>
              <w:t>$148,000 Heartland (~$950/mo.)</w:t>
            </w:r>
          </w:p>
        </w:tc>
        <w:tc>
          <w:tcPr>
            <w:tcW w:type="dxa" w:w="1656"/>
          </w:tcPr>
          <w:p>
            <w:r/>
            <w:r>
              <w:rPr>
                <w:b w:val="0"/>
                <w:sz w:val="16"/>
              </w:rPr>
              <w:t>Her separate property (“pre-marital savings”); wants to keep</w:t>
            </w:r>
          </w:p>
        </w:tc>
        <w:tc>
          <w:tcPr>
            <w:tcW w:type="dxa" w:w="2592"/>
          </w:tcPr>
          <w:p>
            <w:r/>
            <w:r>
              <w:rPr>
                <w:b w:val="0"/>
                <w:sz w:val="16"/>
              </w:rPr>
              <w:t>Presumptively marital (acquired during marriage; title not controlling). Must trace down payment to pre-marital funds by clear and convincing evidence; mortgage paydown likely marital. Equity ≈ $117,000. STR income ~$1,800/mo. May–Oct.</w:t>
            </w:r>
          </w:p>
        </w:tc>
      </w:tr>
      <w:tr>
        <w:tc>
          <w:tcPr>
            <w:tcW w:type="dxa" w:w="1800"/>
          </w:tcPr>
          <w:p>
            <w:r/>
            <w:r>
              <w:rPr>
                <w:b w:val="0"/>
                <w:sz w:val="16"/>
              </w:rPr>
              <w:t>Whitfield Digital Consulting, LLC (IL; formed Sept. 2018)</w:t>
            </w:r>
          </w:p>
        </w:tc>
        <w:tc>
          <w:tcPr>
            <w:tcW w:type="dxa" w:w="1080"/>
          </w:tcPr>
          <w:p>
            <w:r/>
            <w:r>
              <w:rPr>
                <w:b w:val="0"/>
                <w:sz w:val="16"/>
              </w:rPr>
              <w:t>Derek, sole member</w:t>
            </w:r>
          </w:p>
        </w:tc>
        <w:tc>
          <w:tcPr>
            <w:tcW w:type="dxa" w:w="1296"/>
          </w:tcPr>
          <w:p>
            <w:r/>
            <w:r>
              <w:rPr>
                <w:b w:val="0"/>
                <w:sz w:val="16"/>
              </w:rPr>
              <w:t>Unknown; no valuation</w:t>
            </w:r>
          </w:p>
        </w:tc>
        <w:tc>
          <w:tcPr>
            <w:tcW w:type="dxa" w:w="1224"/>
          </w:tcPr>
          <w:p>
            <w:r/>
            <w:r>
              <w:rPr>
                <w:b w:val="0"/>
                <w:sz w:val="16"/>
              </w:rPr>
              <w:t>LOC ~$45,000 (lender/terms unknown)</w:t>
            </w:r>
          </w:p>
        </w:tc>
        <w:tc>
          <w:tcPr>
            <w:tcW w:type="dxa" w:w="1656"/>
          </w:tcPr>
          <w:p>
            <w:r/>
            <w:r>
              <w:rPr>
                <w:b w:val="0"/>
                <w:sz w:val="16"/>
              </w:rPr>
              <w:t>Marital; wants formal valuation and her share</w:t>
            </w:r>
          </w:p>
        </w:tc>
        <w:tc>
          <w:tcPr>
            <w:tcW w:type="dxa" w:w="2592"/>
          </w:tcPr>
          <w:p>
            <w:r/>
            <w:r>
              <w:rPr>
                <w:b w:val="0"/>
                <w:sz w:val="16"/>
              </w:rPr>
              <w:t>Marital (formed during marriage) subject to § 4.3 check. Valuation must separate enterprise from personal goodwill (personal goodwill not divisible in Illinois) and avoid double-counting income used for support.</w:t>
            </w:r>
          </w:p>
        </w:tc>
      </w:tr>
      <w:tr>
        <w:tc>
          <w:tcPr>
            <w:tcW w:type="dxa" w:w="1800"/>
          </w:tcPr>
          <w:p>
            <w:r/>
            <w:r>
              <w:rPr>
                <w:b w:val="0"/>
                <w:sz w:val="16"/>
              </w:rPr>
              <w:t>Rachel 401(k) — Lakeshore Medical Group (Saxonbrook)</w:t>
            </w:r>
          </w:p>
        </w:tc>
        <w:tc>
          <w:tcPr>
            <w:tcW w:type="dxa" w:w="1080"/>
          </w:tcPr>
          <w:p>
            <w:r/>
            <w:r>
              <w:rPr>
                <w:b w:val="0"/>
                <w:sz w:val="16"/>
              </w:rPr>
              <w:t>Rachel</w:t>
            </w:r>
          </w:p>
        </w:tc>
        <w:tc>
          <w:tcPr>
            <w:tcW w:type="dxa" w:w="1296"/>
          </w:tcPr>
          <w:p>
            <w:r/>
            <w:r>
              <w:rPr>
                <w:b w:val="0"/>
                <w:sz w:val="16"/>
              </w:rPr>
              <w:t>$523,000</w:t>
            </w:r>
          </w:p>
        </w:tc>
        <w:tc>
          <w:tcPr>
            <w:tcW w:type="dxa" w:w="1224"/>
          </w:tcPr>
          <w:p>
            <w:r/>
            <w:r>
              <w:rPr>
                <w:b w:val="0"/>
                <w:sz w:val="16"/>
              </w:rPr>
              <w:t>—</w:t>
            </w:r>
          </w:p>
        </w:tc>
        <w:tc>
          <w:tcPr>
            <w:tcW w:type="dxa" w:w="1656"/>
          </w:tcPr>
          <w:p>
            <w:r/>
            <w:r>
              <w:rPr>
                <w:b w:val="0"/>
                <w:sz w:val="16"/>
              </w:rPr>
              <w:t>All earned during marriage; “worked hard for that”</w:t>
            </w:r>
          </w:p>
        </w:tc>
        <w:tc>
          <w:tcPr>
            <w:tcW w:type="dxa" w:w="2592"/>
          </w:tcPr>
          <w:p>
            <w:r/>
            <w:r>
              <w:rPr>
                <w:b w:val="0"/>
                <w:sz w:val="16"/>
              </w:rPr>
              <w:t>Marital in full (contributions since 2014). Her largest asset; ~$23,000/yr contributions continue post-filing.</w:t>
            </w:r>
          </w:p>
        </w:tc>
      </w:tr>
      <w:tr>
        <w:tc>
          <w:tcPr>
            <w:tcW w:type="dxa" w:w="1800"/>
          </w:tcPr>
          <w:p>
            <w:r/>
            <w:r>
              <w:rPr>
                <w:b w:val="0"/>
                <w:sz w:val="16"/>
              </w:rPr>
              <w:t>Derek SEP-IRA — Hartleigh</w:t>
            </w:r>
          </w:p>
        </w:tc>
        <w:tc>
          <w:tcPr>
            <w:tcW w:type="dxa" w:w="1080"/>
          </w:tcPr>
          <w:p>
            <w:r/>
            <w:r>
              <w:rPr>
                <w:b w:val="0"/>
                <w:sz w:val="16"/>
              </w:rPr>
              <w:t>Derek</w:t>
            </w:r>
          </w:p>
        </w:tc>
        <w:tc>
          <w:tcPr>
            <w:tcW w:type="dxa" w:w="1296"/>
          </w:tcPr>
          <w:p>
            <w:r/>
            <w:r>
              <w:rPr>
                <w:b w:val="0"/>
                <w:sz w:val="16"/>
              </w:rPr>
              <w:t>~$189,000</w:t>
            </w:r>
          </w:p>
        </w:tc>
        <w:tc>
          <w:tcPr>
            <w:tcW w:type="dxa" w:w="1224"/>
          </w:tcPr>
          <w:p>
            <w:r/>
            <w:r>
              <w:rPr>
                <w:b w:val="0"/>
                <w:sz w:val="16"/>
              </w:rPr>
              <w:t>—</w:t>
            </w:r>
          </w:p>
        </w:tc>
        <w:tc>
          <w:tcPr>
            <w:tcW w:type="dxa" w:w="1656"/>
          </w:tcPr>
          <w:p>
            <w:r/>
            <w:r>
              <w:rPr>
                <w:b w:val="0"/>
                <w:sz w:val="16"/>
              </w:rPr>
              <w:t>—</w:t>
            </w:r>
          </w:p>
        </w:tc>
        <w:tc>
          <w:tcPr>
            <w:tcW w:type="dxa" w:w="2592"/>
          </w:tcPr>
          <w:p>
            <w:r/>
            <w:r>
              <w:rPr>
                <w:b w:val="0"/>
                <w:sz w:val="16"/>
              </w:rPr>
              <w:t>Presumptively marital; confirm opening date and any pre-marital funds.</w:t>
            </w:r>
          </w:p>
        </w:tc>
      </w:tr>
      <w:tr>
        <w:tc>
          <w:tcPr>
            <w:tcW w:type="dxa" w:w="1800"/>
          </w:tcPr>
          <w:p>
            <w:r/>
            <w:r>
              <w:rPr>
                <w:b w:val="0"/>
                <w:sz w:val="16"/>
              </w:rPr>
              <w:t>Joint checking — Heartland National Bank</w:t>
            </w:r>
          </w:p>
        </w:tc>
        <w:tc>
          <w:tcPr>
            <w:tcW w:type="dxa" w:w="1080"/>
          </w:tcPr>
          <w:p>
            <w:r/>
            <w:r>
              <w:rPr>
                <w:b w:val="0"/>
                <w:sz w:val="16"/>
              </w:rPr>
              <w:t>Joint</w:t>
            </w:r>
          </w:p>
        </w:tc>
        <w:tc>
          <w:tcPr>
            <w:tcW w:type="dxa" w:w="1296"/>
          </w:tcPr>
          <w:p>
            <w:r/>
            <w:r>
              <w:rPr>
                <w:b w:val="0"/>
                <w:sz w:val="16"/>
              </w:rPr>
              <w:t>~$14,200</w:t>
            </w:r>
          </w:p>
        </w:tc>
        <w:tc>
          <w:tcPr>
            <w:tcW w:type="dxa" w:w="1224"/>
          </w:tcPr>
          <w:p>
            <w:r/>
            <w:r>
              <w:rPr>
                <w:b w:val="0"/>
                <w:sz w:val="16"/>
              </w:rPr>
              <w:t>—</w:t>
            </w:r>
          </w:p>
        </w:tc>
        <w:tc>
          <w:tcPr>
            <w:tcW w:type="dxa" w:w="1656"/>
          </w:tcPr>
          <w:p>
            <w:r/>
            <w:r>
              <w:rPr>
                <w:b w:val="0"/>
                <w:sz w:val="16"/>
              </w:rPr>
              <w:t>Fears Derek will drain</w:t>
            </w:r>
          </w:p>
        </w:tc>
        <w:tc>
          <w:tcPr>
            <w:tcW w:type="dxa" w:w="2592"/>
          </w:tcPr>
          <w:p>
            <w:r/>
            <w:r>
              <w:rPr>
                <w:b w:val="0"/>
                <w:sz w:val="16"/>
              </w:rPr>
              <w:t>Marital.</w:t>
            </w:r>
          </w:p>
        </w:tc>
      </w:tr>
      <w:tr>
        <w:tc>
          <w:tcPr>
            <w:tcW w:type="dxa" w:w="1800"/>
          </w:tcPr>
          <w:p>
            <w:r/>
            <w:r>
              <w:rPr>
                <w:b w:val="0"/>
                <w:sz w:val="16"/>
              </w:rPr>
              <w:t>Joint savings — Heartland National Bank</w:t>
            </w:r>
          </w:p>
        </w:tc>
        <w:tc>
          <w:tcPr>
            <w:tcW w:type="dxa" w:w="1080"/>
          </w:tcPr>
          <w:p>
            <w:r/>
            <w:r>
              <w:rPr>
                <w:b w:val="0"/>
                <w:sz w:val="16"/>
              </w:rPr>
              <w:t>Joint</w:t>
            </w:r>
          </w:p>
        </w:tc>
        <w:tc>
          <w:tcPr>
            <w:tcW w:type="dxa" w:w="1296"/>
          </w:tcPr>
          <w:p>
            <w:r/>
            <w:r>
              <w:rPr>
                <w:b w:val="0"/>
                <w:sz w:val="16"/>
              </w:rPr>
              <w:t>~$62,000</w:t>
            </w:r>
          </w:p>
        </w:tc>
        <w:tc>
          <w:tcPr>
            <w:tcW w:type="dxa" w:w="1224"/>
          </w:tcPr>
          <w:p>
            <w:r/>
            <w:r>
              <w:rPr>
                <w:b w:val="0"/>
                <w:sz w:val="16"/>
              </w:rPr>
              <w:t>—</w:t>
            </w:r>
          </w:p>
        </w:tc>
        <w:tc>
          <w:tcPr>
            <w:tcW w:type="dxa" w:w="1656"/>
          </w:tcPr>
          <w:p>
            <w:r/>
            <w:r>
              <w:rPr>
                <w:b w:val="0"/>
                <w:sz w:val="16"/>
              </w:rPr>
              <w:t>Fears Derek will drain</w:t>
            </w:r>
          </w:p>
        </w:tc>
        <w:tc>
          <w:tcPr>
            <w:tcW w:type="dxa" w:w="2592"/>
          </w:tcPr>
          <w:p>
            <w:r/>
            <w:r>
              <w:rPr>
                <w:b w:val="0"/>
                <w:sz w:val="16"/>
              </w:rPr>
              <w:t>Marital. (Source of 2016 down-payment balance.)</w:t>
            </w:r>
          </w:p>
        </w:tc>
      </w:tr>
      <w:tr>
        <w:tc>
          <w:tcPr>
            <w:tcW w:type="dxa" w:w="1800"/>
          </w:tcPr>
          <w:p>
            <w:r/>
            <w:r>
              <w:rPr>
                <w:b w:val="0"/>
                <w:sz w:val="16"/>
              </w:rPr>
              <w:t>Rachel individual savings — Heartland</w:t>
            </w:r>
          </w:p>
        </w:tc>
        <w:tc>
          <w:tcPr>
            <w:tcW w:type="dxa" w:w="1080"/>
          </w:tcPr>
          <w:p>
            <w:r/>
            <w:r>
              <w:rPr>
                <w:b w:val="0"/>
                <w:sz w:val="16"/>
              </w:rPr>
              <w:t>Rachel</w:t>
            </w:r>
          </w:p>
        </w:tc>
        <w:tc>
          <w:tcPr>
            <w:tcW w:type="dxa" w:w="1296"/>
          </w:tcPr>
          <w:p>
            <w:r/>
            <w:r>
              <w:rPr>
                <w:b w:val="0"/>
                <w:sz w:val="16"/>
              </w:rPr>
              <w:t>$38,500</w:t>
            </w:r>
          </w:p>
        </w:tc>
        <w:tc>
          <w:tcPr>
            <w:tcW w:type="dxa" w:w="1224"/>
          </w:tcPr>
          <w:p>
            <w:r/>
            <w:r>
              <w:rPr>
                <w:b w:val="0"/>
                <w:sz w:val="16"/>
              </w:rPr>
              <w:t>—</w:t>
            </w:r>
          </w:p>
        </w:tc>
        <w:tc>
          <w:tcPr>
            <w:tcW w:type="dxa" w:w="1656"/>
          </w:tcPr>
          <w:p>
            <w:r/>
            <w:r>
              <w:rPr>
                <w:b w:val="0"/>
                <w:sz w:val="16"/>
              </w:rPr>
              <w:t>Separate (inheritance)</w:t>
            </w:r>
          </w:p>
        </w:tc>
        <w:tc>
          <w:tcPr>
            <w:tcW w:type="dxa" w:w="2592"/>
          </w:tcPr>
          <w:p>
            <w:r/>
            <w:r>
              <w:rPr>
                <w:b w:val="0"/>
                <w:sz w:val="16"/>
              </w:rPr>
              <w:t>Separate if the account holds only inheritance funds and is unmixed (prenup § 3.2). Need statements Feb. 2020–present to trace and to explain the ~$78,500 shortfall.</w:t>
            </w:r>
          </w:p>
        </w:tc>
      </w:tr>
      <w:tr>
        <w:tc>
          <w:tcPr>
            <w:tcW w:type="dxa" w:w="1800"/>
          </w:tcPr>
          <w:p>
            <w:r/>
            <w:r>
              <w:rPr>
                <w:b w:val="0"/>
                <w:sz w:val="16"/>
              </w:rPr>
              <w:t>Whitcroft brokerage (opened 2008)</w:t>
            </w:r>
          </w:p>
        </w:tc>
        <w:tc>
          <w:tcPr>
            <w:tcW w:type="dxa" w:w="1080"/>
          </w:tcPr>
          <w:p>
            <w:r/>
            <w:r>
              <w:rPr>
                <w:b w:val="0"/>
                <w:sz w:val="16"/>
              </w:rPr>
              <w:t>Rachel</w:t>
            </w:r>
          </w:p>
        </w:tc>
        <w:tc>
          <w:tcPr>
            <w:tcW w:type="dxa" w:w="1296"/>
          </w:tcPr>
          <w:p>
            <w:r/>
            <w:r>
              <w:rPr>
                <w:b w:val="0"/>
                <w:sz w:val="16"/>
              </w:rPr>
              <w:t>~$112,000 (≈$45,000 at marriage)</w:t>
            </w:r>
          </w:p>
        </w:tc>
        <w:tc>
          <w:tcPr>
            <w:tcW w:type="dxa" w:w="1224"/>
          </w:tcPr>
          <w:p>
            <w:r/>
            <w:r>
              <w:rPr>
                <w:b w:val="0"/>
                <w:sz w:val="16"/>
              </w:rPr>
              <w:t>—</w:t>
            </w:r>
          </w:p>
        </w:tc>
        <w:tc>
          <w:tcPr>
            <w:tcW w:type="dxa" w:w="1656"/>
          </w:tcPr>
          <w:p>
            <w:r/>
            <w:r>
              <w:rPr>
                <w:b w:val="0"/>
                <w:sz w:val="16"/>
              </w:rPr>
              <w:t>Partly pre-marital; wants “fair” treatment</w:t>
            </w:r>
          </w:p>
        </w:tc>
        <w:tc>
          <w:tcPr>
            <w:tcW w:type="dxa" w:w="2592"/>
          </w:tcPr>
          <w:p>
            <w:r/>
            <w:r>
              <w:rPr>
                <w:b w:val="0"/>
                <w:sz w:val="16"/>
              </w:rPr>
              <w:t>Mixed. Pre-marital $45k plus passive growth may be separate (prenup §§ 3.1, 3.3 if scheduled); marital contributions and related growth marital; commingling risk.</w:t>
            </w:r>
          </w:p>
        </w:tc>
      </w:tr>
      <w:tr>
        <w:tc>
          <w:tcPr>
            <w:tcW w:type="dxa" w:w="1800"/>
          </w:tcPr>
          <w:p>
            <w:r/>
            <w:r>
              <w:rPr>
                <w:b w:val="0"/>
                <w:sz w:val="16"/>
              </w:rPr>
              <w:t>529 plans — Bright Future College Savings (IL)</w:t>
            </w:r>
          </w:p>
        </w:tc>
        <w:tc>
          <w:tcPr>
            <w:tcW w:type="dxa" w:w="1080"/>
          </w:tcPr>
          <w:p>
            <w:r/>
            <w:r>
              <w:rPr>
                <w:b w:val="0"/>
                <w:sz w:val="16"/>
              </w:rPr>
              <w:t>Rachel as owner</w:t>
            </w:r>
          </w:p>
        </w:tc>
        <w:tc>
          <w:tcPr>
            <w:tcW w:type="dxa" w:w="1296"/>
          </w:tcPr>
          <w:p>
            <w:r/>
            <w:r>
              <w:rPr>
                <w:b w:val="0"/>
                <w:sz w:val="16"/>
              </w:rPr>
              <w:t>Ethan $47,000; Lily $31,000; Owen $18,000 (total $96,000)</w:t>
            </w:r>
          </w:p>
        </w:tc>
        <w:tc>
          <w:tcPr>
            <w:tcW w:type="dxa" w:w="1224"/>
          </w:tcPr>
          <w:p>
            <w:r/>
            <w:r>
              <w:rPr>
                <w:b w:val="0"/>
                <w:sz w:val="16"/>
              </w:rPr>
              <w:t>—</w:t>
            </w:r>
          </w:p>
        </w:tc>
        <w:tc>
          <w:tcPr>
            <w:tcW w:type="dxa" w:w="1656"/>
          </w:tcPr>
          <w:p>
            <w:r/>
            <w:r>
              <w:rPr>
                <w:b w:val="0"/>
                <w:sz w:val="16"/>
              </w:rPr>
              <w:t>Both contributed</w:t>
            </w:r>
          </w:p>
        </w:tc>
        <w:tc>
          <w:tcPr>
            <w:tcW w:type="dxa" w:w="2592"/>
          </w:tcPr>
          <w:p>
            <w:r/>
            <w:r>
              <w:rPr>
                <w:b w:val="0"/>
                <w:sz w:val="16"/>
              </w:rPr>
              <w:t>Marital; typically preserved for the children — address ownership/control in judgment.</w:t>
            </w:r>
          </w:p>
        </w:tc>
      </w:tr>
      <w:tr>
        <w:tc>
          <w:tcPr>
            <w:tcW w:type="dxa" w:w="1800"/>
          </w:tcPr>
          <w:p>
            <w:r/>
            <w:r>
              <w:rPr>
                <w:b w:val="0"/>
                <w:sz w:val="16"/>
              </w:rPr>
              <w:t>Coinbase (BTC/ETH) and any external wallet</w:t>
            </w:r>
          </w:p>
        </w:tc>
        <w:tc>
          <w:tcPr>
            <w:tcW w:type="dxa" w:w="1080"/>
          </w:tcPr>
          <w:p>
            <w:r/>
            <w:r>
              <w:rPr>
                <w:b w:val="0"/>
                <w:sz w:val="16"/>
              </w:rPr>
              <w:t>Derek</w:t>
            </w:r>
          </w:p>
        </w:tc>
        <w:tc>
          <w:tcPr>
            <w:tcW w:type="dxa" w:w="1296"/>
          </w:tcPr>
          <w:p>
            <w:r/>
            <w:r>
              <w:rPr>
                <w:b w:val="0"/>
                <w:sz w:val="16"/>
              </w:rPr>
              <w:t>~$85,000 (observed late Nov. 2024; no screenshot)</w:t>
            </w:r>
          </w:p>
        </w:tc>
        <w:tc>
          <w:tcPr>
            <w:tcW w:type="dxa" w:w="1224"/>
          </w:tcPr>
          <w:p>
            <w:r/>
            <w:r>
              <w:rPr>
                <w:b w:val="0"/>
                <w:sz w:val="16"/>
              </w:rPr>
              <w:t>—</w:t>
            </w:r>
          </w:p>
        </w:tc>
        <w:tc>
          <w:tcPr>
            <w:tcW w:type="dxa" w:w="1656"/>
          </w:tcPr>
          <w:p>
            <w:r/>
            <w:r>
              <w:rPr>
                <w:b w:val="0"/>
                <w:sz w:val="16"/>
              </w:rPr>
              <w:t>Believes he moved crypto to a private wallet to hide it</w:t>
            </w:r>
          </w:p>
        </w:tc>
        <w:tc>
          <w:tcPr>
            <w:tcW w:type="dxa" w:w="2592"/>
          </w:tcPr>
          <w:p>
            <w:r/>
            <w:r>
              <w:rPr>
                <w:b w:val="0"/>
                <w:sz w:val="16"/>
              </w:rPr>
              <w:t>Marital. Possible dissipation/concealment after breakdown of marriage; tracing via Coinbase records and blockchain analysis.</w:t>
            </w:r>
          </w:p>
        </w:tc>
      </w:tr>
      <w:tr>
        <w:tc>
          <w:tcPr>
            <w:tcW w:type="dxa" w:w="1800"/>
          </w:tcPr>
          <w:p>
            <w:r/>
            <w:r>
              <w:rPr>
                <w:b w:val="0"/>
                <w:sz w:val="16"/>
              </w:rPr>
              <w:t>Vehicles, household goods, life insurance, Derek’s personal/business bank accounts, business receivables</w:t>
            </w:r>
          </w:p>
        </w:tc>
        <w:tc>
          <w:tcPr>
            <w:tcW w:type="dxa" w:w="1080"/>
          </w:tcPr>
          <w:p>
            <w:r/>
            <w:r>
              <w:rPr>
                <w:b w:val="0"/>
                <w:sz w:val="16"/>
              </w:rPr>
              <w:t>—</w:t>
            </w:r>
          </w:p>
        </w:tc>
        <w:tc>
          <w:tcPr>
            <w:tcW w:type="dxa" w:w="1296"/>
          </w:tcPr>
          <w:p>
            <w:r/>
            <w:r>
              <w:rPr>
                <w:b w:val="0"/>
                <w:sz w:val="16"/>
              </w:rPr>
              <w:t>Not listed (“Not that I can think of”)</w:t>
            </w:r>
          </w:p>
        </w:tc>
        <w:tc>
          <w:tcPr>
            <w:tcW w:type="dxa" w:w="1224"/>
          </w:tcPr>
          <w:p>
            <w:r/>
            <w:r>
              <w:rPr>
                <w:b w:val="0"/>
                <w:sz w:val="16"/>
              </w:rPr>
              <w:t>—</w:t>
            </w:r>
          </w:p>
        </w:tc>
        <w:tc>
          <w:tcPr>
            <w:tcW w:type="dxa" w:w="1656"/>
          </w:tcPr>
          <w:p>
            <w:r/>
            <w:r>
              <w:rPr>
                <w:b w:val="0"/>
                <w:sz w:val="16"/>
              </w:rPr>
              <w:t>—</w:t>
            </w:r>
          </w:p>
        </w:tc>
        <w:tc>
          <w:tcPr>
            <w:tcW w:type="dxa" w:w="2592"/>
          </w:tcPr>
          <w:p>
            <w:r/>
            <w:r>
              <w:rPr>
                <w:b w:val="0"/>
                <w:sz w:val="16"/>
              </w:rPr>
              <w:t>Gap — must be completed for Financial Affidavit.</w:t>
            </w:r>
          </w:p>
        </w:tc>
      </w:tr>
    </w:tbl>
    <w:p>
      <w:pPr>
        <w:spacing w:after="40"/>
      </w:pPr>
    </w:p>
    <w:p>
      <w:pPr>
        <w:pStyle w:val="Heading2"/>
      </w:pPr>
      <w:r>
        <w:t>8.2 Liabilities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872"/>
            <w:shd w:val="clear" w:color="auto" w:fill="1F3A5F"/>
          </w:tcPr>
          <w:p>
            <w:r/>
            <w:r>
              <w:rPr>
                <w:b/>
                <w:color w:val="FFFFFF"/>
                <w:sz w:val="18"/>
              </w:rPr>
              <w:t>Debt</w:t>
            </w:r>
          </w:p>
        </w:tc>
        <w:tc>
          <w:tcPr>
            <w:tcW w:type="dxa" w:w="1728"/>
            <w:shd w:val="clear" w:color="auto" w:fill="1F3A5F"/>
          </w:tcPr>
          <w:p>
            <w:r/>
            <w:r>
              <w:rPr>
                <w:b/>
                <w:color w:val="FFFFFF"/>
                <w:sz w:val="18"/>
              </w:rPr>
              <w:t>Creditor</w:t>
            </w:r>
          </w:p>
        </w:tc>
        <w:tc>
          <w:tcPr>
            <w:tcW w:type="dxa" w:w="1152"/>
            <w:shd w:val="clear" w:color="auto" w:fill="1F3A5F"/>
          </w:tcPr>
          <w:p>
            <w:r/>
            <w:r>
              <w:rPr>
                <w:b/>
                <w:color w:val="FFFFFF"/>
                <w:sz w:val="18"/>
              </w:rPr>
              <w:t>Balance</w:t>
            </w:r>
          </w:p>
        </w:tc>
        <w:tc>
          <w:tcPr>
            <w:tcW w:type="dxa" w:w="1440"/>
            <w:shd w:val="clear" w:color="auto" w:fill="1F3A5F"/>
          </w:tcPr>
          <w:p>
            <w:r/>
            <w:r>
              <w:rPr>
                <w:b/>
                <w:color w:val="FFFFFF"/>
                <w:sz w:val="18"/>
              </w:rPr>
              <w:t>Obligor</w:t>
            </w:r>
          </w:p>
        </w:tc>
        <w:tc>
          <w:tcPr>
            <w:tcW w:type="dxa" w:w="3456"/>
            <w:shd w:val="clear" w:color="auto" w:fill="1F3A5F"/>
          </w:tcPr>
          <w:p>
            <w:r/>
            <w:r>
              <w:rPr>
                <w:b/>
                <w:color w:val="FFFFFF"/>
                <w:sz w:val="18"/>
              </w:rPr>
              <w:t>Notes</w:t>
            </w:r>
          </w:p>
        </w:tc>
      </w:tr>
      <w:tr>
        <w:tc>
          <w:tcPr>
            <w:tcW w:type="dxa" w:w="1872"/>
          </w:tcPr>
          <w:p>
            <w:r/>
            <w:r>
              <w:rPr>
                <w:b w:val="0"/>
                <w:sz w:val="18"/>
              </w:rPr>
              <w:t>Mortgage — marital home</w:t>
            </w:r>
          </w:p>
        </w:tc>
        <w:tc>
          <w:tcPr>
            <w:tcW w:type="dxa" w:w="1728"/>
          </w:tcPr>
          <w:p>
            <w:r/>
            <w:r>
              <w:rPr>
                <w:b w:val="0"/>
                <w:sz w:val="18"/>
              </w:rPr>
              <w:t>Heartland National Bank</w:t>
            </w:r>
          </w:p>
        </w:tc>
        <w:tc>
          <w:tcPr>
            <w:tcW w:type="dxa" w:w="1152"/>
          </w:tcPr>
          <w:p>
            <w:r/>
            <w:r>
              <w:rPr>
                <w:b w:val="0"/>
                <w:sz w:val="18"/>
              </w:rPr>
              <w:t>$412,000</w:t>
            </w:r>
          </w:p>
        </w:tc>
        <w:tc>
          <w:tcPr>
            <w:tcW w:type="dxa" w:w="1440"/>
          </w:tcPr>
          <w:p>
            <w:r/>
            <w:r>
              <w:rPr>
                <w:b w:val="0"/>
                <w:sz w:val="18"/>
              </w:rPr>
              <w:t>Joint</w:t>
            </w:r>
          </w:p>
        </w:tc>
        <w:tc>
          <w:tcPr>
            <w:tcW w:type="dxa" w:w="3456"/>
          </w:tcPr>
          <w:p>
            <w:r/>
            <w:r>
              <w:rPr>
                <w:b w:val="0"/>
                <w:sz w:val="18"/>
              </w:rPr>
              <w:t>Client cites ~$2,400/mo. Note: original 30-yr loan of ~$548,000 at 3.75% would carry P&amp;I of ~$2,538/mo. and a balance near $440,000 today; figures suggest a refinance or prepayments — obtain loan history.</w:t>
            </w:r>
          </w:p>
        </w:tc>
      </w:tr>
      <w:tr>
        <w:tc>
          <w:tcPr>
            <w:tcW w:type="dxa" w:w="1872"/>
          </w:tcPr>
          <w:p>
            <w:r/>
            <w:r>
              <w:rPr>
                <w:b w:val="0"/>
                <w:sz w:val="18"/>
              </w:rPr>
              <w:t>Mortgage — Galena cabin</w:t>
            </w:r>
          </w:p>
        </w:tc>
        <w:tc>
          <w:tcPr>
            <w:tcW w:type="dxa" w:w="1728"/>
          </w:tcPr>
          <w:p>
            <w:r/>
            <w:r>
              <w:rPr>
                <w:b w:val="0"/>
                <w:sz w:val="18"/>
              </w:rPr>
              <w:t>Heartland National Bank</w:t>
            </w:r>
          </w:p>
        </w:tc>
        <w:tc>
          <w:tcPr>
            <w:tcW w:type="dxa" w:w="1152"/>
          </w:tcPr>
          <w:p>
            <w:r/>
            <w:r>
              <w:rPr>
                <w:b w:val="0"/>
                <w:sz w:val="18"/>
              </w:rPr>
              <w:t>$148,000</w:t>
            </w:r>
          </w:p>
        </w:tc>
        <w:tc>
          <w:tcPr>
            <w:tcW w:type="dxa" w:w="1440"/>
          </w:tcPr>
          <w:p>
            <w:r/>
            <w:r>
              <w:rPr>
                <w:b w:val="0"/>
                <w:sz w:val="18"/>
              </w:rPr>
              <w:t>Rachel</w:t>
            </w:r>
          </w:p>
        </w:tc>
        <w:tc>
          <w:tcPr>
            <w:tcW w:type="dxa" w:w="3456"/>
          </w:tcPr>
          <w:p>
            <w:r/>
            <w:r>
              <w:rPr>
                <w:b w:val="0"/>
                <w:sz w:val="18"/>
              </w:rPr>
              <w:t>~$950/mo. Confirm whether Derek is co-borrower and which account pays it.</w:t>
            </w:r>
          </w:p>
        </w:tc>
      </w:tr>
      <w:tr>
        <w:tc>
          <w:tcPr>
            <w:tcW w:type="dxa" w:w="1872"/>
          </w:tcPr>
          <w:p>
            <w:r/>
            <w:r>
              <w:rPr>
                <w:b w:val="0"/>
                <w:sz w:val="18"/>
              </w:rPr>
              <w:t>Federal student loans</w:t>
            </w:r>
          </w:p>
        </w:tc>
        <w:tc>
          <w:tcPr>
            <w:tcW w:type="dxa" w:w="1728"/>
          </w:tcPr>
          <w:p>
            <w:r/>
            <w:r>
              <w:rPr>
                <w:b w:val="0"/>
                <w:sz w:val="18"/>
              </w:rPr>
              <w:t>U.S. Dept. of Education</w:t>
            </w:r>
          </w:p>
        </w:tc>
        <w:tc>
          <w:tcPr>
            <w:tcW w:type="dxa" w:w="1152"/>
          </w:tcPr>
          <w:p>
            <w:r/>
            <w:r>
              <w:rPr>
                <w:b w:val="0"/>
                <w:sz w:val="18"/>
              </w:rPr>
              <w:t>$34,000</w:t>
            </w:r>
          </w:p>
        </w:tc>
        <w:tc>
          <w:tcPr>
            <w:tcW w:type="dxa" w:w="1440"/>
          </w:tcPr>
          <w:p>
            <w:r/>
            <w:r>
              <w:rPr>
                <w:b w:val="0"/>
                <w:sz w:val="18"/>
              </w:rPr>
              <w:t>Rachel</w:t>
            </w:r>
          </w:p>
        </w:tc>
        <w:tc>
          <w:tcPr>
            <w:tcW w:type="dxa" w:w="3456"/>
          </w:tcPr>
          <w:p>
            <w:r/>
            <w:r>
              <w:rPr>
                <w:b w:val="0"/>
                <w:sz w:val="18"/>
              </w:rPr>
              <w:t>Originally ~$180,000; IDR ~$400/mo.; PSLF expected (see § 9.4). Largely pre-marital/early-marriage debt serviced with marital funds.</w:t>
            </w:r>
          </w:p>
        </w:tc>
      </w:tr>
      <w:tr>
        <w:tc>
          <w:tcPr>
            <w:tcW w:type="dxa" w:w="1872"/>
          </w:tcPr>
          <w:p>
            <w:r/>
            <w:r>
              <w:rPr>
                <w:b w:val="0"/>
                <w:sz w:val="18"/>
              </w:rPr>
              <w:t>Credit card — Chase Sapphire</w:t>
            </w:r>
          </w:p>
        </w:tc>
        <w:tc>
          <w:tcPr>
            <w:tcW w:type="dxa" w:w="1728"/>
          </w:tcPr>
          <w:p>
            <w:r/>
            <w:r>
              <w:rPr>
                <w:b w:val="0"/>
                <w:sz w:val="18"/>
              </w:rPr>
              <w:t>Chase</w:t>
            </w:r>
          </w:p>
        </w:tc>
        <w:tc>
          <w:tcPr>
            <w:tcW w:type="dxa" w:w="1152"/>
          </w:tcPr>
          <w:p>
            <w:r/>
            <w:r>
              <w:rPr>
                <w:b w:val="0"/>
                <w:sz w:val="18"/>
              </w:rPr>
              <w:t>$8,700</w:t>
            </w:r>
          </w:p>
        </w:tc>
        <w:tc>
          <w:tcPr>
            <w:tcW w:type="dxa" w:w="1440"/>
          </w:tcPr>
          <w:p>
            <w:r/>
            <w:r>
              <w:rPr>
                <w:b w:val="0"/>
                <w:sz w:val="18"/>
              </w:rPr>
              <w:t>Joint</w:t>
            </w:r>
          </w:p>
        </w:tc>
        <w:tc>
          <w:tcPr>
            <w:tcW w:type="dxa" w:w="3456"/>
          </w:tcPr>
          <w:p>
            <w:r/>
            <w:r>
              <w:rPr>
                <w:b w:val="0"/>
                <w:sz w:val="18"/>
              </w:rPr>
              <w:t xml:space="preserve">Includes holiday spending and </w:t>
            </w:r>
            <w:r>
              <w:rPr>
                <w:b/>
                <w:sz w:val="18"/>
              </w:rPr>
              <w:t>the retainer paid to our firm</w:t>
            </w:r>
            <w:r>
              <w:rPr>
                <w:b w:val="0"/>
                <w:sz w:val="18"/>
              </w:rPr>
              <w:t xml:space="preserve"> — expect Derek to seek credit; consider 750 ILCS 5/501(c-1).</w:t>
            </w:r>
          </w:p>
        </w:tc>
      </w:tr>
      <w:tr>
        <w:tc>
          <w:tcPr>
            <w:tcW w:type="dxa" w:w="1872"/>
          </w:tcPr>
          <w:p>
            <w:r/>
            <w:r>
              <w:rPr>
                <w:b w:val="0"/>
                <w:sz w:val="18"/>
              </w:rPr>
              <w:t>Business line of credit</w:t>
            </w:r>
          </w:p>
        </w:tc>
        <w:tc>
          <w:tcPr>
            <w:tcW w:type="dxa" w:w="1728"/>
          </w:tcPr>
          <w:p>
            <w:r/>
            <w:r>
              <w:rPr>
                <w:b w:val="0"/>
                <w:sz w:val="18"/>
              </w:rPr>
              <w:t>Unknown</w:t>
            </w:r>
          </w:p>
        </w:tc>
        <w:tc>
          <w:tcPr>
            <w:tcW w:type="dxa" w:w="1152"/>
          </w:tcPr>
          <w:p>
            <w:r/>
            <w:r>
              <w:rPr>
                <w:b w:val="0"/>
                <w:sz w:val="18"/>
              </w:rPr>
              <w:t>~$45,000</w:t>
            </w:r>
          </w:p>
        </w:tc>
        <w:tc>
          <w:tcPr>
            <w:tcW w:type="dxa" w:w="1440"/>
          </w:tcPr>
          <w:p>
            <w:r/>
            <w:r>
              <w:rPr>
                <w:b w:val="0"/>
                <w:sz w:val="18"/>
              </w:rPr>
              <w:t>Derek / Whitfield Digital Consulting, LLC</w:t>
            </w:r>
          </w:p>
        </w:tc>
        <w:tc>
          <w:tcPr>
            <w:tcW w:type="dxa" w:w="3456"/>
          </w:tcPr>
          <w:p>
            <w:r/>
            <w:r>
              <w:rPr>
                <w:b w:val="0"/>
                <w:sz w:val="18"/>
              </w:rPr>
              <w:t>Lender and terms unknown; may be a personal guaranty.</w:t>
            </w:r>
          </w:p>
        </w:tc>
      </w:tr>
    </w:tbl>
    <w:p>
      <w:pPr>
        <w:spacing w:after="40"/>
      </w:pPr>
    </w:p>
    <w:p>
      <w:pPr>
        <w:pStyle w:val="Heading2"/>
      </w:pPr>
      <w:r>
        <w:t>8.3 Rough net marital-estate picture (Client figures, before characterization disputes and excluding business value)</w:t>
      </w:r>
    </w:p>
    <w:tbl>
      <w:tblPr>
        <w:tblStyle w:val="TableGrid"/>
        <w:tblW w:type="auto" w:w="0"/>
        <w:jc w:val="center"/>
        <w:tblLook w:firstColumn="1" w:firstRow="1" w:lastColumn="0" w:lastRow="0" w:noHBand="0" w:noVBand="1" w:val="04A0"/>
      </w:tblPr>
      <w:tblGrid>
        <w:gridCol w:w="4824"/>
        <w:gridCol w:w="4824"/>
      </w:tblGrid>
      <w:tr>
        <w:tc>
          <w:tcPr>
            <w:tcW w:type="dxa" w:w="7488"/>
            <w:shd w:val="clear" w:color="auto" w:fill="1F3A5F"/>
          </w:tcPr>
          <w:p>
            <w:r/>
            <w:r>
              <w:rPr>
                <w:b/>
                <w:color w:val="FFFFFF"/>
                <w:sz w:val="18"/>
              </w:rPr>
              <w:t>Category</w:t>
            </w:r>
          </w:p>
        </w:tc>
        <w:tc>
          <w:tcPr>
            <w:tcW w:type="dxa" w:w="2160"/>
            <w:shd w:val="clear" w:color="auto" w:fill="1F3A5F"/>
          </w:tcPr>
          <w:p>
            <w:r/>
            <w:r>
              <w:rPr>
                <w:b/>
                <w:color w:val="FFFFFF"/>
                <w:sz w:val="18"/>
              </w:rPr>
              <w:t>Amount</w:t>
            </w:r>
          </w:p>
        </w:tc>
      </w:tr>
      <w:tr>
        <w:tc>
          <w:tcPr>
            <w:tcW w:type="dxa" w:w="7488"/>
          </w:tcPr>
          <w:p>
            <w:r/>
            <w:r>
              <w:rPr>
                <w:b w:val="0"/>
                <w:sz w:val="18"/>
              </w:rPr>
              <w:t>Real-estate equity (home $498,000 + cabin $117,000)</w:t>
            </w:r>
          </w:p>
        </w:tc>
        <w:tc>
          <w:tcPr>
            <w:tcW w:type="dxa" w:w="2160"/>
          </w:tcPr>
          <w:p>
            <w:r/>
            <w:r>
              <w:rPr>
                <w:b w:val="0"/>
                <w:sz w:val="18"/>
              </w:rPr>
              <w:t>$615,000</w:t>
            </w:r>
          </w:p>
        </w:tc>
      </w:tr>
      <w:tr>
        <w:tc>
          <w:tcPr>
            <w:tcW w:type="dxa" w:w="7488"/>
          </w:tcPr>
          <w:p>
            <w:r/>
            <w:r>
              <w:rPr>
                <w:b w:val="0"/>
                <w:sz w:val="18"/>
              </w:rPr>
              <w:t>Retirement (401(k) $523,000 + SEP-IRA $189,000)</w:t>
            </w:r>
          </w:p>
        </w:tc>
        <w:tc>
          <w:tcPr>
            <w:tcW w:type="dxa" w:w="2160"/>
          </w:tcPr>
          <w:p>
            <w:r/>
            <w:r>
              <w:rPr>
                <w:b w:val="0"/>
                <w:sz w:val="18"/>
              </w:rPr>
              <w:t>$712,000</w:t>
            </w:r>
          </w:p>
        </w:tc>
      </w:tr>
      <w:tr>
        <w:tc>
          <w:tcPr>
            <w:tcW w:type="dxa" w:w="7488"/>
          </w:tcPr>
          <w:p>
            <w:r/>
            <w:r>
              <w:rPr>
                <w:b w:val="0"/>
                <w:sz w:val="18"/>
              </w:rPr>
              <w:t>Bank (joint checking $14,200 + joint savings $62,000 + individual savings $38,500)</w:t>
            </w:r>
          </w:p>
        </w:tc>
        <w:tc>
          <w:tcPr>
            <w:tcW w:type="dxa" w:w="2160"/>
          </w:tcPr>
          <w:p>
            <w:r/>
            <w:r>
              <w:rPr>
                <w:b w:val="0"/>
                <w:sz w:val="18"/>
              </w:rPr>
              <w:t>$114,700</w:t>
            </w:r>
          </w:p>
        </w:tc>
      </w:tr>
      <w:tr>
        <w:tc>
          <w:tcPr>
            <w:tcW w:type="dxa" w:w="7488"/>
          </w:tcPr>
          <w:p>
            <w:r/>
            <w:r>
              <w:rPr>
                <w:b w:val="0"/>
                <w:sz w:val="18"/>
              </w:rPr>
              <w:t>Whitcroft brokerage</w:t>
            </w:r>
          </w:p>
        </w:tc>
        <w:tc>
          <w:tcPr>
            <w:tcW w:type="dxa" w:w="2160"/>
          </w:tcPr>
          <w:p>
            <w:r/>
            <w:r>
              <w:rPr>
                <w:b w:val="0"/>
                <w:sz w:val="18"/>
              </w:rPr>
              <w:t>$112,000</w:t>
            </w:r>
          </w:p>
        </w:tc>
      </w:tr>
      <w:tr>
        <w:tc>
          <w:tcPr>
            <w:tcW w:type="dxa" w:w="7488"/>
          </w:tcPr>
          <w:p>
            <w:r/>
            <w:r>
              <w:rPr>
                <w:b w:val="0"/>
                <w:sz w:val="18"/>
              </w:rPr>
              <w:t>529 plans</w:t>
            </w:r>
          </w:p>
        </w:tc>
        <w:tc>
          <w:tcPr>
            <w:tcW w:type="dxa" w:w="2160"/>
          </w:tcPr>
          <w:p>
            <w:r/>
            <w:r>
              <w:rPr>
                <w:b w:val="0"/>
                <w:sz w:val="18"/>
              </w:rPr>
              <w:t>$96,000</w:t>
            </w:r>
          </w:p>
        </w:tc>
      </w:tr>
      <w:tr>
        <w:tc>
          <w:tcPr>
            <w:tcW w:type="dxa" w:w="7488"/>
          </w:tcPr>
          <w:p>
            <w:r/>
            <w:r>
              <w:rPr>
                <w:b w:val="0"/>
                <w:sz w:val="18"/>
              </w:rPr>
              <w:t>Cryptocurrency (late-Nov. 2024 observation)</w:t>
            </w:r>
          </w:p>
        </w:tc>
        <w:tc>
          <w:tcPr>
            <w:tcW w:type="dxa" w:w="2160"/>
          </w:tcPr>
          <w:p>
            <w:r/>
            <w:r>
              <w:rPr>
                <w:b w:val="0"/>
                <w:sz w:val="18"/>
              </w:rPr>
              <w:t>$85,000</w:t>
            </w:r>
          </w:p>
        </w:tc>
      </w:tr>
      <w:tr>
        <w:tc>
          <w:tcPr>
            <w:tcW w:type="dxa" w:w="7488"/>
          </w:tcPr>
          <w:p>
            <w:r/>
            <w:r>
              <w:rPr>
                <w:b w:val="0"/>
                <w:sz w:val="18"/>
              </w:rPr>
              <w:t>Less: student loans ($34,000), Chase card ($8,700), business LOC ($45,000)</w:t>
            </w:r>
          </w:p>
        </w:tc>
        <w:tc>
          <w:tcPr>
            <w:tcW w:type="dxa" w:w="2160"/>
          </w:tcPr>
          <w:p>
            <w:r/>
            <w:r>
              <w:rPr>
                <w:b w:val="0"/>
                <w:sz w:val="18"/>
              </w:rPr>
              <w:t>($87,700)</w:t>
            </w:r>
          </w:p>
        </w:tc>
      </w:tr>
      <w:tr>
        <w:tc>
          <w:tcPr>
            <w:tcW w:type="dxa" w:w="7488"/>
          </w:tcPr>
          <w:p>
            <w:r/>
            <w:r>
              <w:rPr>
                <w:b/>
                <w:sz w:val="18"/>
              </w:rPr>
              <w:t>Indicative total (all characterizations; excl. business)</w:t>
            </w:r>
          </w:p>
        </w:tc>
        <w:tc>
          <w:tcPr>
            <w:tcW w:type="dxa" w:w="2160"/>
          </w:tcPr>
          <w:p>
            <w:r/>
            <w:r>
              <w:rPr>
                <w:b/>
                <w:sz w:val="18"/>
              </w:rPr>
              <w:t>≈ $1,647,000</w:t>
            </w:r>
          </w:p>
        </w:tc>
      </w:tr>
      <w:tr>
        <w:tc>
          <w:tcPr>
            <w:tcW w:type="dxa" w:w="7488"/>
          </w:tcPr>
          <w:p>
            <w:r/>
            <w:r>
              <w:rPr>
                <w:b w:val="0"/>
                <w:sz w:val="18"/>
              </w:rPr>
              <w:t>Of which Client claims separate: cabin equity, individual savings, Whitcroft pre-marital portion, gift/inheritance credits</w:t>
            </w:r>
          </w:p>
        </w:tc>
        <w:tc>
          <w:tcPr>
            <w:tcW w:type="dxa" w:w="2160"/>
          </w:tcPr>
          <w:p>
            <w:r/>
            <w:r>
              <w:rPr>
                <w:b w:val="0"/>
                <w:sz w:val="18"/>
              </w:rPr>
              <w:t>Up to ≈ $338,500 + reimbursement claims ($80–90k gift; up to $58k kitchen)</w:t>
            </w:r>
          </w:p>
        </w:tc>
      </w:tr>
    </w:tbl>
    <w:p>
      <w:pPr>
        <w:spacing w:after="40"/>
      </w:pPr>
    </w:p>
    <w:p>
      <w:pPr>
        <w:pStyle w:val="Heading1"/>
      </w:pPr>
      <w:r>
        <w:t>9. Income, Business and Support</w:t>
      </w:r>
    </w:p>
    <w:p>
      <w:pPr>
        <w:pStyle w:val="Heading2"/>
      </w:pPr>
      <w:r>
        <w:t>9.1 Whitfield Digital Consulting — Client’s add-back allegations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656"/>
            <w:shd w:val="clear" w:color="auto" w:fill="1F3A5F"/>
          </w:tcPr>
          <w:p>
            <w:r/>
            <w:r>
              <w:rPr>
                <w:b/>
                <w:color w:val="FFFFFF"/>
                <w:sz w:val="16"/>
              </w:rPr>
              <w:t>Category (2024)</w:t>
            </w:r>
          </w:p>
        </w:tc>
        <w:tc>
          <w:tcPr>
            <w:tcW w:type="dxa" w:w="1152"/>
            <w:shd w:val="clear" w:color="auto" w:fill="1F3A5F"/>
          </w:tcPr>
          <w:p>
            <w:r/>
            <w:r>
              <w:rPr>
                <w:b/>
                <w:color w:val="FFFFFF"/>
                <w:sz w:val="16"/>
              </w:rPr>
              <w:t>Amount claimed on return</w:t>
            </w:r>
          </w:p>
        </w:tc>
        <w:tc>
          <w:tcPr>
            <w:tcW w:type="dxa" w:w="2088"/>
            <w:shd w:val="clear" w:color="auto" w:fill="1F3A5F"/>
          </w:tcPr>
          <w:p>
            <w:r/>
            <w:r>
              <w:rPr>
                <w:b/>
                <w:color w:val="FFFFFF"/>
                <w:sz w:val="16"/>
              </w:rPr>
              <w:t>Client’s allegation — [IQ]</w:t>
            </w:r>
          </w:p>
        </w:tc>
        <w:tc>
          <w:tcPr>
            <w:tcW w:type="dxa" w:w="2520"/>
            <w:shd w:val="clear" w:color="auto" w:fill="1F3A5F"/>
          </w:tcPr>
          <w:p>
            <w:r/>
            <w:r>
              <w:rPr>
                <w:b/>
                <w:color w:val="FFFFFF"/>
                <w:sz w:val="16"/>
              </w:rPr>
              <w:t>Client’s allegation — [EM]</w:t>
            </w:r>
          </w:p>
        </w:tc>
        <w:tc>
          <w:tcPr>
            <w:tcW w:type="dxa" w:w="2232"/>
            <w:shd w:val="clear" w:color="auto" w:fill="1F3A5F"/>
          </w:tcPr>
          <w:p>
            <w:r/>
            <w:r>
              <w:rPr>
                <w:b/>
                <w:color w:val="FFFFFF"/>
                <w:sz w:val="16"/>
              </w:rPr>
              <w:t>Evidence now / gaps</w:t>
            </w:r>
          </w:p>
        </w:tc>
      </w:tr>
      <w:tr>
        <w:tc>
          <w:tcPr>
            <w:tcW w:type="dxa" w:w="1656"/>
          </w:tcPr>
          <w:p>
            <w:r/>
            <w:r>
              <w:rPr>
                <w:b w:val="0"/>
                <w:sz w:val="16"/>
              </w:rPr>
              <w:t>Contractor payments — Voss Creative Partners (Marcus Voss)</w:t>
            </w:r>
          </w:p>
        </w:tc>
        <w:tc>
          <w:tcPr>
            <w:tcW w:type="dxa" w:w="1152"/>
          </w:tcPr>
          <w:p>
            <w:r/>
            <w:r>
              <w:rPr>
                <w:b w:val="0"/>
                <w:sz w:val="16"/>
              </w:rPr>
              <w:t>$48,000</w:t>
            </w:r>
          </w:p>
        </w:tc>
        <w:tc>
          <w:tcPr>
            <w:tcW w:type="dxa" w:w="2088"/>
          </w:tcPr>
          <w:p>
            <w:r/>
            <w:r>
              <w:rPr>
                <w:b w:val="0"/>
                <w:sz w:val="16"/>
              </w:rPr>
              <w:t>College friend; not a real agency; inflated invoices or kickback</w:t>
            </w:r>
          </w:p>
        </w:tc>
        <w:tc>
          <w:tcPr>
            <w:tcW w:type="dxa" w:w="2520"/>
          </w:tcPr>
          <w:p>
            <w:r/>
            <w:r>
              <w:rPr>
                <w:b w:val="0"/>
                <w:sz w:val="16"/>
              </w:rPr>
              <w:t>Close friend from Kellogg MBA; does freelance graphic design on the side; no way $48k is legitimate for an IT-strategy client base; invoices inflated/fabricated to cut taxable income; also Scottsdale golf trip Oct. 2024 possibly expensed</w:t>
            </w:r>
          </w:p>
        </w:tc>
        <w:tc>
          <w:tcPr>
            <w:tcW w:type="dxa" w:w="2232"/>
          </w:tcPr>
          <w:p>
            <w:r/>
            <w:r>
              <w:rPr>
                <w:b w:val="0"/>
                <w:sz w:val="16"/>
              </w:rPr>
              <w:t>Belief only. Graphic design is plausible for a digital-marketing/SEO firm (see [IQ] description). Need invoices, 1099s, payment records, Voss deliverables.</w:t>
            </w:r>
          </w:p>
        </w:tc>
      </w:tr>
      <w:tr>
        <w:tc>
          <w:tcPr>
            <w:tcW w:type="dxa" w:w="1656"/>
          </w:tcPr>
          <w:p>
            <w:r/>
            <w:r>
              <w:rPr>
                <w:b w:val="0"/>
                <w:sz w:val="16"/>
              </w:rPr>
              <w:t>Travel &amp; Entertainment</w:t>
            </w:r>
          </w:p>
        </w:tc>
        <w:tc>
          <w:tcPr>
            <w:tcW w:type="dxa" w:w="1152"/>
          </w:tcPr>
          <w:p>
            <w:r/>
            <w:r>
              <w:rPr>
                <w:b w:val="0"/>
                <w:sz w:val="16"/>
              </w:rPr>
              <w:t>$36,000</w:t>
            </w:r>
          </w:p>
        </w:tc>
        <w:tc>
          <w:tcPr>
            <w:tcW w:type="dxa" w:w="2088"/>
          </w:tcPr>
          <w:p>
            <w:r/>
            <w:r>
              <w:rPr>
                <w:b w:val="0"/>
                <w:sz w:val="16"/>
              </w:rPr>
              <w:t>Las Vegas twice, said to be client meetings</w:t>
            </w:r>
          </w:p>
        </w:tc>
        <w:tc>
          <w:tcPr>
            <w:tcW w:type="dxa" w:w="2520"/>
          </w:tcPr>
          <w:p>
            <w:r/>
            <w:r>
              <w:rPr>
                <w:b w:val="0"/>
                <w:sz w:val="16"/>
              </w:rPr>
              <w:t>Miami Mar. 2024 (nightclub photos on social media); Austin July 2024 “conference” (none found); estimates $15,000–$20,000 personal</w:t>
            </w:r>
          </w:p>
        </w:tc>
        <w:tc>
          <w:tcPr>
            <w:tcW w:type="dxa" w:w="2232"/>
          </w:tcPr>
          <w:p>
            <w:r/>
            <w:r>
              <w:rPr>
                <w:b w:val="0"/>
                <w:sz w:val="16"/>
              </w:rPr>
              <w:t>Trip lists do not match between documents. Preserve public social-media posts (screenshots of what she can lawfully view).</w:t>
            </w:r>
          </w:p>
        </w:tc>
      </w:tr>
      <w:tr>
        <w:tc>
          <w:tcPr>
            <w:tcW w:type="dxa" w:w="1656"/>
          </w:tcPr>
          <w:p>
            <w:r/>
            <w:r>
              <w:rPr>
                <w:b w:val="0"/>
                <w:sz w:val="16"/>
              </w:rPr>
              <w:t>Equipment &amp; Software</w:t>
            </w:r>
          </w:p>
        </w:tc>
        <w:tc>
          <w:tcPr>
            <w:tcW w:type="dxa" w:w="1152"/>
          </w:tcPr>
          <w:p>
            <w:r/>
            <w:r>
              <w:rPr>
                <w:b w:val="0"/>
                <w:sz w:val="16"/>
              </w:rPr>
              <w:t>$18,500</w:t>
            </w:r>
          </w:p>
        </w:tc>
        <w:tc>
          <w:tcPr>
            <w:tcW w:type="dxa" w:w="2088"/>
          </w:tcPr>
          <w:p>
            <w:r/>
            <w:r>
              <w:rPr>
                <w:b w:val="0"/>
                <w:sz w:val="16"/>
              </w:rPr>
              <w:t>Includes $7,200 gaming PC bought for Ethan’s birthday</w:t>
            </w:r>
          </w:p>
        </w:tc>
        <w:tc>
          <w:tcPr>
            <w:tcW w:type="dxa" w:w="2520"/>
          </w:tcPr>
          <w:p>
            <w:r/>
            <w:r>
              <w:rPr>
                <w:b w:val="0"/>
                <w:sz w:val="16"/>
              </w:rPr>
              <w:t>Same; PC in Ethan’s room since delivery, never in office; RGB lighting/gaming keyboard; questions other software, no specifics</w:t>
            </w:r>
          </w:p>
        </w:tc>
        <w:tc>
          <w:tcPr>
            <w:tcW w:type="dxa" w:w="2232"/>
          </w:tcPr>
          <w:p>
            <w:r/>
            <w:r>
              <w:rPr>
                <w:b w:val="0"/>
                <w:sz w:val="16"/>
              </w:rPr>
              <w:t>Receipt located in shared home-office desk area — strongest item.</w:t>
            </w:r>
          </w:p>
        </w:tc>
      </w:tr>
      <w:tr>
        <w:tc>
          <w:tcPr>
            <w:tcW w:type="dxa" w:w="1656"/>
          </w:tcPr>
          <w:p>
            <w:r/>
            <w:r>
              <w:rPr>
                <w:b/>
                <w:sz w:val="16"/>
              </w:rPr>
              <w:t>Total alleged</w:t>
            </w:r>
          </w:p>
        </w:tc>
        <w:tc>
          <w:tcPr>
            <w:tcW w:type="dxa" w:w="1152"/>
          </w:tcPr>
          <w:p>
            <w:r/>
            <w:r>
              <w:rPr>
                <w:b/>
                <w:sz w:val="16"/>
              </w:rPr>
              <w:t>$102,500</w:t>
            </w:r>
          </w:p>
        </w:tc>
        <w:tc>
          <w:tcPr>
            <w:tcW w:type="dxa" w:w="2088"/>
          </w:tcPr>
          <w:p>
            <w:r/>
            <w:r>
              <w:rPr>
                <w:b w:val="0"/>
                <w:sz w:val="16"/>
              </w:rPr>
              <w:t>“almost $103,000” (= full totals of all three categories)</w:t>
            </w:r>
          </w:p>
        </w:tc>
        <w:tc>
          <w:tcPr>
            <w:tcW w:type="dxa" w:w="2520"/>
          </w:tcPr>
          <w:p>
            <w:r/>
            <w:r>
              <w:rPr>
                <w:b w:val="0"/>
                <w:sz w:val="16"/>
              </w:rPr>
              <w:t>Implied ~$70,200–$75,200 at most ($48,000 + $15–20k + $7,200)</w:t>
            </w:r>
          </w:p>
        </w:tc>
        <w:tc>
          <w:tcPr>
            <w:tcW w:type="dxa" w:w="2232"/>
          </w:tcPr>
          <w:p>
            <w:r/>
            <w:r>
              <w:rPr>
                <w:b w:val="0"/>
                <w:sz w:val="16"/>
              </w:rPr>
              <w:t>Documented now: $7,200.</w:t>
            </w:r>
          </w:p>
        </w:tc>
      </w:tr>
    </w:tbl>
    <w:p>
      <w:pPr>
        <w:spacing w:after="40"/>
      </w:pPr>
    </w:p>
    <w:p>
      <w:pPr>
        <w:spacing w:after="80"/>
      </w:pPr>
      <w:r>
        <w:rPr>
          <w:b w:val="0"/>
          <w:i w:val="0"/>
        </w:rPr>
        <w:t>Other business facts: gross revenue ~$640,000; Schedule C net ~$195,000 (expenses ~$445,000); one W-2 office manager; 3–5 regular independent contractors; LOC ~$45,000. Client says revenue “I think” is ~$640,000 [IQ], but in [EM] treats it as the reported figure — clarify whether she has seen the 2024 return and whether it was filed jointly.</w:t>
      </w:r>
    </w:p>
    <w:tbl>
      <w:tblPr>
        <w:tblStyle w:val="TableGrid"/>
        <w:tblW w:type="auto" w:w="0"/>
        <w:jc w:val="center"/>
        <w:tblLook w:firstColumn="1" w:firstRow="1" w:lastColumn="0" w:lastRow="0" w:noHBand="0" w:noVBand="1" w:val="04A0"/>
      </w:tblPr>
      <w:tblGrid>
        <w:gridCol w:w="4824"/>
        <w:gridCol w:w="4824"/>
      </w:tblGrid>
      <w:tr>
        <w:tc>
          <w:tcPr>
            <w:tcW w:type="dxa" w:w="7488"/>
            <w:shd w:val="clear" w:color="auto" w:fill="1F3A5F"/>
          </w:tcPr>
          <w:p>
            <w:r/>
            <w:r>
              <w:rPr>
                <w:b/>
                <w:color w:val="FFFFFF"/>
                <w:sz w:val="18"/>
              </w:rPr>
              <w:t>Scenario for Derek’s 2024 income (gross, pre-tax)</w:t>
            </w:r>
          </w:p>
        </w:tc>
        <w:tc>
          <w:tcPr>
            <w:tcW w:type="dxa" w:w="2160"/>
            <w:shd w:val="clear" w:color="auto" w:fill="1F3A5F"/>
          </w:tcPr>
          <w:p>
            <w:r/>
            <w:r>
              <w:rPr>
                <w:b/>
                <w:color w:val="FFFFFF"/>
                <w:sz w:val="18"/>
              </w:rPr>
              <w:t>Amount</w:t>
            </w:r>
          </w:p>
        </w:tc>
      </w:tr>
      <w:tr>
        <w:tc>
          <w:tcPr>
            <w:tcW w:type="dxa" w:w="7488"/>
          </w:tcPr>
          <w:p>
            <w:r/>
            <w:r>
              <w:rPr>
                <w:b w:val="0"/>
                <w:sz w:val="18"/>
              </w:rPr>
              <w:t>As reported (Schedule C net)</w:t>
            </w:r>
          </w:p>
        </w:tc>
        <w:tc>
          <w:tcPr>
            <w:tcW w:type="dxa" w:w="2160"/>
          </w:tcPr>
          <w:p>
            <w:r/>
            <w:r>
              <w:rPr>
                <w:b w:val="0"/>
                <w:sz w:val="18"/>
              </w:rPr>
              <w:t>$195,000</w:t>
            </w:r>
          </w:p>
        </w:tc>
      </w:tr>
      <w:tr>
        <w:tc>
          <w:tcPr>
            <w:tcW w:type="dxa" w:w="7488"/>
          </w:tcPr>
          <w:p>
            <w:r/>
            <w:r>
              <w:rPr>
                <w:b w:val="0"/>
                <w:sz w:val="18"/>
              </w:rPr>
              <w:t>+ documented gaming PC only</w:t>
            </w:r>
          </w:p>
        </w:tc>
        <w:tc>
          <w:tcPr>
            <w:tcW w:type="dxa" w:w="2160"/>
          </w:tcPr>
          <w:p>
            <w:r/>
            <w:r>
              <w:rPr>
                <w:b w:val="0"/>
                <w:sz w:val="18"/>
              </w:rPr>
              <w:t>$202,200</w:t>
            </w:r>
          </w:p>
        </w:tc>
      </w:tr>
      <w:tr>
        <w:tc>
          <w:tcPr>
            <w:tcW w:type="dxa" w:w="7488"/>
          </w:tcPr>
          <w:p>
            <w:r/>
            <w:r>
              <w:rPr>
                <w:b w:val="0"/>
                <w:sz w:val="18"/>
              </w:rPr>
              <w:t>+ PC + Client’s low personal-T&amp;E estimate ($15,000)</w:t>
            </w:r>
          </w:p>
        </w:tc>
        <w:tc>
          <w:tcPr>
            <w:tcW w:type="dxa" w:w="2160"/>
          </w:tcPr>
          <w:p>
            <w:r/>
            <w:r>
              <w:rPr>
                <w:b w:val="0"/>
                <w:sz w:val="18"/>
              </w:rPr>
              <w:t>$217,200</w:t>
            </w:r>
          </w:p>
        </w:tc>
      </w:tr>
      <w:tr>
        <w:tc>
          <w:tcPr>
            <w:tcW w:type="dxa" w:w="7488"/>
          </w:tcPr>
          <w:p>
            <w:r/>
            <w:r>
              <w:rPr>
                <w:b w:val="0"/>
                <w:sz w:val="18"/>
              </w:rPr>
              <w:t>+ PC + high T&amp;E estimate ($20,000) + entire Voss payments ($48,000)</w:t>
            </w:r>
          </w:p>
        </w:tc>
        <w:tc>
          <w:tcPr>
            <w:tcW w:type="dxa" w:w="2160"/>
          </w:tcPr>
          <w:p>
            <w:r/>
            <w:r>
              <w:rPr>
                <w:b w:val="0"/>
                <w:sz w:val="18"/>
              </w:rPr>
              <w:t>$270,200</w:t>
            </w:r>
          </w:p>
        </w:tc>
      </w:tr>
      <w:tr>
        <w:tc>
          <w:tcPr>
            <w:tcW w:type="dxa" w:w="7488"/>
          </w:tcPr>
          <w:p>
            <w:r/>
            <w:r>
              <w:rPr>
                <w:b w:val="0"/>
                <w:sz w:val="18"/>
              </w:rPr>
              <w:t>+ all three categories in full (Client’s [IQ] theory)</w:t>
            </w:r>
          </w:p>
        </w:tc>
        <w:tc>
          <w:tcPr>
            <w:tcW w:type="dxa" w:w="2160"/>
          </w:tcPr>
          <w:p>
            <w:r/>
            <w:r>
              <w:rPr>
                <w:b w:val="0"/>
                <w:sz w:val="18"/>
              </w:rPr>
              <w:t>$297,500</w:t>
            </w:r>
          </w:p>
        </w:tc>
      </w:tr>
      <w:tr>
        <w:tc>
          <w:tcPr>
            <w:tcW w:type="dxa" w:w="7488"/>
          </w:tcPr>
          <w:p>
            <w:r/>
            <w:r>
              <w:rPr>
                <w:b w:val="0"/>
                <w:sz w:val="18"/>
              </w:rPr>
              <w:t>Rachel’s 2024 W-2 for comparison (excluding cabin rental receipts)</w:t>
            </w:r>
          </w:p>
        </w:tc>
        <w:tc>
          <w:tcPr>
            <w:tcW w:type="dxa" w:w="2160"/>
          </w:tcPr>
          <w:p>
            <w:r/>
            <w:r>
              <w:rPr>
                <w:b w:val="0"/>
                <w:sz w:val="18"/>
              </w:rPr>
              <w:t>$287,000</w:t>
            </w:r>
          </w:p>
        </w:tc>
      </w:tr>
    </w:tbl>
    <w:p>
      <w:pPr>
        <w:spacing w:after="40"/>
      </w:pPr>
    </w:p>
    <w:p>
      <w:pPr>
        <w:pStyle w:val="Heading2"/>
      </w:pPr>
      <w:r>
        <w:t>9.2 Maintenance (750 ILCS 5/504) — preliminary</w:t>
      </w:r>
    </w:p>
    <w:p>
      <w:pPr>
        <w:pStyle w:val="ListBullet"/>
        <w:spacing w:after="40"/>
      </w:pPr>
      <w:r>
        <w:rPr>
          <w:b w:val="0"/>
          <w:i w:val="0"/>
        </w:rPr>
        <w:t>Client seeks maintenance from Derek for “at least 5 years” and is unsure whether he will seek maintenance from her.</w:t>
      </w:r>
    </w:p>
    <w:p>
      <w:pPr>
        <w:pStyle w:val="ListBullet"/>
        <w:spacing w:after="40"/>
      </w:pPr>
      <w:r>
        <w:rPr>
          <w:b w:val="0"/>
          <w:i w:val="0"/>
        </w:rPr>
        <w:t xml:space="preserve">On every scenario above except the most aggressive, Rachel is the higher earner; even then incomes are roughly equal. Guideline maintenance flows from the higher- to the lower-earning spouse (33⅓% of payor net minus 25% of payee net, capped at 40% of combined net). </w:t>
      </w:r>
      <w:r>
        <w:rPr>
          <w:b/>
          <w:i w:val="0"/>
        </w:rPr>
        <w:t>The realistic exposure is a claim by Derek against Rachel</w:t>
      </w:r>
      <w:r>
        <w:rPr>
          <w:b w:val="0"/>
          <w:i w:val="0"/>
        </w:rPr>
        <w:t>, not the reverse.</w:t>
      </w:r>
    </w:p>
    <w:p>
      <w:pPr>
        <w:pStyle w:val="ListBullet"/>
        <w:spacing w:after="40"/>
      </w:pPr>
      <w:r>
        <w:rPr>
          <w:b w:val="0"/>
          <w:i w:val="0"/>
        </w:rPr>
        <w:t>Guidelines apply only where combined gross income is under $500,000 (and no prior-marriage support obligation). Reported combined: $482,000; with cabin rental receipts (~$10,800) ≈ $492,800. Small add-backs to Derek’s income push the case into the discretionary regime under § 504(a) — strategically double-edged for a client whose own income is the larger one.</w:t>
      </w:r>
    </w:p>
    <w:p>
      <w:pPr>
        <w:pStyle w:val="ListBullet"/>
        <w:spacing w:after="40"/>
      </w:pPr>
      <w:r>
        <w:rPr>
          <w:b w:val="0"/>
          <w:i w:val="0"/>
        </w:rPr>
        <w:t>Duration (if guidelines apply): 13.48 years × 0.56 ≈ 7.5 years.</w:t>
      </w:r>
    </w:p>
    <w:p>
      <w:pPr>
        <w:pStyle w:val="ListBullet"/>
        <w:spacing w:after="40"/>
      </w:pPr>
      <w:r>
        <w:rPr>
          <w:b w:val="0"/>
          <w:i w:val="0"/>
        </w:rPr>
        <w:t>Client’s [IQ] statements that she has been “the steady earner” and that her “salary looks high on paper” should be handled carefully; they will be read as admissions of higher earning capacity.</w:t>
      </w:r>
    </w:p>
    <w:p>
      <w:pPr>
        <w:pStyle w:val="Heading2"/>
      </w:pPr>
      <w:r>
        <w:t>9.3 Child support (750 ILCS 5/505 income shares) and children’s expenses</w:t>
      </w:r>
    </w:p>
    <w:tbl>
      <w:tblPr>
        <w:tblStyle w:val="TableGrid"/>
        <w:tblW w:type="auto" w:w="0"/>
        <w:jc w:val="center"/>
        <w:tblLook w:firstColumn="1" w:firstRow="1" w:lastColumn="0" w:lastRow="0" w:noHBand="0" w:noVBand="1" w:val="04A0"/>
      </w:tblPr>
      <w:tblGrid>
        <w:gridCol w:w="3216"/>
        <w:gridCol w:w="3216"/>
        <w:gridCol w:w="3216"/>
      </w:tblGrid>
      <w:tr>
        <w:tc>
          <w:tcPr>
            <w:tcW w:type="dxa" w:w="4608"/>
            <w:shd w:val="clear" w:color="auto" w:fill="1F3A5F"/>
          </w:tcPr>
          <w:p>
            <w:r/>
            <w:r>
              <w:rPr>
                <w:b/>
                <w:color w:val="FFFFFF"/>
                <w:sz w:val="18"/>
              </w:rPr>
              <w:t>Item (per Client)</w:t>
            </w:r>
          </w:p>
        </w:tc>
        <w:tc>
          <w:tcPr>
            <w:tcW w:type="dxa" w:w="1296"/>
            <w:shd w:val="clear" w:color="auto" w:fill="1F3A5F"/>
          </w:tcPr>
          <w:p>
            <w:r/>
            <w:r>
              <w:rPr>
                <w:b/>
                <w:color w:val="FFFFFF"/>
                <w:sz w:val="18"/>
              </w:rPr>
              <w:t>Monthly</w:t>
            </w:r>
          </w:p>
        </w:tc>
        <w:tc>
          <w:tcPr>
            <w:tcW w:type="dxa" w:w="3744"/>
            <w:shd w:val="clear" w:color="auto" w:fill="1F3A5F"/>
          </w:tcPr>
          <w:p>
            <w:r/>
            <w:r>
              <w:rPr>
                <w:b/>
                <w:color w:val="FFFFFF"/>
                <w:sz w:val="18"/>
              </w:rPr>
              <w:t>Comment</w:t>
            </w:r>
          </w:p>
        </w:tc>
      </w:tr>
      <w:tr>
        <w:tc>
          <w:tcPr>
            <w:tcW w:type="dxa" w:w="4608"/>
          </w:tcPr>
          <w:p>
            <w:r/>
            <w:r>
              <w:rPr>
                <w:b w:val="0"/>
                <w:sz w:val="18"/>
              </w:rPr>
              <w:t>Ethan — travel soccer fees and travel</w:t>
            </w:r>
          </w:p>
        </w:tc>
        <w:tc>
          <w:tcPr>
            <w:tcW w:type="dxa" w:w="1296"/>
          </w:tcPr>
          <w:p>
            <w:r/>
            <w:r>
              <w:rPr>
                <w:b w:val="0"/>
                <w:sz w:val="18"/>
              </w:rPr>
              <w:t>$300</w:t>
            </w:r>
          </w:p>
        </w:tc>
        <w:tc>
          <w:tcPr>
            <w:tcW w:type="dxa" w:w="3744"/>
          </w:tcPr>
          <w:p>
            <w:r/>
            <w:r>
              <w:rPr>
                <w:b w:val="0"/>
                <w:sz w:val="18"/>
              </w:rPr>
              <w:t>Extracurricular; Derek currently attends</w:t>
            </w:r>
          </w:p>
        </w:tc>
      </w:tr>
      <w:tr>
        <w:tc>
          <w:tcPr>
            <w:tcW w:type="dxa" w:w="4608"/>
          </w:tcPr>
          <w:p>
            <w:r/>
            <w:r>
              <w:rPr>
                <w:b w:val="0"/>
                <w:sz w:val="18"/>
              </w:rPr>
              <w:t>Lily — ballet</w:t>
            </w:r>
          </w:p>
        </w:tc>
        <w:tc>
          <w:tcPr>
            <w:tcW w:type="dxa" w:w="1296"/>
          </w:tcPr>
          <w:p>
            <w:r/>
            <w:r>
              <w:rPr>
                <w:b w:val="0"/>
                <w:sz w:val="18"/>
              </w:rPr>
              <w:t>$150</w:t>
            </w:r>
          </w:p>
        </w:tc>
        <w:tc>
          <w:tcPr>
            <w:tcW w:type="dxa" w:w="3744"/>
          </w:tcPr>
          <w:p>
            <w:r/>
            <w:r>
              <w:rPr>
                <w:b w:val="0"/>
                <w:sz w:val="18"/>
              </w:rPr>
              <w:t>Extracurricular</w:t>
            </w:r>
          </w:p>
        </w:tc>
      </w:tr>
      <w:tr>
        <w:tc>
          <w:tcPr>
            <w:tcW w:type="dxa" w:w="4608"/>
          </w:tcPr>
          <w:p>
            <w:r/>
            <w:r>
              <w:rPr>
                <w:b w:val="0"/>
                <w:sz w:val="18"/>
              </w:rPr>
              <w:t>Owen — Bright Horizons preschool</w:t>
            </w:r>
          </w:p>
        </w:tc>
        <w:tc>
          <w:tcPr>
            <w:tcW w:type="dxa" w:w="1296"/>
          </w:tcPr>
          <w:p>
            <w:r/>
            <w:r>
              <w:rPr>
                <w:b w:val="0"/>
                <w:sz w:val="18"/>
              </w:rPr>
              <w:t>$1,800</w:t>
            </w:r>
          </w:p>
        </w:tc>
        <w:tc>
          <w:tcPr>
            <w:tcW w:type="dxa" w:w="3744"/>
          </w:tcPr>
          <w:p>
            <w:r/>
            <w:r>
              <w:rPr>
                <w:b w:val="0"/>
                <w:sz w:val="18"/>
              </w:rPr>
              <w:t>Child-care add-on (§ 505(a)(3.7)) if work-related</w:t>
            </w:r>
          </w:p>
        </w:tc>
      </w:tr>
      <w:tr>
        <w:tc>
          <w:tcPr>
            <w:tcW w:type="dxa" w:w="4608"/>
          </w:tcPr>
          <w:p>
            <w:r/>
            <w:r>
              <w:rPr>
                <w:b w:val="0"/>
                <w:sz w:val="18"/>
              </w:rPr>
              <w:t>Owen — speech therapy copays ($40 × 2/wk)</w:t>
            </w:r>
          </w:p>
        </w:tc>
        <w:tc>
          <w:tcPr>
            <w:tcW w:type="dxa" w:w="1296"/>
          </w:tcPr>
          <w:p>
            <w:r/>
            <w:r>
              <w:rPr>
                <w:b w:val="0"/>
                <w:sz w:val="18"/>
              </w:rPr>
              <w:t>$320</w:t>
            </w:r>
          </w:p>
        </w:tc>
        <w:tc>
          <w:tcPr>
            <w:tcW w:type="dxa" w:w="3744"/>
          </w:tcPr>
          <w:p>
            <w:r/>
            <w:r>
              <w:rPr>
                <w:b w:val="0"/>
                <w:sz w:val="18"/>
              </w:rPr>
              <w:t>Actual ≈ $347/mo. ($80/wk × 52 ÷ 12); payor/program to confirm (EI age-out)</w:t>
            </w:r>
          </w:p>
        </w:tc>
      </w:tr>
      <w:tr>
        <w:tc>
          <w:tcPr>
            <w:tcW w:type="dxa" w:w="4608"/>
          </w:tcPr>
          <w:p>
            <w:r/>
            <w:r>
              <w:rPr>
                <w:b w:val="0"/>
                <w:sz w:val="18"/>
              </w:rPr>
              <w:t>After-school care (Ethan &amp; Lily, days Rachel works late)</w:t>
            </w:r>
          </w:p>
        </w:tc>
        <w:tc>
          <w:tcPr>
            <w:tcW w:type="dxa" w:w="1296"/>
          </w:tcPr>
          <w:p>
            <w:r/>
            <w:r>
              <w:rPr>
                <w:b w:val="0"/>
                <w:sz w:val="18"/>
              </w:rPr>
              <w:t>$200</w:t>
            </w:r>
          </w:p>
        </w:tc>
        <w:tc>
          <w:tcPr>
            <w:tcW w:type="dxa" w:w="3744"/>
          </w:tcPr>
          <w:p>
            <w:r/>
            <w:r>
              <w:rPr>
                <w:b w:val="0"/>
                <w:sz w:val="18"/>
              </w:rPr>
              <w:t>Child-care add-on</w:t>
            </w:r>
          </w:p>
        </w:tc>
      </w:tr>
      <w:tr>
        <w:tc>
          <w:tcPr>
            <w:tcW w:type="dxa" w:w="4608"/>
          </w:tcPr>
          <w:p>
            <w:r/>
            <w:r>
              <w:rPr>
                <w:b w:val="0"/>
                <w:sz w:val="18"/>
              </w:rPr>
              <w:t>General (clothes, food, supplies) — rough guess</w:t>
            </w:r>
          </w:p>
        </w:tc>
        <w:tc>
          <w:tcPr>
            <w:tcW w:type="dxa" w:w="1296"/>
          </w:tcPr>
          <w:p>
            <w:r/>
            <w:r>
              <w:rPr>
                <w:b w:val="0"/>
                <w:sz w:val="18"/>
              </w:rPr>
              <w:t>$1,500</w:t>
            </w:r>
          </w:p>
        </w:tc>
        <w:tc>
          <w:tcPr>
            <w:tcW w:type="dxa" w:w="3744"/>
          </w:tcPr>
          <w:p>
            <w:r/>
            <w:r>
              <w:rPr>
                <w:b w:val="0"/>
                <w:sz w:val="18"/>
              </w:rPr>
              <w:t>Unsupported estimate</w:t>
            </w:r>
          </w:p>
        </w:tc>
      </w:tr>
      <w:tr>
        <w:tc>
          <w:tcPr>
            <w:tcW w:type="dxa" w:w="4608"/>
          </w:tcPr>
          <w:p>
            <w:r/>
            <w:r>
              <w:rPr>
                <w:b/>
                <w:sz w:val="18"/>
              </w:rPr>
              <w:t>Total (Client)</w:t>
            </w:r>
          </w:p>
        </w:tc>
        <w:tc>
          <w:tcPr>
            <w:tcW w:type="dxa" w:w="1296"/>
          </w:tcPr>
          <w:p>
            <w:r/>
            <w:r>
              <w:rPr>
                <w:b/>
                <w:sz w:val="18"/>
              </w:rPr>
              <w:t>$4,270</w:t>
            </w:r>
          </w:p>
        </w:tc>
        <w:tc>
          <w:tcPr>
            <w:tcW w:type="dxa" w:w="3744"/>
          </w:tcPr>
          <w:p>
            <w:r/>
            <w:r>
              <w:rPr>
                <w:b w:val="0"/>
                <w:sz w:val="18"/>
              </w:rPr>
              <w:t>Arithmetic checks</w:t>
            </w:r>
          </w:p>
        </w:tc>
      </w:tr>
    </w:tbl>
    <w:p>
      <w:pPr>
        <w:spacing w:after="40"/>
      </w:pPr>
    </w:p>
    <w:p>
      <w:pPr>
        <w:pStyle w:val="ListBullet"/>
        <w:spacing w:after="40"/>
      </w:pPr>
      <w:r>
        <w:rPr>
          <w:b w:val="0"/>
          <w:i w:val="0"/>
        </w:rPr>
        <w:t>Health insurance for the children is through Rachel’s employer plan — the children’s portion of the premium is allocable between the parents (§ 505(a)(4)); obtain the premium breakdown.</w:t>
      </w:r>
    </w:p>
    <w:p>
      <w:pPr>
        <w:pStyle w:val="ListBullet"/>
        <w:spacing w:after="40"/>
      </w:pPr>
      <w:r>
        <w:rPr>
          <w:b w:val="0"/>
          <w:i w:val="0"/>
        </w:rPr>
        <w:t>Because Rachel’s income share is likely ≥50%, her net child-support receipt will depend heavily on the overnight allocation; if Derek reaches 146+ overnights, the shared-care formula substantially reduces or could reverse the transfer.</w:t>
      </w:r>
    </w:p>
    <w:p>
      <w:pPr>
        <w:pStyle w:val="Heading2"/>
      </w:pPr>
      <w:r>
        <w:t>9.4 Client’s monthly cash flow ([EM])</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1F3A5F"/>
          </w:tcPr>
          <w:p>
            <w:r/>
            <w:r>
              <w:rPr>
                <w:b/>
                <w:color w:val="FFFFFF"/>
                <w:sz w:val="18"/>
              </w:rPr>
              <w:t>Item</w:t>
            </w:r>
          </w:p>
        </w:tc>
        <w:tc>
          <w:tcPr>
            <w:tcW w:type="dxa" w:w="2016"/>
            <w:shd w:val="clear" w:color="auto" w:fill="1F3A5F"/>
          </w:tcPr>
          <w:p>
            <w:r/>
            <w:r>
              <w:rPr>
                <w:b/>
                <w:color w:val="FFFFFF"/>
                <w:sz w:val="18"/>
              </w:rPr>
              <w:t>Monthly</w:t>
            </w:r>
          </w:p>
        </w:tc>
        <w:tc>
          <w:tcPr>
            <w:tcW w:type="dxa" w:w="4176"/>
            <w:shd w:val="clear" w:color="auto" w:fill="1F3A5F"/>
          </w:tcPr>
          <w:p>
            <w:r/>
            <w:r>
              <w:rPr>
                <w:b/>
                <w:color w:val="FFFFFF"/>
                <w:sz w:val="18"/>
              </w:rPr>
              <w:t>Comment</w:t>
            </w:r>
          </w:p>
        </w:tc>
      </w:tr>
      <w:tr>
        <w:tc>
          <w:tcPr>
            <w:tcW w:type="dxa" w:w="3456"/>
          </w:tcPr>
          <w:p>
            <w:r/>
            <w:r>
              <w:rPr>
                <w:b w:val="0"/>
                <w:sz w:val="18"/>
              </w:rPr>
              <w:t>Mortgage — Ridgeview Terrace</w:t>
            </w:r>
          </w:p>
        </w:tc>
        <w:tc>
          <w:tcPr>
            <w:tcW w:type="dxa" w:w="2016"/>
          </w:tcPr>
          <w:p>
            <w:r/>
            <w:r>
              <w:rPr>
                <w:b w:val="0"/>
                <w:sz w:val="18"/>
              </w:rPr>
              <w:t>~$2,400</w:t>
            </w:r>
          </w:p>
        </w:tc>
        <w:tc>
          <w:tcPr>
            <w:tcW w:type="dxa" w:w="4176"/>
          </w:tcPr>
          <w:p>
            <w:r/>
            <w:r>
              <w:rPr>
                <w:b w:val="0"/>
                <w:sz w:val="18"/>
              </w:rPr>
              <w:t>Confirm whether escrow included; who is paying post-separation</w:t>
            </w:r>
          </w:p>
        </w:tc>
      </w:tr>
      <w:tr>
        <w:tc>
          <w:tcPr>
            <w:tcW w:type="dxa" w:w="3456"/>
          </w:tcPr>
          <w:p>
            <w:r/>
            <w:r>
              <w:rPr>
                <w:b w:val="0"/>
                <w:sz w:val="18"/>
              </w:rPr>
              <w:t>Mortgage — Galena cabin</w:t>
            </w:r>
          </w:p>
        </w:tc>
        <w:tc>
          <w:tcPr>
            <w:tcW w:type="dxa" w:w="2016"/>
          </w:tcPr>
          <w:p>
            <w:r/>
            <w:r>
              <w:rPr>
                <w:b w:val="0"/>
                <w:sz w:val="18"/>
              </w:rPr>
              <w:t>~$950</w:t>
            </w:r>
          </w:p>
        </w:tc>
        <w:tc>
          <w:tcPr>
            <w:tcW w:type="dxa" w:w="4176"/>
          </w:tcPr>
          <w:p>
            <w:r/>
            <w:r>
              <w:rPr>
                <w:b w:val="0"/>
                <w:sz w:val="18"/>
              </w:rPr>
              <w:t>Peak-season rent ~$1,800/mo. offsets</w:t>
            </w:r>
          </w:p>
        </w:tc>
      </w:tr>
      <w:tr>
        <w:tc>
          <w:tcPr>
            <w:tcW w:type="dxa" w:w="3456"/>
          </w:tcPr>
          <w:p>
            <w:r/>
            <w:r>
              <w:rPr>
                <w:b w:val="0"/>
                <w:sz w:val="18"/>
              </w:rPr>
              <w:t>Owen speech therapy</w:t>
            </w:r>
          </w:p>
        </w:tc>
        <w:tc>
          <w:tcPr>
            <w:tcW w:type="dxa" w:w="2016"/>
          </w:tcPr>
          <w:p>
            <w:r/>
            <w:r>
              <w:rPr>
                <w:b w:val="0"/>
                <w:sz w:val="18"/>
              </w:rPr>
              <w:t>~$320</w:t>
            </w:r>
          </w:p>
        </w:tc>
        <w:tc>
          <w:tcPr>
            <w:tcW w:type="dxa" w:w="4176"/>
          </w:tcPr>
          <w:p>
            <w:r/>
            <w:r>
              <w:rPr>
                <w:b w:val="0"/>
                <w:sz w:val="18"/>
              </w:rPr>
              <w:t>Duplicates children’s-expense list</w:t>
            </w:r>
          </w:p>
        </w:tc>
      </w:tr>
      <w:tr>
        <w:tc>
          <w:tcPr>
            <w:tcW w:type="dxa" w:w="3456"/>
          </w:tcPr>
          <w:p>
            <w:r/>
            <w:r>
              <w:rPr>
                <w:b w:val="0"/>
                <w:sz w:val="18"/>
              </w:rPr>
              <w:t>Chase Sapphire minimum</w:t>
            </w:r>
          </w:p>
        </w:tc>
        <w:tc>
          <w:tcPr>
            <w:tcW w:type="dxa" w:w="2016"/>
          </w:tcPr>
          <w:p>
            <w:r/>
            <w:r>
              <w:rPr>
                <w:b w:val="0"/>
                <w:sz w:val="18"/>
              </w:rPr>
              <w:t>~$250</w:t>
            </w:r>
          </w:p>
        </w:tc>
        <w:tc>
          <w:tcPr>
            <w:tcW w:type="dxa" w:w="4176"/>
          </w:tcPr>
          <w:p>
            <w:r/>
            <w:r>
              <w:rPr>
                <w:b w:val="0"/>
                <w:sz w:val="18"/>
              </w:rPr>
              <w:t>Balance $8,700</w:t>
            </w:r>
          </w:p>
        </w:tc>
      </w:tr>
      <w:tr>
        <w:tc>
          <w:tcPr>
            <w:tcW w:type="dxa" w:w="3456"/>
          </w:tcPr>
          <w:p>
            <w:r/>
            <w:r>
              <w:rPr>
                <w:b w:val="0"/>
                <w:sz w:val="18"/>
              </w:rPr>
              <w:t>Student loan (IDR)</w:t>
            </w:r>
          </w:p>
        </w:tc>
        <w:tc>
          <w:tcPr>
            <w:tcW w:type="dxa" w:w="2016"/>
          </w:tcPr>
          <w:p>
            <w:r/>
            <w:r>
              <w:rPr>
                <w:b w:val="0"/>
                <w:sz w:val="18"/>
              </w:rPr>
              <w:t>~$400</w:t>
            </w:r>
          </w:p>
        </w:tc>
        <w:tc>
          <w:tcPr>
            <w:tcW w:type="dxa" w:w="4176"/>
          </w:tcPr>
          <w:p>
            <w:r/>
          </w:p>
        </w:tc>
      </w:tr>
      <w:tr>
        <w:tc>
          <w:tcPr>
            <w:tcW w:type="dxa" w:w="3456"/>
          </w:tcPr>
          <w:p>
            <w:r/>
            <w:r>
              <w:rPr>
                <w:b w:val="0"/>
                <w:sz w:val="18"/>
              </w:rPr>
              <w:t>401(k) deferral</w:t>
            </w:r>
          </w:p>
        </w:tc>
        <w:tc>
          <w:tcPr>
            <w:tcW w:type="dxa" w:w="2016"/>
          </w:tcPr>
          <w:p>
            <w:r/>
            <w:r>
              <w:rPr>
                <w:b w:val="0"/>
                <w:sz w:val="18"/>
              </w:rPr>
              <w:t>~$1,917 ($23,000/yr)</w:t>
            </w:r>
          </w:p>
        </w:tc>
        <w:tc>
          <w:tcPr>
            <w:tcW w:type="dxa" w:w="4176"/>
          </w:tcPr>
          <w:p>
            <w:r/>
            <w:r>
              <w:rPr>
                <w:b w:val="0"/>
                <w:sz w:val="18"/>
              </w:rPr>
              <w:t>Voluntary; generally not deducted in computing support income</w:t>
            </w:r>
          </w:p>
        </w:tc>
      </w:tr>
    </w:tbl>
    <w:p>
      <w:pPr>
        <w:spacing w:after="40"/>
      </w:pPr>
    </w:p>
    <w:p>
      <w:pPr>
        <w:pStyle w:val="ListBullet"/>
        <w:spacing w:after="40"/>
      </w:pPr>
      <w:r>
        <w:rPr>
          <w:b/>
          <w:i w:val="0"/>
        </w:rPr>
        <w:t>PSLF concern:</w:t>
      </w:r>
      <w:r>
        <w:rPr>
          <w:b w:val="0"/>
          <w:i w:val="0"/>
        </w:rPr>
        <w:t xml:space="preserve"> PSLF requires full-time employment with a government employer or 501(c)(3) non-profit. Lakeshore Medical Group, S.C. appears to be a for-profit Illinois service corporation; Client’s rationale is “since I work in healthcare.” If PSLF is unavailable, the $34,000 debt will not be forgiven and her IDR payments may not be qualifying. Also, the $146,000 reduction from $180,000 is inconsistent with ~$400/mo. IDR payments — ask what funds paid the loans down (marital funds? inheritance?).</w:t>
      </w:r>
    </w:p>
    <w:p>
      <w:pPr>
        <w:pStyle w:val="Heading1"/>
      </w:pPr>
      <w:r>
        <w:t>10. Client’s Stated Goals (in her priority order) and Preliminary Assessment</w:t>
      </w:r>
    </w:p>
    <w:tbl>
      <w:tblPr>
        <w:tblStyle w:val="TableGrid"/>
        <w:tblW w:type="auto" w:w="0"/>
        <w:jc w:val="center"/>
        <w:tblLook w:firstColumn="1" w:firstRow="1" w:lastColumn="0" w:lastRow="0" w:noHBand="0" w:noVBand="1" w:val="04A0"/>
      </w:tblPr>
      <w:tblGrid>
        <w:gridCol w:w="3216"/>
        <w:gridCol w:w="3216"/>
        <w:gridCol w:w="3216"/>
      </w:tblGrid>
      <w:tr>
        <w:tc>
          <w:tcPr>
            <w:tcW w:type="dxa" w:w="432"/>
            <w:shd w:val="clear" w:color="auto" w:fill="1F3A5F"/>
          </w:tcPr>
          <w:p>
            <w:r/>
            <w:r>
              <w:rPr>
                <w:b/>
                <w:color w:val="FFFFFF"/>
                <w:sz w:val="18"/>
              </w:rPr>
              <w:t>#</w:t>
            </w:r>
          </w:p>
        </w:tc>
        <w:tc>
          <w:tcPr>
            <w:tcW w:type="dxa" w:w="3456"/>
            <w:shd w:val="clear" w:color="auto" w:fill="1F3A5F"/>
          </w:tcPr>
          <w:p>
            <w:r/>
            <w:r>
              <w:rPr>
                <w:b/>
                <w:color w:val="FFFFFF"/>
                <w:sz w:val="18"/>
              </w:rPr>
              <w:t>Goal ([IQ] §14)</w:t>
            </w:r>
          </w:p>
        </w:tc>
        <w:tc>
          <w:tcPr>
            <w:tcW w:type="dxa" w:w="5760"/>
            <w:shd w:val="clear" w:color="auto" w:fill="1F3A5F"/>
          </w:tcPr>
          <w:p>
            <w:r/>
            <w:r>
              <w:rPr>
                <w:b/>
                <w:color w:val="FFFFFF"/>
                <w:sz w:val="18"/>
              </w:rPr>
              <w:t>Preliminary assessment / key dependency</w:t>
            </w:r>
          </w:p>
        </w:tc>
      </w:tr>
      <w:tr>
        <w:tc>
          <w:tcPr>
            <w:tcW w:type="dxa" w:w="432"/>
          </w:tcPr>
          <w:p>
            <w:r/>
            <w:r>
              <w:rPr>
                <w:b w:val="0"/>
                <w:sz w:val="18"/>
              </w:rPr>
              <w:t>1</w:t>
            </w:r>
          </w:p>
        </w:tc>
        <w:tc>
          <w:tcPr>
            <w:tcW w:type="dxa" w:w="3456"/>
          </w:tcPr>
          <w:p>
            <w:r/>
            <w:r>
              <w:rPr>
                <w:b w:val="0"/>
                <w:sz w:val="18"/>
              </w:rPr>
              <w:t>Primary residential custody of all three children</w:t>
            </w:r>
          </w:p>
        </w:tc>
        <w:tc>
          <w:tcPr>
            <w:tcW w:type="dxa" w:w="5760"/>
          </w:tcPr>
          <w:p>
            <w:r/>
            <w:r>
              <w:rPr>
                <w:b w:val="0"/>
                <w:sz w:val="18"/>
              </w:rPr>
              <w:t>Achievable as majority parenting time on current facts; Derek’s regular involvement will be emphasized by him. Build record of caretaking; avoid overstating alcohol issue.</w:t>
            </w:r>
          </w:p>
        </w:tc>
      </w:tr>
      <w:tr>
        <w:tc>
          <w:tcPr>
            <w:tcW w:type="dxa" w:w="432"/>
          </w:tcPr>
          <w:p>
            <w:r/>
            <w:r>
              <w:rPr>
                <w:b w:val="0"/>
                <w:sz w:val="18"/>
              </w:rPr>
              <w:t>2</w:t>
            </w:r>
          </w:p>
        </w:tc>
        <w:tc>
          <w:tcPr>
            <w:tcW w:type="dxa" w:w="3456"/>
          </w:tcPr>
          <w:p>
            <w:r/>
            <w:r>
              <w:rPr>
                <w:b w:val="0"/>
                <w:sz w:val="18"/>
              </w:rPr>
              <w:t>Keep the marital home; willing to buy out Derek</w:t>
            </w:r>
          </w:p>
        </w:tc>
        <w:tc>
          <w:tcPr>
            <w:tcW w:type="dxa" w:w="5760"/>
          </w:tcPr>
          <w:p>
            <w:r/>
            <w:r>
              <w:rPr>
                <w:b w:val="0"/>
                <w:sz w:val="18"/>
              </w:rPr>
              <w:t>Buy-out at ~$249,000 (half of est. $498,000 equity) before credits; needs appraisal, refinance capacity, and liquidity (e.g., offset against 401(k)/other assets).</w:t>
            </w:r>
          </w:p>
        </w:tc>
      </w:tr>
      <w:tr>
        <w:tc>
          <w:tcPr>
            <w:tcW w:type="dxa" w:w="432"/>
          </w:tcPr>
          <w:p>
            <w:r/>
            <w:r>
              <w:rPr>
                <w:b w:val="0"/>
                <w:sz w:val="18"/>
              </w:rPr>
              <w:t>3</w:t>
            </w:r>
          </w:p>
        </w:tc>
        <w:tc>
          <w:tcPr>
            <w:tcW w:type="dxa" w:w="3456"/>
          </w:tcPr>
          <w:p>
            <w:r/>
            <w:r>
              <w:rPr>
                <w:b w:val="0"/>
                <w:sz w:val="18"/>
              </w:rPr>
              <w:t>Spousal maintenance from Derek</w:t>
            </w:r>
          </w:p>
        </w:tc>
        <w:tc>
          <w:tcPr>
            <w:tcW w:type="dxa" w:w="5760"/>
          </w:tcPr>
          <w:p>
            <w:r/>
            <w:r>
              <w:rPr>
                <w:b/>
                <w:sz w:val="18"/>
              </w:rPr>
              <w:t>High risk</w:t>
            </w:r>
            <w:r>
              <w:rPr>
                <w:b w:val="0"/>
                <w:sz w:val="18"/>
              </w:rPr>
              <w:t>: Rachel likely the payor on current numbers; prenup waiver inapplicable. Requires immediate expectation-setting.</w:t>
            </w:r>
          </w:p>
        </w:tc>
      </w:tr>
      <w:tr>
        <w:tc>
          <w:tcPr>
            <w:tcW w:type="dxa" w:w="432"/>
          </w:tcPr>
          <w:p>
            <w:r/>
            <w:r>
              <w:rPr>
                <w:b w:val="0"/>
                <w:sz w:val="18"/>
              </w:rPr>
              <w:t>4</w:t>
            </w:r>
          </w:p>
        </w:tc>
        <w:tc>
          <w:tcPr>
            <w:tcW w:type="dxa" w:w="3456"/>
          </w:tcPr>
          <w:p>
            <w:r/>
            <w:r>
              <w:rPr>
                <w:b w:val="0"/>
                <w:sz w:val="18"/>
              </w:rPr>
              <w:t>Proper valuation of Whitfield Digital Consulting; her share</w:t>
            </w:r>
          </w:p>
        </w:tc>
        <w:tc>
          <w:tcPr>
            <w:tcW w:type="dxa" w:w="5760"/>
          </w:tcPr>
          <w:p>
            <w:r/>
            <w:r>
              <w:rPr>
                <w:b w:val="0"/>
                <w:sz w:val="18"/>
              </w:rPr>
              <w:t>Retain forensic accountant/business valuator; personal vs. enterprise goodwill; income normalization.</w:t>
            </w:r>
          </w:p>
        </w:tc>
      </w:tr>
      <w:tr>
        <w:tc>
          <w:tcPr>
            <w:tcW w:type="dxa" w:w="432"/>
          </w:tcPr>
          <w:p>
            <w:r/>
            <w:r>
              <w:rPr>
                <w:b w:val="0"/>
                <w:sz w:val="18"/>
              </w:rPr>
              <w:t>5</w:t>
            </w:r>
          </w:p>
        </w:tc>
        <w:tc>
          <w:tcPr>
            <w:tcW w:type="dxa" w:w="3456"/>
          </w:tcPr>
          <w:p>
            <w:r/>
            <w:r>
              <w:rPr>
                <w:b w:val="0"/>
                <w:sz w:val="18"/>
              </w:rPr>
              <w:t>Child support per Illinois guidelines</w:t>
            </w:r>
          </w:p>
        </w:tc>
        <w:tc>
          <w:tcPr>
            <w:tcW w:type="dxa" w:w="5760"/>
          </w:tcPr>
          <w:p>
            <w:r/>
            <w:r>
              <w:rPr>
                <w:b w:val="0"/>
                <w:sz w:val="18"/>
              </w:rPr>
              <w:t>Dependent on overnights and income shares; add-ons for child care, extracurriculars and insurance.</w:t>
            </w:r>
          </w:p>
        </w:tc>
      </w:tr>
      <w:tr>
        <w:tc>
          <w:tcPr>
            <w:tcW w:type="dxa" w:w="432"/>
          </w:tcPr>
          <w:p>
            <w:r/>
            <w:r>
              <w:rPr>
                <w:b w:val="0"/>
                <w:sz w:val="18"/>
              </w:rPr>
              <w:t>6</w:t>
            </w:r>
          </w:p>
        </w:tc>
        <w:tc>
          <w:tcPr>
            <w:tcW w:type="dxa" w:w="3456"/>
          </w:tcPr>
          <w:p>
            <w:r/>
            <w:r>
              <w:rPr>
                <w:b w:val="0"/>
                <w:sz w:val="18"/>
              </w:rPr>
              <w:t>Keep the Galena cabin as separate property</w:t>
            </w:r>
          </w:p>
        </w:tc>
        <w:tc>
          <w:tcPr>
            <w:tcW w:type="dxa" w:w="5760"/>
          </w:tcPr>
          <w:p>
            <w:r/>
            <w:r>
              <w:rPr>
                <w:b w:val="0"/>
                <w:sz w:val="18"/>
              </w:rPr>
              <w:t>Weak as framed; presumptively marital; needs tracing documents from 2011–2019.</w:t>
            </w:r>
          </w:p>
        </w:tc>
      </w:tr>
      <w:tr>
        <w:tc>
          <w:tcPr>
            <w:tcW w:type="dxa" w:w="432"/>
          </w:tcPr>
          <w:p>
            <w:r/>
            <w:r>
              <w:rPr>
                <w:b w:val="0"/>
                <w:sz w:val="18"/>
              </w:rPr>
              <w:t>7</w:t>
            </w:r>
          </w:p>
        </w:tc>
        <w:tc>
          <w:tcPr>
            <w:tcW w:type="dxa" w:w="3456"/>
          </w:tcPr>
          <w:p>
            <w:r/>
            <w:r>
              <w:rPr>
                <w:b w:val="0"/>
                <w:sz w:val="18"/>
              </w:rPr>
              <w:t>Accountability for crypto moved in Dec. 2024</w:t>
            </w:r>
          </w:p>
        </w:tc>
        <w:tc>
          <w:tcPr>
            <w:tcW w:type="dxa" w:w="5760"/>
          </w:tcPr>
          <w:p>
            <w:r/>
            <w:r>
              <w:rPr>
                <w:b w:val="0"/>
                <w:sz w:val="18"/>
              </w:rPr>
              <w:t>Immediate injunctive and discovery steps; dissipation notice.</w:t>
            </w:r>
          </w:p>
        </w:tc>
      </w:tr>
    </w:tbl>
    <w:p>
      <w:pPr>
        <w:spacing w:after="40"/>
      </w:pPr>
    </w:p>
    <w:p>
      <w:pPr>
        <w:pStyle w:val="Heading1"/>
      </w:pPr>
      <w:r>
        <w:t>11. Discrepancies and Inconsistencies Log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val="clear" w:color="auto" w:fill="1F3A5F"/>
          </w:tcPr>
          <w:p>
            <w:r/>
            <w:r>
              <w:rPr>
                <w:b/>
                <w:color w:val="FFFFFF"/>
                <w:sz w:val="16"/>
              </w:rPr>
              <w:t>#</w:t>
            </w:r>
          </w:p>
        </w:tc>
        <w:tc>
          <w:tcPr>
            <w:tcW w:type="dxa" w:w="1584"/>
            <w:shd w:val="clear" w:color="auto" w:fill="1F3A5F"/>
          </w:tcPr>
          <w:p>
            <w:r/>
            <w:r>
              <w:rPr>
                <w:b/>
                <w:color w:val="FFFFFF"/>
                <w:sz w:val="16"/>
              </w:rPr>
              <w:t>Topic</w:t>
            </w:r>
          </w:p>
        </w:tc>
        <w:tc>
          <w:tcPr>
            <w:tcW w:type="dxa" w:w="2232"/>
            <w:shd w:val="clear" w:color="auto" w:fill="1F3A5F"/>
          </w:tcPr>
          <w:p>
            <w:r/>
            <w:r>
              <w:rPr>
                <w:b/>
                <w:color w:val="FFFFFF"/>
                <w:sz w:val="16"/>
              </w:rPr>
              <w:t>[IQ] says</w:t>
            </w:r>
          </w:p>
        </w:tc>
        <w:tc>
          <w:tcPr>
            <w:tcW w:type="dxa" w:w="2520"/>
            <w:shd w:val="clear" w:color="auto" w:fill="1F3A5F"/>
          </w:tcPr>
          <w:p>
            <w:r/>
            <w:r>
              <w:rPr>
                <w:b/>
                <w:color w:val="FFFFFF"/>
                <w:sz w:val="16"/>
              </w:rPr>
              <w:t>[EM] / [PN] / other says</w:t>
            </w:r>
          </w:p>
        </w:tc>
        <w:tc>
          <w:tcPr>
            <w:tcW w:type="dxa" w:w="2880"/>
            <w:shd w:val="clear" w:color="auto" w:fill="1F3A5F"/>
          </w:tcPr>
          <w:p>
            <w:r/>
            <w:r>
              <w:rPr>
                <w:b/>
                <w:color w:val="FFFFFF"/>
                <w:sz w:val="16"/>
              </w:rPr>
              <w:t>Why it matters / follow-up</w:t>
            </w:r>
          </w:p>
        </w:tc>
      </w:tr>
      <w:tr>
        <w:tc>
          <w:tcPr>
            <w:tcW w:type="dxa" w:w="432"/>
          </w:tcPr>
          <w:p>
            <w:r/>
            <w:r>
              <w:rPr>
                <w:b w:val="0"/>
                <w:sz w:val="16"/>
              </w:rPr>
              <w:t>1</w:t>
            </w:r>
          </w:p>
        </w:tc>
        <w:tc>
          <w:tcPr>
            <w:tcW w:type="dxa" w:w="1584"/>
          </w:tcPr>
          <w:p>
            <w:r/>
            <w:r>
              <w:rPr>
                <w:b w:val="0"/>
                <w:sz w:val="16"/>
              </w:rPr>
              <w:t>Parental down-payment gift</w:t>
            </w:r>
          </w:p>
        </w:tc>
        <w:tc>
          <w:tcPr>
            <w:tcW w:type="dxa" w:w="2232"/>
          </w:tcPr>
          <w:p>
            <w:r/>
            <w:r>
              <w:rPr>
                <w:b w:val="0"/>
                <w:sz w:val="16"/>
              </w:rPr>
              <w:t>$80,000 gift; $57,000 joint savings (§§ 6A, 9)</w:t>
            </w:r>
          </w:p>
        </w:tc>
        <w:tc>
          <w:tcPr>
            <w:tcW w:type="dxa" w:w="2520"/>
          </w:tcPr>
          <w:p>
            <w:r/>
            <w:r>
              <w:rPr>
                <w:b w:val="0"/>
                <w:sz w:val="16"/>
              </w:rPr>
              <w:t>[EM]: $90,000 (per mother and wire copy); $47,000 joint savings</w:t>
            </w:r>
          </w:p>
        </w:tc>
        <w:tc>
          <w:tcPr>
            <w:tcW w:type="dxa" w:w="2880"/>
          </w:tcPr>
          <w:p>
            <w:r/>
            <w:r>
              <w:rPr>
                <w:b w:val="0"/>
                <w:sz w:val="16"/>
              </w:rPr>
              <w:t>Reimbursement / characterization; credibility. Obtain the March 2016 wire record and any gift letter (lender files often contain one stating the donee).</w:t>
            </w:r>
          </w:p>
        </w:tc>
      </w:tr>
      <w:tr>
        <w:tc>
          <w:tcPr>
            <w:tcW w:type="dxa" w:w="432"/>
          </w:tcPr>
          <w:p>
            <w:r/>
            <w:r>
              <w:rPr>
                <w:b w:val="0"/>
                <w:sz w:val="16"/>
              </w:rPr>
              <w:t>2</w:t>
            </w:r>
          </w:p>
        </w:tc>
        <w:tc>
          <w:tcPr>
            <w:tcW w:type="dxa" w:w="1584"/>
          </w:tcPr>
          <w:p>
            <w:r/>
            <w:r>
              <w:rPr>
                <w:b w:val="0"/>
                <w:sz w:val="16"/>
              </w:rPr>
              <w:t>Donee of the gift</w:t>
            </w:r>
          </w:p>
        </w:tc>
        <w:tc>
          <w:tcPr>
            <w:tcW w:type="dxa" w:w="2232"/>
          </w:tcPr>
          <w:p>
            <w:r/>
            <w:r>
              <w:rPr>
                <w:b w:val="0"/>
                <w:sz w:val="16"/>
              </w:rPr>
              <w:t xml:space="preserve">“My parents gifted </w:t>
            </w:r>
            <w:r>
              <w:rPr>
                <w:b/>
                <w:sz w:val="16"/>
              </w:rPr>
              <w:t>us</w:t>
            </w:r>
            <w:r>
              <w:rPr>
                <w:b w:val="0"/>
                <w:sz w:val="16"/>
              </w:rPr>
              <w:t>”</w:t>
            </w:r>
          </w:p>
        </w:tc>
        <w:tc>
          <w:tcPr>
            <w:tcW w:type="dxa" w:w="2520"/>
          </w:tcPr>
          <w:p>
            <w:r/>
            <w:r>
              <w:rPr>
                <w:b w:val="0"/>
                <w:sz w:val="16"/>
              </w:rPr>
              <w:t>[EM]: “gift from my parents” toward joint home</w:t>
            </w:r>
          </w:p>
        </w:tc>
        <w:tc>
          <w:tcPr>
            <w:tcW w:type="dxa" w:w="2880"/>
          </w:tcPr>
          <w:p>
            <w:r/>
            <w:r>
              <w:rPr>
                <w:b w:val="0"/>
                <w:sz w:val="16"/>
              </w:rPr>
              <w:t>A gift to both spouses is marital; a gift to Rachel alone could be separate under prenup § 3.2 but was commingled into JTWROS property.</w:t>
            </w:r>
          </w:p>
        </w:tc>
      </w:tr>
      <w:tr>
        <w:tc>
          <w:tcPr>
            <w:tcW w:type="dxa" w:w="432"/>
          </w:tcPr>
          <w:p>
            <w:r/>
            <w:r>
              <w:rPr>
                <w:b w:val="0"/>
                <w:sz w:val="16"/>
              </w:rPr>
              <w:t>3</w:t>
            </w:r>
          </w:p>
        </w:tc>
        <w:tc>
          <w:tcPr>
            <w:tcW w:type="dxa" w:w="1584"/>
          </w:tcPr>
          <w:p>
            <w:r/>
            <w:r>
              <w:rPr>
                <w:b w:val="0"/>
                <w:sz w:val="16"/>
              </w:rPr>
              <w:t>Cabin funding source</w:t>
            </w:r>
          </w:p>
        </w:tc>
        <w:tc>
          <w:tcPr>
            <w:tcW w:type="dxa" w:w="2232"/>
          </w:tcPr>
          <w:p>
            <w:r/>
            <w:r>
              <w:rPr>
                <w:b w:val="0"/>
                <w:sz w:val="16"/>
              </w:rPr>
              <w:t>“Money I saved before we got married”</w:t>
            </w:r>
          </w:p>
        </w:tc>
        <w:tc>
          <w:tcPr>
            <w:tcW w:type="dxa" w:w="2520"/>
          </w:tcPr>
          <w:p>
            <w:r/>
            <w:r>
              <w:rPr>
                <w:b w:val="0"/>
                <w:sz w:val="16"/>
              </w:rPr>
              <w:t>[EM]: “savings I had set aside” (no pre-marital reference)</w:t>
            </w:r>
          </w:p>
        </w:tc>
        <w:tc>
          <w:tcPr>
            <w:tcW w:type="dxa" w:w="2880"/>
          </w:tcPr>
          <w:p>
            <w:r/>
            <w:r>
              <w:rPr>
                <w:b w:val="0"/>
                <w:sz w:val="16"/>
              </w:rPr>
              <w:t>Cabin bought 8 yrs into marriage; Rachel was a medical student with large loans at marriage; Whitcroft (her known pre-marital asset) remains intact. Tracing documents essential.</w:t>
            </w:r>
          </w:p>
        </w:tc>
      </w:tr>
      <w:tr>
        <w:tc>
          <w:tcPr>
            <w:tcW w:type="dxa" w:w="432"/>
          </w:tcPr>
          <w:p>
            <w:r/>
            <w:r>
              <w:rPr>
                <w:b w:val="0"/>
                <w:sz w:val="16"/>
              </w:rPr>
              <w:t>4</w:t>
            </w:r>
          </w:p>
        </w:tc>
        <w:tc>
          <w:tcPr>
            <w:tcW w:type="dxa" w:w="1584"/>
          </w:tcPr>
          <w:p>
            <w:r/>
            <w:r>
              <w:rPr>
                <w:b w:val="0"/>
                <w:sz w:val="16"/>
              </w:rPr>
              <w:t>Cabin off-season</w:t>
            </w:r>
          </w:p>
        </w:tc>
        <w:tc>
          <w:tcPr>
            <w:tcW w:type="dxa" w:w="2232"/>
          </w:tcPr>
          <w:p>
            <w:r/>
            <w:r>
              <w:rPr>
                <w:b w:val="0"/>
                <w:sz w:val="16"/>
              </w:rPr>
              <w:t>“Sometimes it sits empty”</w:t>
            </w:r>
          </w:p>
        </w:tc>
        <w:tc>
          <w:tcPr>
            <w:tcW w:type="dxa" w:w="2520"/>
          </w:tcPr>
          <w:p>
            <w:r/>
            <w:r>
              <w:rPr>
                <w:b w:val="0"/>
                <w:sz w:val="16"/>
              </w:rPr>
              <w:t>[EM]: “barely breaking even” off-season</w:t>
            </w:r>
          </w:p>
        </w:tc>
        <w:tc>
          <w:tcPr>
            <w:tcW w:type="dxa" w:w="2880"/>
          </w:tcPr>
          <w:p>
            <w:r/>
            <w:r>
              <w:rPr>
                <w:b w:val="0"/>
                <w:sz w:val="16"/>
              </w:rPr>
              <w:t>Rental income/expenses for Financial Affidavit; obtain platform statements and Schedule E.</w:t>
            </w:r>
          </w:p>
        </w:tc>
      </w:tr>
      <w:tr>
        <w:tc>
          <w:tcPr>
            <w:tcW w:type="dxa" w:w="432"/>
          </w:tcPr>
          <w:p>
            <w:r/>
            <w:r>
              <w:rPr>
                <w:b w:val="0"/>
                <w:sz w:val="16"/>
              </w:rPr>
              <w:t>5</w:t>
            </w:r>
          </w:p>
        </w:tc>
        <w:tc>
          <w:tcPr>
            <w:tcW w:type="dxa" w:w="1584"/>
          </w:tcPr>
          <w:p>
            <w:r/>
            <w:r>
              <w:rPr>
                <w:b w:val="0"/>
                <w:sz w:val="16"/>
              </w:rPr>
              <w:t>Nature of Derek’s business</w:t>
            </w:r>
          </w:p>
        </w:tc>
        <w:tc>
          <w:tcPr>
            <w:tcW w:type="dxa" w:w="2232"/>
          </w:tcPr>
          <w:p>
            <w:r/>
            <w:r>
              <w:rPr>
                <w:b w:val="0"/>
                <w:sz w:val="16"/>
              </w:rPr>
              <w:t>Digital marketing and SEO consulting</w:t>
            </w:r>
          </w:p>
        </w:tc>
        <w:tc>
          <w:tcPr>
            <w:tcW w:type="dxa" w:w="2520"/>
          </w:tcPr>
          <w:p>
            <w:r/>
            <w:r>
              <w:rPr>
                <w:b w:val="0"/>
                <w:sz w:val="16"/>
              </w:rPr>
              <w:t>[EM]: IT strategy and digital-transformation consulting</w:t>
            </w:r>
          </w:p>
        </w:tc>
        <w:tc>
          <w:tcPr>
            <w:tcW w:type="dxa" w:w="2880"/>
          </w:tcPr>
          <w:p>
            <w:r/>
            <w:r>
              <w:rPr>
                <w:b w:val="0"/>
                <w:sz w:val="16"/>
              </w:rPr>
              <w:t>Directly affects plausibility of $48k graphic-design spend with Voss.</w:t>
            </w:r>
          </w:p>
        </w:tc>
      </w:tr>
      <w:tr>
        <w:tc>
          <w:tcPr>
            <w:tcW w:type="dxa" w:w="432"/>
          </w:tcPr>
          <w:p>
            <w:r/>
            <w:r>
              <w:rPr>
                <w:b w:val="0"/>
                <w:sz w:val="16"/>
              </w:rPr>
              <w:t>6</w:t>
            </w:r>
          </w:p>
        </w:tc>
        <w:tc>
          <w:tcPr>
            <w:tcW w:type="dxa" w:w="1584"/>
          </w:tcPr>
          <w:p>
            <w:r/>
            <w:r>
              <w:rPr>
                <w:b w:val="0"/>
                <w:sz w:val="16"/>
              </w:rPr>
              <w:t>Personal trips</w:t>
            </w:r>
          </w:p>
        </w:tc>
        <w:tc>
          <w:tcPr>
            <w:tcW w:type="dxa" w:w="2232"/>
          </w:tcPr>
          <w:p>
            <w:r/>
            <w:r>
              <w:rPr>
                <w:b w:val="0"/>
                <w:sz w:val="16"/>
              </w:rPr>
              <w:t>Las Vegas twice</w:t>
            </w:r>
          </w:p>
        </w:tc>
        <w:tc>
          <w:tcPr>
            <w:tcW w:type="dxa" w:w="2520"/>
          </w:tcPr>
          <w:p>
            <w:r/>
            <w:r>
              <w:rPr>
                <w:b w:val="0"/>
                <w:sz w:val="16"/>
              </w:rPr>
              <w:t>[EM]: Miami (Mar. 2024), Austin (July 2024), Scottsdale golf (Oct. 2024)</w:t>
            </w:r>
          </w:p>
        </w:tc>
        <w:tc>
          <w:tcPr>
            <w:tcW w:type="dxa" w:w="2880"/>
          </w:tcPr>
          <w:p>
            <w:r/>
            <w:r>
              <w:rPr>
                <w:b w:val="0"/>
                <w:sz w:val="16"/>
              </w:rPr>
              <w:t>Different trips entirely; get her complete list before alleging in pleadings.</w:t>
            </w:r>
          </w:p>
        </w:tc>
      </w:tr>
      <w:tr>
        <w:tc>
          <w:tcPr>
            <w:tcW w:type="dxa" w:w="432"/>
          </w:tcPr>
          <w:p>
            <w:r/>
            <w:r>
              <w:rPr>
                <w:b w:val="0"/>
                <w:sz w:val="16"/>
              </w:rPr>
              <w:t>7</w:t>
            </w:r>
          </w:p>
        </w:tc>
        <w:tc>
          <w:tcPr>
            <w:tcW w:type="dxa" w:w="1584"/>
          </w:tcPr>
          <w:p>
            <w:r/>
            <w:r>
              <w:rPr>
                <w:b w:val="0"/>
                <w:sz w:val="16"/>
              </w:rPr>
              <w:t>Quantum of add-backs</w:t>
            </w:r>
          </w:p>
        </w:tc>
        <w:tc>
          <w:tcPr>
            <w:tcW w:type="dxa" w:w="2232"/>
          </w:tcPr>
          <w:p>
            <w:r/>
            <w:r>
              <w:rPr>
                <w:b w:val="0"/>
                <w:sz w:val="16"/>
              </w:rPr>
              <w:t>“Almost $103,000” fake or personal</w:t>
            </w:r>
          </w:p>
        </w:tc>
        <w:tc>
          <w:tcPr>
            <w:tcW w:type="dxa" w:w="2520"/>
          </w:tcPr>
          <w:p>
            <w:r/>
            <w:r>
              <w:rPr>
                <w:b w:val="0"/>
                <w:sz w:val="16"/>
              </w:rPr>
              <w:t>[EM]: $15–20k of T&amp;E personal; Voss suspected; PC $7,200; asserts true income “well over $250,000”</w:t>
            </w:r>
          </w:p>
        </w:tc>
        <w:tc>
          <w:tcPr>
            <w:tcW w:type="dxa" w:w="2880"/>
          </w:tcPr>
          <w:p>
            <w:r/>
            <w:r>
              <w:rPr>
                <w:b w:val="0"/>
                <w:sz w:val="16"/>
              </w:rPr>
              <w:t>Use the documented-to-alleged ladder in § 9.1; avoid over-claiming.</w:t>
            </w:r>
          </w:p>
        </w:tc>
      </w:tr>
      <w:tr>
        <w:tc>
          <w:tcPr>
            <w:tcW w:type="dxa" w:w="432"/>
          </w:tcPr>
          <w:p>
            <w:r/>
            <w:r>
              <w:rPr>
                <w:b w:val="0"/>
                <w:sz w:val="16"/>
              </w:rPr>
              <w:t>8</w:t>
            </w:r>
          </w:p>
        </w:tc>
        <w:tc>
          <w:tcPr>
            <w:tcW w:type="dxa" w:w="1584"/>
          </w:tcPr>
          <w:p>
            <w:r/>
            <w:r>
              <w:rPr>
                <w:b w:val="0"/>
                <w:sz w:val="16"/>
              </w:rPr>
              <w:t>Where crypto notification was seen</w:t>
            </w:r>
          </w:p>
        </w:tc>
        <w:tc>
          <w:tcPr>
            <w:tcW w:type="dxa" w:w="2232"/>
          </w:tcPr>
          <w:p>
            <w:r/>
            <w:r>
              <w:rPr>
                <w:b w:val="0"/>
                <w:sz w:val="16"/>
              </w:rPr>
              <w:t>On his phone, Dec. 2024, “right before I filed”</w:t>
            </w:r>
          </w:p>
        </w:tc>
        <w:tc>
          <w:tcPr>
            <w:tcW w:type="dxa" w:w="2520"/>
          </w:tcPr>
          <w:p>
            <w:r/>
            <w:r>
              <w:rPr>
                <w:b w:val="0"/>
                <w:sz w:val="16"/>
              </w:rPr>
              <w:t>[EM]: when “he came to pick up the kids” after separation</w:t>
            </w:r>
          </w:p>
        </w:tc>
        <w:tc>
          <w:tcPr>
            <w:tcW w:type="dxa" w:w="2880"/>
          </w:tcPr>
          <w:p>
            <w:r/>
            <w:r>
              <w:rPr>
                <w:b w:val="0"/>
                <w:sz w:val="16"/>
              </w:rPr>
              <w:t>[IQ] says Derek still lives in the home. Also, Dec. 2024 is ~2 months before the Feb. 7 filing. Clarify exact date/circumstances.</w:t>
            </w:r>
          </w:p>
        </w:tc>
      </w:tr>
      <w:tr>
        <w:tc>
          <w:tcPr>
            <w:tcW w:type="dxa" w:w="432"/>
          </w:tcPr>
          <w:p>
            <w:r/>
            <w:r>
              <w:rPr>
                <w:b w:val="0"/>
                <w:sz w:val="16"/>
              </w:rPr>
              <w:t>9</w:t>
            </w:r>
          </w:p>
        </w:tc>
        <w:tc>
          <w:tcPr>
            <w:tcW w:type="dxa" w:w="1584"/>
          </w:tcPr>
          <w:p>
            <w:r/>
            <w:r>
              <w:rPr>
                <w:b w:val="0"/>
                <w:sz w:val="16"/>
              </w:rPr>
              <w:t>Opposing counsel’s appearance</w:t>
            </w:r>
          </w:p>
        </w:tc>
        <w:tc>
          <w:tcPr>
            <w:tcW w:type="dxa" w:w="2232"/>
          </w:tcPr>
          <w:p>
            <w:r/>
            <w:r>
              <w:rPr>
                <w:b w:val="0"/>
                <w:sz w:val="16"/>
              </w:rPr>
              <w:t>Filed “about 3 weeks ago” (as of Feb. 10 ≈ Jan. 20)</w:t>
            </w:r>
          </w:p>
        </w:tc>
        <w:tc>
          <w:tcPr>
            <w:tcW w:type="dxa" w:w="2520"/>
          </w:tcPr>
          <w:p>
            <w:r/>
            <w:r>
              <w:rPr>
                <w:b w:val="0"/>
                <w:sz w:val="16"/>
              </w:rPr>
              <w:t>Petition filed Feb. 7, 2025</w:t>
            </w:r>
          </w:p>
        </w:tc>
        <w:tc>
          <w:tcPr>
            <w:tcW w:type="dxa" w:w="2880"/>
          </w:tcPr>
          <w:p>
            <w:r/>
            <w:r>
              <w:rPr>
                <w:b w:val="0"/>
                <w:sz w:val="16"/>
              </w:rPr>
              <w:t>Appearance cannot pre-date the case unless Derek filed something first. Pull docket.</w:t>
            </w:r>
          </w:p>
        </w:tc>
      </w:tr>
      <w:tr>
        <w:tc>
          <w:tcPr>
            <w:tcW w:type="dxa" w:w="432"/>
          </w:tcPr>
          <w:p>
            <w:r/>
            <w:r>
              <w:rPr>
                <w:b w:val="0"/>
                <w:sz w:val="16"/>
              </w:rPr>
              <w:t>10</w:t>
            </w:r>
          </w:p>
        </w:tc>
        <w:tc>
          <w:tcPr>
            <w:tcW w:type="dxa" w:w="1584"/>
          </w:tcPr>
          <w:p>
            <w:r/>
            <w:r>
              <w:rPr>
                <w:b w:val="0"/>
                <w:sz w:val="16"/>
              </w:rPr>
              <w:t>Rachel’s age</w:t>
            </w:r>
          </w:p>
        </w:tc>
        <w:tc>
          <w:tcPr>
            <w:tcW w:type="dxa" w:w="2232"/>
          </w:tcPr>
          <w:p>
            <w:r/>
            <w:r>
              <w:rPr>
                <w:b w:val="0"/>
                <w:sz w:val="16"/>
              </w:rPr>
              <w:t>41</w:t>
            </w:r>
          </w:p>
        </w:tc>
        <w:tc>
          <w:tcPr>
            <w:tcW w:type="dxa" w:w="2520"/>
          </w:tcPr>
          <w:p>
            <w:r/>
            <w:r>
              <w:rPr>
                <w:b w:val="0"/>
                <w:sz w:val="16"/>
              </w:rPr>
              <w:t>DOB Mar. 14, 1984 → 40 at Feb. 10, 2025</w:t>
            </w:r>
          </w:p>
        </w:tc>
        <w:tc>
          <w:tcPr>
            <w:tcW w:type="dxa" w:w="2880"/>
          </w:tcPr>
          <w:p>
            <w:r/>
            <w:r>
              <w:rPr>
                <w:b w:val="0"/>
                <w:sz w:val="16"/>
              </w:rPr>
              <w:t>Correct on pleadings/Financial Affidavit.</w:t>
            </w:r>
          </w:p>
        </w:tc>
      </w:tr>
      <w:tr>
        <w:tc>
          <w:tcPr>
            <w:tcW w:type="dxa" w:w="432"/>
          </w:tcPr>
          <w:p>
            <w:r/>
            <w:r>
              <w:rPr>
                <w:b w:val="0"/>
                <w:sz w:val="16"/>
              </w:rPr>
              <w:t>11</w:t>
            </w:r>
          </w:p>
        </w:tc>
        <w:tc>
          <w:tcPr>
            <w:tcW w:type="dxa" w:w="1584"/>
          </w:tcPr>
          <w:p>
            <w:r/>
            <w:r>
              <w:rPr>
                <w:b w:val="0"/>
                <w:sz w:val="16"/>
              </w:rPr>
              <w:t>Ethan’s age</w:t>
            </w:r>
          </w:p>
        </w:tc>
        <w:tc>
          <w:tcPr>
            <w:tcW w:type="dxa" w:w="2232"/>
          </w:tcPr>
          <w:p>
            <w:r/>
            <w:r>
              <w:rPr>
                <w:b w:val="0"/>
                <w:sz w:val="16"/>
              </w:rPr>
              <w:t>“11 (will turn 11 in June 2025)”</w:t>
            </w:r>
          </w:p>
        </w:tc>
        <w:tc>
          <w:tcPr>
            <w:tcW w:type="dxa" w:w="2520"/>
          </w:tcPr>
          <w:p>
            <w:r/>
            <w:r>
              <w:rPr>
                <w:b w:val="0"/>
                <w:sz w:val="16"/>
              </w:rPr>
              <w:t>DOB June 11, 2014 → 10</w:t>
            </w:r>
          </w:p>
        </w:tc>
        <w:tc>
          <w:tcPr>
            <w:tcW w:type="dxa" w:w="2880"/>
          </w:tcPr>
          <w:p>
            <w:r/>
            <w:r>
              <w:rPr>
                <w:b w:val="0"/>
                <w:sz w:val="16"/>
              </w:rPr>
              <w:t>Internal inconsistency; correct to 10.</w:t>
            </w:r>
          </w:p>
        </w:tc>
      </w:tr>
      <w:tr>
        <w:tc>
          <w:tcPr>
            <w:tcW w:type="dxa" w:w="432"/>
          </w:tcPr>
          <w:p>
            <w:r/>
            <w:r>
              <w:rPr>
                <w:b w:val="0"/>
                <w:sz w:val="16"/>
              </w:rPr>
              <w:t>12</w:t>
            </w:r>
          </w:p>
        </w:tc>
        <w:tc>
          <w:tcPr>
            <w:tcW w:type="dxa" w:w="1584"/>
          </w:tcPr>
          <w:p>
            <w:r/>
            <w:r>
              <w:rPr>
                <w:b w:val="0"/>
                <w:sz w:val="16"/>
              </w:rPr>
              <w:t>Length of marriage</w:t>
            </w:r>
          </w:p>
        </w:tc>
        <w:tc>
          <w:tcPr>
            <w:tcW w:type="dxa" w:w="2232"/>
          </w:tcPr>
          <w:p>
            <w:r/>
            <w:r>
              <w:rPr>
                <w:b w:val="0"/>
                <w:sz w:val="16"/>
              </w:rPr>
              <w:t>“Approximately 14 years”</w:t>
            </w:r>
          </w:p>
        </w:tc>
        <w:tc>
          <w:tcPr>
            <w:tcW w:type="dxa" w:w="2520"/>
          </w:tcPr>
          <w:p>
            <w:r/>
            <w:r>
              <w:rPr>
                <w:b w:val="0"/>
                <w:sz w:val="16"/>
              </w:rPr>
              <w:t>13 yrs 5 mos 20 days to filing</w:t>
            </w:r>
          </w:p>
        </w:tc>
        <w:tc>
          <w:tcPr>
            <w:tcW w:type="dxa" w:w="2880"/>
          </w:tcPr>
          <w:p>
            <w:r/>
            <w:r>
              <w:rPr>
                <w:b w:val="0"/>
                <w:sz w:val="16"/>
              </w:rPr>
              <w:t>Maintenance duration multiplier 0.56 vs 0.60.</w:t>
            </w:r>
          </w:p>
        </w:tc>
      </w:tr>
      <w:tr>
        <w:tc>
          <w:tcPr>
            <w:tcW w:type="dxa" w:w="432"/>
          </w:tcPr>
          <w:p>
            <w:r/>
            <w:r>
              <w:rPr>
                <w:b w:val="0"/>
                <w:sz w:val="16"/>
              </w:rPr>
              <w:t>13</w:t>
            </w:r>
          </w:p>
        </w:tc>
        <w:tc>
          <w:tcPr>
            <w:tcW w:type="dxa" w:w="1584"/>
          </w:tcPr>
          <w:p>
            <w:r/>
            <w:r>
              <w:rPr>
                <w:b w:val="0"/>
                <w:sz w:val="16"/>
              </w:rPr>
              <w:t>PSLF timing</w:t>
            </w:r>
          </w:p>
        </w:tc>
        <w:tc>
          <w:tcPr>
            <w:tcW w:type="dxa" w:w="2232"/>
          </w:tcPr>
          <w:p>
            <w:r/>
            <w:r>
              <w:rPr>
                <w:b w:val="0"/>
                <w:sz w:val="16"/>
              </w:rPr>
              <w:t>Forgiven “within the next year or so”</w:t>
            </w:r>
          </w:p>
        </w:tc>
        <w:tc>
          <w:tcPr>
            <w:tcW w:type="dxa" w:w="2520"/>
          </w:tcPr>
          <w:p>
            <w:r/>
            <w:r>
              <w:rPr>
                <w:b w:val="0"/>
                <w:sz w:val="16"/>
              </w:rPr>
              <w:t>[EM]: “about two more years”</w:t>
            </w:r>
          </w:p>
        </w:tc>
        <w:tc>
          <w:tcPr>
            <w:tcW w:type="dxa" w:w="2880"/>
          </w:tcPr>
          <w:p>
            <w:r/>
            <w:r>
              <w:rPr>
                <w:b w:val="0"/>
                <w:sz w:val="16"/>
              </w:rPr>
              <w:t>And eligibility itself is doubtful (S.C. employer). Obtain PSLF employment certifications / StudentAid.gov records.</w:t>
            </w:r>
          </w:p>
        </w:tc>
      </w:tr>
      <w:tr>
        <w:tc>
          <w:tcPr>
            <w:tcW w:type="dxa" w:w="432"/>
          </w:tcPr>
          <w:p>
            <w:r/>
            <w:r>
              <w:rPr>
                <w:b w:val="0"/>
                <w:sz w:val="16"/>
              </w:rPr>
              <w:t>14</w:t>
            </w:r>
          </w:p>
        </w:tc>
        <w:tc>
          <w:tcPr>
            <w:tcW w:type="dxa" w:w="1584"/>
          </w:tcPr>
          <w:p>
            <w:r/>
            <w:r>
              <w:rPr>
                <w:b w:val="0"/>
                <w:sz w:val="16"/>
              </w:rPr>
              <w:t>Student-loan paydown</w:t>
            </w:r>
          </w:p>
        </w:tc>
        <w:tc>
          <w:tcPr>
            <w:tcW w:type="dxa" w:w="2232"/>
          </w:tcPr>
          <w:p>
            <w:r/>
            <w:r>
              <w:rPr>
                <w:b w:val="0"/>
                <w:sz w:val="16"/>
              </w:rPr>
              <w:t>$180,000 → $34,000</w:t>
            </w:r>
          </w:p>
        </w:tc>
        <w:tc>
          <w:tcPr>
            <w:tcW w:type="dxa" w:w="2520"/>
          </w:tcPr>
          <w:p>
            <w:r/>
            <w:r>
              <w:rPr>
                <w:b w:val="0"/>
                <w:sz w:val="16"/>
              </w:rPr>
              <w:t>[EM]: ~$400/mo. IDR</w:t>
            </w:r>
          </w:p>
        </w:tc>
        <w:tc>
          <w:tcPr>
            <w:tcW w:type="dxa" w:w="2880"/>
          </w:tcPr>
          <w:p>
            <w:r/>
            <w:r>
              <w:rPr>
                <w:b w:val="0"/>
                <w:sz w:val="16"/>
              </w:rPr>
              <w:t>Math does not work; identify lump-sum sources.</w:t>
            </w:r>
          </w:p>
        </w:tc>
      </w:tr>
      <w:tr>
        <w:tc>
          <w:tcPr>
            <w:tcW w:type="dxa" w:w="432"/>
          </w:tcPr>
          <w:p>
            <w:r/>
            <w:r>
              <w:rPr>
                <w:b w:val="0"/>
                <w:sz w:val="16"/>
              </w:rPr>
              <w:t>15</w:t>
            </w:r>
          </w:p>
        </w:tc>
        <w:tc>
          <w:tcPr>
            <w:tcW w:type="dxa" w:w="1584"/>
          </w:tcPr>
          <w:p>
            <w:r/>
            <w:r>
              <w:rPr>
                <w:b w:val="0"/>
                <w:sz w:val="16"/>
              </w:rPr>
              <w:t>Inheritance balance</w:t>
            </w:r>
          </w:p>
        </w:tc>
        <w:tc>
          <w:tcPr>
            <w:tcW w:type="dxa" w:w="2232"/>
          </w:tcPr>
          <w:p>
            <w:r/>
            <w:r>
              <w:rPr>
                <w:b w:val="0"/>
                <w:sz w:val="16"/>
              </w:rPr>
              <w:t>$175,000 received; “some” used for $58,000 kitchen; rest separate</w:t>
            </w:r>
          </w:p>
        </w:tc>
        <w:tc>
          <w:tcPr>
            <w:tcW w:type="dxa" w:w="2520"/>
          </w:tcPr>
          <w:p>
            <w:r/>
            <w:r>
              <w:rPr>
                <w:b w:val="0"/>
                <w:sz w:val="16"/>
              </w:rPr>
              <w:t>Individual savings now $38,500</w:t>
            </w:r>
          </w:p>
        </w:tc>
        <w:tc>
          <w:tcPr>
            <w:tcW w:type="dxa" w:w="2880"/>
          </w:tcPr>
          <w:p>
            <w:r/>
            <w:r>
              <w:rPr>
                <w:b w:val="0"/>
                <w:sz w:val="16"/>
              </w:rPr>
              <w:t>~$78,500 unaccounted for; commingling/tracing risk under § 3.2.</w:t>
            </w:r>
          </w:p>
        </w:tc>
      </w:tr>
      <w:tr>
        <w:tc>
          <w:tcPr>
            <w:tcW w:type="dxa" w:w="432"/>
          </w:tcPr>
          <w:p>
            <w:r/>
            <w:r>
              <w:rPr>
                <w:b w:val="0"/>
                <w:sz w:val="16"/>
              </w:rPr>
              <w:t>16</w:t>
            </w:r>
          </w:p>
        </w:tc>
        <w:tc>
          <w:tcPr>
            <w:tcW w:type="dxa" w:w="1584"/>
          </w:tcPr>
          <w:p>
            <w:r/>
            <w:r>
              <w:rPr>
                <w:b w:val="0"/>
                <w:sz w:val="16"/>
              </w:rPr>
              <w:t>Owen’s therapy program</w:t>
            </w:r>
          </w:p>
        </w:tc>
        <w:tc>
          <w:tcPr>
            <w:tcW w:type="dxa" w:w="2232"/>
          </w:tcPr>
          <w:p>
            <w:r/>
            <w:r>
              <w:rPr>
                <w:b w:val="0"/>
                <w:sz w:val="16"/>
              </w:rPr>
              <w:t>“Through Early Intervention” at DuPage Easter Seals</w:t>
            </w:r>
          </w:p>
        </w:tc>
        <w:tc>
          <w:tcPr>
            <w:tcW w:type="dxa" w:w="2520"/>
          </w:tcPr>
          <w:p>
            <w:r/>
            <w:r>
              <w:rPr>
                <w:b w:val="0"/>
                <w:sz w:val="16"/>
              </w:rPr>
              <w:t>Owen is 4; Illinois EI ends at 3</w:t>
            </w:r>
          </w:p>
        </w:tc>
        <w:tc>
          <w:tcPr>
            <w:tcW w:type="dxa" w:w="2880"/>
          </w:tcPr>
          <w:p>
            <w:r/>
            <w:r>
              <w:rPr>
                <w:b w:val="0"/>
                <w:sz w:val="16"/>
              </w:rPr>
              <w:t>Confirm current provider/program, payor and copay basis.</w:t>
            </w:r>
          </w:p>
        </w:tc>
      </w:tr>
      <w:tr>
        <w:tc>
          <w:tcPr>
            <w:tcW w:type="dxa" w:w="432"/>
          </w:tcPr>
          <w:p>
            <w:r/>
            <w:r>
              <w:rPr>
                <w:b w:val="0"/>
                <w:sz w:val="16"/>
              </w:rPr>
              <w:t>17</w:t>
            </w:r>
          </w:p>
        </w:tc>
        <w:tc>
          <w:tcPr>
            <w:tcW w:type="dxa" w:w="1584"/>
          </w:tcPr>
          <w:p>
            <w:r/>
            <w:r>
              <w:rPr>
                <w:b w:val="0"/>
                <w:sz w:val="16"/>
              </w:rPr>
              <w:t>Speech-therapy cost</w:t>
            </w:r>
          </w:p>
        </w:tc>
        <w:tc>
          <w:tcPr>
            <w:tcW w:type="dxa" w:w="2232"/>
          </w:tcPr>
          <w:p>
            <w:r/>
            <w:r>
              <w:rPr>
                <w:b w:val="0"/>
                <w:sz w:val="16"/>
              </w:rPr>
              <w:t>$80/wk ≈ $320/mo.</w:t>
            </w:r>
          </w:p>
        </w:tc>
        <w:tc>
          <w:tcPr>
            <w:tcW w:type="dxa" w:w="2520"/>
          </w:tcPr>
          <w:p>
            <w:r/>
            <w:r>
              <w:rPr>
                <w:b w:val="0"/>
                <w:sz w:val="16"/>
              </w:rPr>
              <w:t>Correct figure ≈ $347/mo.</w:t>
            </w:r>
          </w:p>
        </w:tc>
        <w:tc>
          <w:tcPr>
            <w:tcW w:type="dxa" w:w="2880"/>
          </w:tcPr>
          <w:p>
            <w:r/>
            <w:r>
              <w:rPr>
                <w:b w:val="0"/>
                <w:sz w:val="16"/>
              </w:rPr>
              <w:t>Minor; also double-counted in [EM] cash-flow list.</w:t>
            </w:r>
          </w:p>
        </w:tc>
      </w:tr>
      <w:tr>
        <w:tc>
          <w:tcPr>
            <w:tcW w:type="dxa" w:w="432"/>
          </w:tcPr>
          <w:p>
            <w:r/>
            <w:r>
              <w:rPr>
                <w:b w:val="0"/>
                <w:sz w:val="16"/>
              </w:rPr>
              <w:t>18</w:t>
            </w:r>
          </w:p>
        </w:tc>
        <w:tc>
          <w:tcPr>
            <w:tcW w:type="dxa" w:w="1584"/>
          </w:tcPr>
          <w:p>
            <w:r/>
            <w:r>
              <w:rPr>
                <w:b w:val="0"/>
                <w:sz w:val="16"/>
              </w:rPr>
              <w:t>Prenup business terms</w:t>
            </w:r>
          </w:p>
        </w:tc>
        <w:tc>
          <w:tcPr>
            <w:tcW w:type="dxa" w:w="2232"/>
          </w:tcPr>
          <w:p>
            <w:r/>
            <w:r>
              <w:rPr>
                <w:b w:val="0"/>
                <w:sz w:val="16"/>
              </w:rPr>
              <w:t>Nothing about businesses</w:t>
            </w:r>
          </w:p>
        </w:tc>
        <w:tc>
          <w:tcPr>
            <w:tcW w:type="dxa" w:w="2520"/>
          </w:tcPr>
          <w:p>
            <w:r/>
            <w:r>
              <w:rPr>
                <w:b w:val="0"/>
                <w:sz w:val="16"/>
              </w:rPr>
              <w:t>[PN]: § 4.3 and pp. 7–8 missing</w:t>
            </w:r>
          </w:p>
        </w:tc>
        <w:tc>
          <w:tcPr>
            <w:tcW w:type="dxa" w:w="2880"/>
          </w:tcPr>
          <w:p>
            <w:r/>
            <w:r>
              <w:rPr>
                <w:b w:val="0"/>
                <w:sz w:val="16"/>
              </w:rPr>
              <w:t>Unverifiable until full copy obtained.</w:t>
            </w:r>
          </w:p>
        </w:tc>
      </w:tr>
      <w:tr>
        <w:tc>
          <w:tcPr>
            <w:tcW w:type="dxa" w:w="432"/>
          </w:tcPr>
          <w:p>
            <w:r/>
            <w:r>
              <w:rPr>
                <w:b w:val="0"/>
                <w:sz w:val="16"/>
              </w:rPr>
              <w:t>19</w:t>
            </w:r>
          </w:p>
        </w:tc>
        <w:tc>
          <w:tcPr>
            <w:tcW w:type="dxa" w:w="1584"/>
          </w:tcPr>
          <w:p>
            <w:r/>
            <w:r>
              <w:rPr>
                <w:b w:val="0"/>
                <w:sz w:val="16"/>
              </w:rPr>
              <w:t>Contact information</w:t>
            </w:r>
          </w:p>
        </w:tc>
        <w:tc>
          <w:tcPr>
            <w:tcW w:type="dxa" w:w="2232"/>
          </w:tcPr>
          <w:p>
            <w:r/>
            <w:r>
              <w:rPr>
                <w:b w:val="0"/>
                <w:sz w:val="16"/>
              </w:rPr>
              <w:t>Cell (630) 555-8371; work email</w:t>
            </w:r>
          </w:p>
        </w:tc>
        <w:tc>
          <w:tcPr>
            <w:tcW w:type="dxa" w:w="2520"/>
          </w:tcPr>
          <w:p>
            <w:r/>
            <w:r>
              <w:rPr>
                <w:b w:val="0"/>
                <w:sz w:val="16"/>
              </w:rPr>
              <w:t>[EM] signature (630) 555-8214; personal Gmail</w:t>
            </w:r>
          </w:p>
        </w:tc>
        <w:tc>
          <w:tcPr>
            <w:tcW w:type="dxa" w:w="2880"/>
          </w:tcPr>
          <w:p>
            <w:r/>
            <w:r>
              <w:rPr>
                <w:b w:val="0"/>
                <w:sz w:val="16"/>
              </w:rPr>
              <w:t>Confirm preferred phone; move privileged communications off employer email.</w:t>
            </w:r>
          </w:p>
        </w:tc>
      </w:tr>
      <w:tr>
        <w:tc>
          <w:tcPr>
            <w:tcW w:type="dxa" w:w="432"/>
          </w:tcPr>
          <w:p>
            <w:r/>
            <w:r>
              <w:rPr>
                <w:b w:val="0"/>
                <w:sz w:val="16"/>
              </w:rPr>
              <w:t>20</w:t>
            </w:r>
          </w:p>
        </w:tc>
        <w:tc>
          <w:tcPr>
            <w:tcW w:type="dxa" w:w="1584"/>
          </w:tcPr>
          <w:p>
            <w:r/>
            <w:r>
              <w:rPr>
                <w:b w:val="0"/>
                <w:sz w:val="16"/>
              </w:rPr>
              <w:t>Questionnaire dates</w:t>
            </w:r>
          </w:p>
        </w:tc>
        <w:tc>
          <w:tcPr>
            <w:tcW w:type="dxa" w:w="2232"/>
          </w:tcPr>
          <w:p>
            <w:r/>
            <w:r>
              <w:rPr>
                <w:b w:val="0"/>
                <w:sz w:val="16"/>
              </w:rPr>
              <w:t>Dated Feb. 10, 2025 (Monday)</w:t>
            </w:r>
          </w:p>
        </w:tc>
        <w:tc>
          <w:tcPr>
            <w:tcW w:type="dxa" w:w="2520"/>
          </w:tcPr>
          <w:p>
            <w:r/>
            <w:r>
              <w:rPr>
                <w:b w:val="0"/>
                <w:sz w:val="16"/>
              </w:rPr>
              <w:t>[EM]: submitted “on Friday” (Feb. 14)</w:t>
            </w:r>
          </w:p>
        </w:tc>
        <w:tc>
          <w:tcPr>
            <w:tcW w:type="dxa" w:w="2880"/>
          </w:tcPr>
          <w:p>
            <w:r/>
            <w:r>
              <w:rPr>
                <w:b w:val="0"/>
                <w:sz w:val="16"/>
              </w:rPr>
              <w:t>Minor; record receipt date. Certification signature line is blank — obtain signed copy.</w:t>
            </w:r>
          </w:p>
        </w:tc>
      </w:tr>
      <w:tr>
        <w:tc>
          <w:tcPr>
            <w:tcW w:type="dxa" w:w="432"/>
          </w:tcPr>
          <w:p>
            <w:r/>
            <w:r>
              <w:rPr>
                <w:b w:val="0"/>
                <w:sz w:val="16"/>
              </w:rPr>
              <w:t>21</w:t>
            </w:r>
          </w:p>
        </w:tc>
        <w:tc>
          <w:tcPr>
            <w:tcW w:type="dxa" w:w="1584"/>
          </w:tcPr>
          <w:p>
            <w:r/>
            <w:r>
              <w:rPr>
                <w:b w:val="0"/>
                <w:sz w:val="16"/>
              </w:rPr>
              <w:t>Email time</w:t>
            </w:r>
          </w:p>
        </w:tc>
        <w:tc>
          <w:tcPr>
            <w:tcW w:type="dxa" w:w="2232"/>
          </w:tcPr>
          <w:p>
            <w:r/>
            <w:r>
              <w:rPr>
                <w:b w:val="0"/>
                <w:sz w:val="16"/>
              </w:rPr>
              <w:t>—</w:t>
            </w:r>
          </w:p>
        </w:tc>
        <w:tc>
          <w:tcPr>
            <w:tcW w:type="dxa" w:w="2520"/>
          </w:tcPr>
          <w:p>
            <w:r/>
            <w:r>
              <w:rPr>
                <w:b w:val="0"/>
                <w:sz w:val="16"/>
              </w:rPr>
              <w:t>[EM] says “almost 10 o’clock on a Monday night”; header 09:43 UTC Feb. 17 (3:43 a.m. CST)</w:t>
            </w:r>
          </w:p>
        </w:tc>
        <w:tc>
          <w:tcPr>
            <w:tcW w:type="dxa" w:w="2880"/>
          </w:tcPr>
          <w:p>
            <w:r/>
            <w:r>
              <w:rPr>
                <w:b w:val="0"/>
                <w:sz w:val="16"/>
              </w:rPr>
              <w:t>Minor; note only if timing of communications becomes relevant.</w:t>
            </w:r>
          </w:p>
        </w:tc>
      </w:tr>
      <w:tr>
        <w:tc>
          <w:tcPr>
            <w:tcW w:type="dxa" w:w="432"/>
          </w:tcPr>
          <w:p>
            <w:r/>
            <w:r>
              <w:rPr>
                <w:b w:val="0"/>
                <w:sz w:val="16"/>
              </w:rPr>
              <w:t>22</w:t>
            </w:r>
          </w:p>
        </w:tc>
        <w:tc>
          <w:tcPr>
            <w:tcW w:type="dxa" w:w="1584"/>
          </w:tcPr>
          <w:p>
            <w:r/>
            <w:r>
              <w:rPr>
                <w:b w:val="0"/>
                <w:sz w:val="16"/>
              </w:rPr>
              <w:t>Prenup scan description</w:t>
            </w:r>
          </w:p>
        </w:tc>
        <w:tc>
          <w:tcPr>
            <w:tcW w:type="dxa" w:w="2232"/>
          </w:tcPr>
          <w:p>
            <w:r/>
            <w:r>
              <w:rPr>
                <w:b w:val="0"/>
                <w:sz w:val="16"/>
              </w:rPr>
              <w:t>—</w:t>
            </w:r>
          </w:p>
        </w:tc>
        <w:tc>
          <w:tcPr>
            <w:tcW w:type="dxa" w:w="2520"/>
          </w:tcPr>
          <w:p>
            <w:r/>
            <w:r>
              <w:rPr>
                <w:b w:val="0"/>
                <w:sz w:val="16"/>
              </w:rPr>
              <w:t>[PN] cover note says pp. 1–3 and 7–9 missing, yet pp. with Art. IX and signature appear; later note says pp. 7–8 missing</w:t>
            </w:r>
          </w:p>
        </w:tc>
        <w:tc>
          <w:tcPr>
            <w:tcW w:type="dxa" w:w="2880"/>
          </w:tcPr>
          <w:p>
            <w:r/>
            <w:r>
              <w:rPr>
                <w:b w:val="0"/>
                <w:sz w:val="16"/>
              </w:rPr>
              <w:t>Confirm original page count and what pages actually exist.</w:t>
            </w:r>
          </w:p>
        </w:tc>
      </w:tr>
      <w:tr>
        <w:tc>
          <w:tcPr>
            <w:tcW w:type="dxa" w:w="432"/>
          </w:tcPr>
          <w:p>
            <w:r/>
            <w:r>
              <w:rPr>
                <w:b w:val="0"/>
                <w:sz w:val="16"/>
              </w:rPr>
              <w:t>23</w:t>
            </w:r>
          </w:p>
        </w:tc>
        <w:tc>
          <w:tcPr>
            <w:tcW w:type="dxa" w:w="1584"/>
          </w:tcPr>
          <w:p>
            <w:r/>
            <w:r>
              <w:rPr>
                <w:b w:val="0"/>
                <w:sz w:val="16"/>
              </w:rPr>
              <w:t>Rachel’s employment start</w:t>
            </w:r>
          </w:p>
        </w:tc>
        <w:tc>
          <w:tcPr>
            <w:tcW w:type="dxa" w:w="2232"/>
          </w:tcPr>
          <w:p>
            <w:r/>
            <w:r>
              <w:rPr>
                <w:b w:val="0"/>
                <w:sz w:val="16"/>
              </w:rPr>
              <w:t>At Lakeshore since 2014</w:t>
            </w:r>
          </w:p>
        </w:tc>
        <w:tc>
          <w:tcPr>
            <w:tcW w:type="dxa" w:w="2520"/>
          </w:tcPr>
          <w:p>
            <w:r/>
            <w:r>
              <w:rPr>
                <w:b w:val="0"/>
                <w:sz w:val="16"/>
              </w:rPr>
              <w:t>M.D. awarded 2012 (psychiatry residency is typically 4 years)</w:t>
            </w:r>
          </w:p>
        </w:tc>
        <w:tc>
          <w:tcPr>
            <w:tcW w:type="dxa" w:w="2880"/>
          </w:tcPr>
          <w:p>
            <w:r/>
            <w:r>
              <w:rPr>
                <w:b w:val="0"/>
                <w:sz w:val="16"/>
              </w:rPr>
              <w:t>Verify start date/role in 2014–2016 (affects 401(k) history and income history).</w:t>
            </w:r>
          </w:p>
        </w:tc>
      </w:tr>
    </w:tbl>
    <w:p>
      <w:pPr>
        <w:spacing w:after="40"/>
      </w:pPr>
    </w:p>
    <w:p>
      <w:pPr>
        <w:pStyle w:val="Heading1"/>
      </w:pPr>
      <w:r>
        <w:t>12. Client’s Open Questions ([EM]) and Recommended Responses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3A5F"/>
          </w:tcPr>
          <w:p>
            <w:r/>
            <w:r>
              <w:rPr>
                <w:b/>
                <w:color w:val="FFFFFF"/>
                <w:sz w:val="18"/>
              </w:rPr>
              <w:t>Client question</w:t>
            </w:r>
          </w:p>
        </w:tc>
        <w:tc>
          <w:tcPr>
            <w:tcW w:type="dxa" w:w="6480"/>
            <w:shd w:val="clear" w:color="auto" w:fill="1F3A5F"/>
          </w:tcPr>
          <w:p>
            <w:r/>
            <w:r>
              <w:rPr>
                <w:b/>
                <w:color w:val="FFFFFF"/>
                <w:sz w:val="18"/>
              </w:rPr>
              <w:t>Recommended response / action</w:t>
            </w:r>
          </w:p>
        </w:tc>
      </w:tr>
      <w:tr>
        <w:tc>
          <w:tcPr>
            <w:tcW w:type="dxa" w:w="3168"/>
          </w:tcPr>
          <w:p>
            <w:r/>
            <w:r>
              <w:rPr>
                <w:b w:val="0"/>
                <w:sz w:val="18"/>
              </w:rPr>
              <w:t>Can the firm stop Derek from moving more assets? Can we subpoena Coinbase?</w:t>
            </w:r>
          </w:p>
        </w:tc>
        <w:tc>
          <w:tcPr>
            <w:tcW w:type="dxa" w:w="6480"/>
          </w:tcPr>
          <w:p>
            <w:r/>
            <w:r>
              <w:rPr>
                <w:b w:val="0"/>
                <w:sz w:val="18"/>
              </w:rPr>
              <w:t>Yes, through the court: (i) preservation/standstill demand to Calder &amp; Rourke now; (ii) seek an agreed order or file a motion for TRO/preliminary injunction restraining transfer or concealment of property (750 ILCS 5/501(a)(2)); (iii) serve discovery and a subpoena duces tecum on Coinbase for account statements, transaction history and withdrawal destination addresses; (iv) consider a crypto-tracing consultant; (v) calendar Notice of Intent to Claim Dissipation (§ 503(d)(2)).</w:t>
            </w:r>
          </w:p>
        </w:tc>
      </w:tr>
      <w:tr>
        <w:tc>
          <w:tcPr>
            <w:tcW w:type="dxa" w:w="3168"/>
          </w:tcPr>
          <w:p>
            <w:r/>
            <w:r>
              <w:rPr>
                <w:b w:val="0"/>
                <w:sz w:val="18"/>
              </w:rPr>
              <w:t>Should we freeze the joint accounts? Unilaterally or by court order?</w:t>
            </w:r>
          </w:p>
        </w:tc>
        <w:tc>
          <w:tcPr>
            <w:tcW w:type="dxa" w:w="6480"/>
          </w:tcPr>
          <w:p>
            <w:r/>
            <w:r>
              <w:rPr>
                <w:b w:val="0"/>
                <w:sz w:val="18"/>
              </w:rPr>
              <w:t>Do not withdraw or move funds unilaterally (could itself be dissipation and harms credibility). Capture statements as of the separation and filing dates; seek an agreed order or court order restricting both parties’ use of joint accounts to ordinary living expenses.</w:t>
            </w:r>
          </w:p>
        </w:tc>
      </w:tr>
      <w:tr>
        <w:tc>
          <w:tcPr>
            <w:tcW w:type="dxa" w:w="3168"/>
          </w:tcPr>
          <w:p>
            <w:r/>
            <w:r>
              <w:rPr>
                <w:b w:val="0"/>
                <w:sz w:val="18"/>
              </w:rPr>
              <w:t>How to respond to Mr. Calder’s request for informal financial disclosures?</w:t>
            </w:r>
          </w:p>
        </w:tc>
        <w:tc>
          <w:tcPr>
            <w:tcW w:type="dxa" w:w="6480"/>
          </w:tcPr>
          <w:p>
            <w:r/>
            <w:r>
              <w:rPr>
                <w:b w:val="0"/>
                <w:sz w:val="18"/>
              </w:rPr>
              <w:t>Do not respond or communicate directly with opposing counsel; forward the letter to us. Disclosure will proceed through the Financial Affidavit and formal discovery on a mutual basis.</w:t>
            </w:r>
          </w:p>
        </w:tc>
      </w:tr>
      <w:tr>
        <w:tc>
          <w:tcPr>
            <w:tcW w:type="dxa" w:w="3168"/>
          </w:tcPr>
          <w:p>
            <w:r/>
            <w:r>
              <w:rPr>
                <w:b w:val="0"/>
                <w:sz w:val="18"/>
              </w:rPr>
              <w:t>Which documents, and how far back?</w:t>
            </w:r>
          </w:p>
        </w:tc>
        <w:tc>
          <w:tcPr>
            <w:tcW w:type="dxa" w:w="6480"/>
          </w:tcPr>
          <w:p>
            <w:r/>
            <w:r>
              <w:rPr>
                <w:b w:val="0"/>
                <w:sz w:val="18"/>
              </w:rPr>
              <w:t>Tax returns (all schedules) and W-2s/1099s for at least 2021–2024; pay stubs (YTD 2025); bank, brokerage, retirement, 529, credit-card and mortgage statements for at least 3 years. Older targeted records for tracing: Whitcroft statements from Aug. 2011 forward; March 2016 wire and closing file; 2019 cabin closing file and down-payment source; Feb. 2020 inheritance documents and individual-account history to date; 2021 kitchen invoices/payments; student-loan payment history; cabin rental-platform reports.</w:t>
            </w:r>
          </w:p>
        </w:tc>
      </w:tr>
      <w:tr>
        <w:tc>
          <w:tcPr>
            <w:tcW w:type="dxa" w:w="3168"/>
          </w:tcPr>
          <w:p>
            <w:r/>
            <w:r>
              <w:rPr>
                <w:b w:val="0"/>
                <w:sz w:val="18"/>
              </w:rPr>
              <w:t>Do we need a formal appraisal? Business valuation?</w:t>
            </w:r>
          </w:p>
        </w:tc>
        <w:tc>
          <w:tcPr>
            <w:tcW w:type="dxa" w:w="6480"/>
          </w:tcPr>
          <w:p>
            <w:r/>
            <w:r>
              <w:rPr>
                <w:b w:val="0"/>
                <w:sz w:val="18"/>
              </w:rPr>
              <w:t>Yes: formal appraisals of both properties (her $910,000 and $265,000 figures are personal estimates). Retain a forensic accountant/business valuator for Whitfield Digital Consulting, including normalization of 2024 expenses and lifestyle analysis.</w:t>
            </w:r>
          </w:p>
        </w:tc>
      </w:tr>
      <w:tr>
        <w:tc>
          <w:tcPr>
            <w:tcW w:type="dxa" w:w="3168"/>
          </w:tcPr>
          <w:p>
            <w:r/>
            <w:r>
              <w:rPr>
                <w:b w:val="0"/>
                <w:sz w:val="18"/>
              </w:rPr>
              <w:t>Prenup copy is poor quality</w:t>
            </w:r>
          </w:p>
        </w:tc>
        <w:tc>
          <w:tcPr>
            <w:tcW w:type="dxa" w:w="6480"/>
          </w:tcPr>
          <w:p>
            <w:r/>
            <w:r>
              <w:rPr>
                <w:b w:val="0"/>
                <w:sz w:val="18"/>
              </w:rPr>
              <w:t>Send the existing PDF immediately as is; also request a complete copy (with Schedules A and B) from opposing counsel and through Finch’s successor firm.</w:t>
            </w:r>
          </w:p>
        </w:tc>
      </w:tr>
    </w:tbl>
    <w:p>
      <w:pPr>
        <w:spacing w:after="40"/>
      </w:pPr>
    </w:p>
    <w:p>
      <w:pPr>
        <w:pStyle w:val="Heading2"/>
      </w:pPr>
      <w:r>
        <w:t>12.1 Additional client counseling points</w:t>
      </w:r>
    </w:p>
    <w:p>
      <w:pPr>
        <w:pStyle w:val="ListBullet"/>
        <w:spacing w:after="40"/>
      </w:pPr>
      <w:r>
        <w:rPr>
          <w:b/>
          <w:i w:val="0"/>
        </w:rPr>
        <w:t>Evidence gathering:</w:t>
      </w:r>
      <w:r>
        <w:rPr>
          <w:b w:val="0"/>
          <w:i w:val="0"/>
        </w:rPr>
        <w:t xml:space="preserve"> documents left in the shared home-office area should be copied, not removed, and delivered to us; she must not access Derek’s laptop, phone, email, Coinbase or business accounts, or record conversations without consent (Illinois eavesdropping and computer-access laws). Screenshots of publicly visible social-media posts are acceptable.</w:t>
      </w:r>
    </w:p>
    <w:p>
      <w:pPr>
        <w:pStyle w:val="ListBullet"/>
        <w:spacing w:after="40"/>
      </w:pPr>
      <w:r>
        <w:rPr>
          <w:b/>
          <w:i w:val="0"/>
        </w:rPr>
        <w:t>Communications:</w:t>
      </w:r>
      <w:r>
        <w:rPr>
          <w:b w:val="0"/>
          <w:i w:val="0"/>
        </w:rPr>
        <w:t xml:space="preserve"> use her personal email (not the Lakeshore work account) and one confirmed phone number for privileged communications; avoid social-media posting about the case.</w:t>
      </w:r>
    </w:p>
    <w:p>
      <w:pPr>
        <w:pStyle w:val="ListBullet"/>
        <w:spacing w:after="40"/>
      </w:pPr>
      <w:r>
        <w:rPr>
          <w:b/>
          <w:i w:val="0"/>
        </w:rPr>
        <w:t>Fees:</w:t>
      </w:r>
      <w:r>
        <w:rPr>
          <w:b w:val="0"/>
          <w:i w:val="0"/>
        </w:rPr>
        <w:t xml:space="preserve"> retainer paid on the joint Chase card will likely be raised by Derek; future fees should come from an agreed source; consider 750 ILCS 5/501(c-1) allocation if appropriate.</w:t>
      </w:r>
    </w:p>
    <w:p>
      <w:pPr>
        <w:pStyle w:val="ListBullet"/>
        <w:spacing w:after="40"/>
      </w:pPr>
      <w:r>
        <w:rPr>
          <w:b/>
          <w:i w:val="0"/>
        </w:rPr>
        <w:t>Co-residence:</w:t>
      </w:r>
      <w:r>
        <w:rPr>
          <w:b w:val="0"/>
          <w:i w:val="0"/>
        </w:rPr>
        <w:t xml:space="preserve"> both parties remain in the home; avoid confrontation and maintain the children’s routine pending a temporary parenting arrangement.</w:t>
      </w:r>
    </w:p>
    <w:p>
      <w:pPr>
        <w:pStyle w:val="ListBullet"/>
        <w:spacing w:after="40"/>
      </w:pPr>
      <w:r>
        <w:rPr>
          <w:b/>
          <w:i w:val="0"/>
        </w:rPr>
        <w:t>Tax filing status:</w:t>
      </w:r>
      <w:r>
        <w:rPr>
          <w:b w:val="0"/>
          <w:i w:val="0"/>
        </w:rPr>
        <w:t xml:space="preserve"> confirm whether 2024 (and earlier) returns were joint before alleging improper Schedule C deductions; coordinate with tax counsel if joint.</w:t>
      </w:r>
    </w:p>
    <w:p>
      <w:pPr>
        <w:pStyle w:val="Heading1"/>
      </w:pPr>
      <w:r>
        <w:t>13. Outstanding Information and Document Requests</w:t>
      </w:r>
    </w:p>
    <w:p>
      <w:pPr>
        <w:pStyle w:val="Heading2"/>
      </w:pPr>
      <w:r>
        <w:t>13.1 From the Client</w:t>
      </w:r>
    </w:p>
    <w:p>
      <w:pPr>
        <w:pStyle w:val="ListBullet"/>
        <w:spacing w:after="40"/>
      </w:pPr>
      <w:r>
        <w:rPr>
          <w:b w:val="0"/>
          <w:i w:val="0"/>
        </w:rPr>
        <w:t>Complete prenup PDF; any drafts, emails or texts with Derek or Finch around Aug. 2011; identity/contact for “Jessica.”</w:t>
      </w:r>
    </w:p>
    <w:p>
      <w:pPr>
        <w:pStyle w:val="ListBullet"/>
        <w:spacing w:after="40"/>
      </w:pPr>
      <w:r>
        <w:rPr>
          <w:b w:val="0"/>
          <w:i w:val="0"/>
        </w:rPr>
        <w:t>Wire confirmation for the March 2016 parental gift, gift letter, and closing statement for 2918 Ridgeview Terrace; parents’ contact details.</w:t>
      </w:r>
    </w:p>
    <w:p>
      <w:pPr>
        <w:pStyle w:val="ListBullet"/>
        <w:spacing w:after="40"/>
      </w:pPr>
      <w:r>
        <w:rPr>
          <w:b w:val="0"/>
          <w:i w:val="0"/>
        </w:rPr>
        <w:t>Cabin: 2019 closing statement, loan application, source-of-funds statements, mortgage payment account, rental-platform statements, Schedule E.</w:t>
      </w:r>
    </w:p>
    <w:p>
      <w:pPr>
        <w:pStyle w:val="ListBullet"/>
        <w:spacing w:after="40"/>
      </w:pPr>
      <w:r>
        <w:rPr>
          <w:b w:val="0"/>
          <w:i w:val="0"/>
        </w:rPr>
        <w:t>Inheritance: estate/probate or distribution documents for Soo-Jin Park; individual savings statements Feb. 2020–present; kitchen renovation invoices and payment trail.</w:t>
      </w:r>
    </w:p>
    <w:p>
      <w:pPr>
        <w:pStyle w:val="ListBullet"/>
        <w:spacing w:after="40"/>
      </w:pPr>
      <w:r>
        <w:rPr>
          <w:b w:val="0"/>
          <w:i w:val="0"/>
        </w:rPr>
        <w:t>Whitcroft statements around Aug. 2011 and annually thereafter; contribution sources.</w:t>
      </w:r>
    </w:p>
    <w:p>
      <w:pPr>
        <w:pStyle w:val="ListBullet"/>
        <w:spacing w:after="40"/>
      </w:pPr>
      <w:r>
        <w:rPr>
          <w:b w:val="0"/>
          <w:i w:val="0"/>
        </w:rPr>
        <w:t>Student-loan history (StudentAid.gov), PSLF employment certification forms, and Lakeshore’s entity/tax-exempt status.</w:t>
      </w:r>
    </w:p>
    <w:p>
      <w:pPr>
        <w:pStyle w:val="ListBullet"/>
        <w:spacing w:after="40"/>
      </w:pPr>
      <w:r>
        <w:rPr>
          <w:b w:val="0"/>
          <w:i w:val="0"/>
        </w:rPr>
        <w:t>Joint tax returns (if any) 2021–2024, W-2s, pay stubs, 401(k) statements (Saxonbrook), benefits summary showing dependent premium cost.</w:t>
      </w:r>
    </w:p>
    <w:p>
      <w:pPr>
        <w:pStyle w:val="ListBullet"/>
        <w:spacing w:after="40"/>
      </w:pPr>
      <w:r>
        <w:rPr>
          <w:b w:val="0"/>
          <w:i w:val="0"/>
        </w:rPr>
        <w:t>Copies of Derek business documents she has seen (gaming-PC receipt, Voss invoices, T&amp;E items); dates of Miami/Austin/Scottsdale/Las Vegas trips; social-media screenshots.</w:t>
      </w:r>
    </w:p>
    <w:p>
      <w:pPr>
        <w:pStyle w:val="ListBullet"/>
        <w:spacing w:after="40"/>
      </w:pPr>
      <w:r>
        <w:rPr>
          <w:b w:val="0"/>
          <w:i w:val="0"/>
        </w:rPr>
        <w:t>Exact date and circumstances of the Coinbase observations; any known wallet addresses.</w:t>
      </w:r>
    </w:p>
    <w:p>
      <w:pPr>
        <w:pStyle w:val="ListBullet"/>
        <w:spacing w:after="40"/>
      </w:pPr>
      <w:r>
        <w:rPr>
          <w:b w:val="0"/>
          <w:i w:val="0"/>
        </w:rPr>
        <w:t>Vehicles, life insurance, household contents, any other accounts; preferred phone number; signed certification page of the questionnaire.</w:t>
      </w:r>
    </w:p>
    <w:p>
      <w:pPr>
        <w:pStyle w:val="ListBullet"/>
        <w:spacing w:after="40"/>
      </w:pPr>
      <w:r>
        <w:rPr>
          <w:b w:val="0"/>
          <w:i w:val="0"/>
        </w:rPr>
        <w:t>Calder &amp; Rourke letter requesting informal disclosures; any papers served on her.</w:t>
      </w:r>
    </w:p>
    <w:p>
      <w:pPr>
        <w:pStyle w:val="ListBullet"/>
        <w:spacing w:after="40"/>
      </w:pPr>
      <w:r>
        <w:rPr>
          <w:b w:val="0"/>
          <w:i w:val="0"/>
        </w:rPr>
        <w:t>Owen’s therapy provider details, schedule and attendance; children’s school calendars; a typical weekly parenting calendar.</w:t>
      </w:r>
    </w:p>
    <w:p>
      <w:pPr>
        <w:pStyle w:val="Heading2"/>
      </w:pPr>
      <w:r>
        <w:t>13.2 From Derek / third parties (formal discovery)</w:t>
      </w:r>
    </w:p>
    <w:p>
      <w:pPr>
        <w:pStyle w:val="ListBullet"/>
        <w:spacing w:after="40"/>
      </w:pPr>
      <w:r>
        <w:rPr>
          <w:b w:val="0"/>
          <w:i w:val="0"/>
        </w:rPr>
        <w:t>Derek’s Financial Affidavit; personal and business tax returns (2021–2024), general ledger, bank and credit-card statements, payroll and 1099 records, LOC documents.</w:t>
      </w:r>
    </w:p>
    <w:p>
      <w:pPr>
        <w:pStyle w:val="ListBullet"/>
        <w:spacing w:after="40"/>
      </w:pPr>
      <w:r>
        <w:rPr>
          <w:b w:val="0"/>
          <w:i w:val="0"/>
        </w:rPr>
        <w:t>Voss Creative Partners: invoices, contracts, payments, deliverables (subpoena to Voss if needed).</w:t>
      </w:r>
    </w:p>
    <w:p>
      <w:pPr>
        <w:pStyle w:val="ListBullet"/>
        <w:spacing w:after="40"/>
      </w:pPr>
      <w:r>
        <w:rPr>
          <w:b w:val="0"/>
          <w:i w:val="0"/>
        </w:rPr>
        <w:t>Coinbase account records and withdrawal destinations; any self-custody wallet disclosures.</w:t>
      </w:r>
    </w:p>
    <w:p>
      <w:pPr>
        <w:pStyle w:val="ListBullet"/>
        <w:spacing w:after="40"/>
      </w:pPr>
      <w:r>
        <w:rPr>
          <w:b w:val="0"/>
          <w:i w:val="0"/>
        </w:rPr>
        <w:t>Hartleigh SEP-IRA statements and opening documents.</w:t>
      </w:r>
    </w:p>
    <w:p>
      <w:pPr>
        <w:pStyle w:val="ListBullet"/>
        <w:spacing w:after="40"/>
      </w:pPr>
      <w:r>
        <w:rPr>
          <w:b w:val="0"/>
          <w:i w:val="0"/>
        </w:rPr>
        <w:t>Complete executed prenuptial agreement with Schedules A and B; Finch firm file (successor counsel).</w:t>
      </w:r>
    </w:p>
    <w:p>
      <w:pPr>
        <w:pStyle w:val="ListBullet"/>
        <w:spacing w:after="40"/>
      </w:pPr>
      <w:r>
        <w:rPr>
          <w:b w:val="0"/>
          <w:i w:val="0"/>
        </w:rPr>
        <w:t>DuPage docket printout for 2025-D-000347 (and any earlier-filed case by Derek).</w:t>
      </w:r>
    </w:p>
    <w:p>
      <w:pPr>
        <w:pStyle w:val="Heading1"/>
      </w:pPr>
      <w:r>
        <w:t>14. Recommended Immediate Next Steps</w:t>
      </w:r>
    </w:p>
    <w:p>
      <w:pPr>
        <w:pStyle w:val="ListNumber"/>
        <w:spacing w:after="40"/>
      </w:pPr>
      <w:r>
        <w:rPr>
          <w:b w:val="0"/>
          <w:i w:val="0"/>
        </w:rPr>
        <w:t>Pull the DuPage docket; confirm petitioner status, service and Calder’s appearance date.</w:t>
      </w:r>
    </w:p>
    <w:p>
      <w:pPr>
        <w:pStyle w:val="ListNumber"/>
        <w:spacing w:after="40"/>
      </w:pPr>
      <w:r>
        <w:rPr>
          <w:b w:val="0"/>
          <w:i w:val="0"/>
        </w:rPr>
        <w:t>Send preservation/standstill letter to Calder &amp; Rourke (crypto, business records, joint accounts) and evaluate a § 501 TRO/preliminary-injunction motion.</w:t>
      </w:r>
    </w:p>
    <w:p>
      <w:pPr>
        <w:pStyle w:val="ListNumber"/>
        <w:spacing w:after="40"/>
      </w:pPr>
      <w:r>
        <w:rPr>
          <w:b w:val="0"/>
          <w:i w:val="0"/>
        </w:rPr>
        <w:t>Schedule client strategy meeting to reset expectations on maintenance and the Galena cabin, and to walk through the discrepancy log (Section 11).</w:t>
      </w:r>
    </w:p>
    <w:p>
      <w:pPr>
        <w:pStyle w:val="ListNumber"/>
        <w:spacing w:after="40"/>
      </w:pPr>
      <w:r>
        <w:rPr>
          <w:b w:val="0"/>
          <w:i w:val="0"/>
        </w:rPr>
        <w:t>Obtain the full prenup and Schedules; prepare a short enforceability memo once complete.</w:t>
      </w:r>
    </w:p>
    <w:p>
      <w:pPr>
        <w:pStyle w:val="ListNumber"/>
        <w:spacing w:after="40"/>
      </w:pPr>
      <w:r>
        <w:rPr>
          <w:b w:val="0"/>
          <w:i w:val="0"/>
        </w:rPr>
        <w:t>Engage forensic accountant/business valuator and residential appraiser; consider crypto-tracing consultant.</w:t>
      </w:r>
    </w:p>
    <w:p>
      <w:pPr>
        <w:pStyle w:val="ListNumber"/>
        <w:spacing w:after="40"/>
      </w:pPr>
      <w:r>
        <w:rPr>
          <w:b w:val="0"/>
          <w:i w:val="0"/>
        </w:rPr>
        <w:t>Begin Rachel’s Financial Affidavit using corrected figures from this memo.</w:t>
      </w:r>
    </w:p>
    <w:p>
      <w:pPr>
        <w:spacing w:after="80"/>
      </w:pPr>
    </w:p>
    <w:p>
      <w:pPr>
        <w:spacing w:after="80"/>
      </w:pPr>
      <w:r>
        <w:rPr>
          <w:b w:val="0"/>
          <w:i/>
          <w:sz w:val="18"/>
        </w:rPr>
        <w:t>This memo reflects only the three documents identified in Section 1 and the Client’s unverified statements. Legal observations are preliminary and should be confirmed against current Illinois statutes, DuPage County local rules and case law before reliance.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Huang-Whitfield Key Facts Memo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