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0"/>
        </w:rPr>
        <w:t>PRIVILEGED AND CONFIDENTIAL — ATTORNEY-CLIENT COMMUNICATION / ATTORNEY WORK PRODUCT</w:t>
      </w:r>
    </w:p>
    <w:p>
      <w:pPr>
        <w:jc w:val="center"/>
      </w:pPr>
      <w:r>
        <w:rPr>
          <w:b w:val="0"/>
          <w:i/>
          <w:sz w:val="18"/>
        </w:rPr>
        <w:t>Prepared in Anticipation of Litigation and at the Direction of Counsel</w:t>
      </w:r>
    </w:p>
    <w:p>
      <w:pPr>
        <w:jc w:val="center"/>
      </w:pPr>
      <w:r>
        <w:rPr>
          <w:b/>
          <w:i w:val="0"/>
          <w:sz w:val="28"/>
        </w:rPr>
        <w:t>WHITFIELD &amp; CRANE LLP</w:t>
      </w:r>
    </w:p>
    <w:p>
      <w:pPr>
        <w:jc w:val="center"/>
      </w:pPr>
      <w:r>
        <w:rPr>
          <w:b/>
          <w:i w:val="0"/>
          <w:sz w:val="26"/>
        </w:rPr>
        <w:t>MEMORANDUM</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296"/>
            <w:shd w:val="clear" w:color="auto" w:fill="D9E2F3"/>
          </w:tcPr>
          <w:p>
            <w:r/>
          </w:p>
        </w:tc>
        <w:tc>
          <w:tcPr>
            <w:tcW w:type="dxa" w:w="8064"/>
            <w:shd w:val="clear" w:color="auto" w:fill="D9E2F3"/>
          </w:tcPr>
          <w:p>
            <w:r/>
          </w:p>
        </w:tc>
      </w:tr>
      <w:tr>
        <w:tc>
          <w:tcPr>
            <w:tcW w:type="dxa" w:w="1296"/>
          </w:tcPr>
          <w:p>
            <w:pPr>
              <w:spacing w:after="20"/>
            </w:pPr>
            <w:r/>
            <w:r>
              <w:rPr>
                <w:b w:val="0"/>
                <w:i w:val="0"/>
                <w:sz w:val="20"/>
              </w:rPr>
              <w:t>TO:</w:t>
            </w:r>
          </w:p>
        </w:tc>
        <w:tc>
          <w:tcPr>
            <w:tcW w:type="dxa" w:w="8064"/>
          </w:tcPr>
          <w:p>
            <w:pPr>
              <w:spacing w:after="20"/>
            </w:pPr>
            <w:r/>
            <w:r>
              <w:rPr>
                <w:b w:val="0"/>
                <w:i w:val="0"/>
                <w:sz w:val="20"/>
              </w:rPr>
              <w:t>Elena Vasquez, Partner, White-Collar Defense &amp; Investigations</w:t>
            </w:r>
          </w:p>
        </w:tc>
      </w:tr>
      <w:tr>
        <w:tc>
          <w:tcPr>
            <w:tcW w:type="dxa" w:w="1296"/>
          </w:tcPr>
          <w:p>
            <w:pPr>
              <w:spacing w:after="20"/>
            </w:pPr>
            <w:r/>
            <w:r>
              <w:rPr>
                <w:b w:val="0"/>
                <w:i w:val="0"/>
                <w:sz w:val="20"/>
              </w:rPr>
              <w:t>FROM:</w:t>
            </w:r>
          </w:p>
        </w:tc>
        <w:tc>
          <w:tcPr>
            <w:tcW w:type="dxa" w:w="8064"/>
          </w:tcPr>
          <w:p>
            <w:pPr>
              <w:spacing w:after="20"/>
            </w:pPr>
            <w:r/>
            <w:r>
              <w:rPr>
                <w:b w:val="0"/>
                <w:i w:val="0"/>
                <w:sz w:val="20"/>
              </w:rPr>
              <w:t>DPA Review Team (Senior Associate)</w:t>
            </w:r>
          </w:p>
        </w:tc>
      </w:tr>
      <w:tr>
        <w:tc>
          <w:tcPr>
            <w:tcW w:type="dxa" w:w="1296"/>
          </w:tcPr>
          <w:p>
            <w:pPr>
              <w:spacing w:after="20"/>
            </w:pPr>
            <w:r/>
            <w:r>
              <w:rPr>
                <w:b w:val="0"/>
                <w:i w:val="0"/>
                <w:sz w:val="20"/>
              </w:rPr>
              <w:t>CC:</w:t>
            </w:r>
          </w:p>
        </w:tc>
        <w:tc>
          <w:tcPr>
            <w:tcW w:type="dxa" w:w="8064"/>
          </w:tcPr>
          <w:p>
            <w:pPr>
              <w:spacing w:after="20"/>
            </w:pPr>
            <w:r/>
            <w:r>
              <w:rPr>
                <w:b w:val="0"/>
                <w:i w:val="0"/>
                <w:sz w:val="20"/>
              </w:rPr>
              <w:t>Janet Huang, General Counsel (see Part VIII.B on routing); Audit Committee Chair, Greenvale Pharmaceuticals, Inc.</w:t>
            </w:r>
          </w:p>
        </w:tc>
      </w:tr>
      <w:tr>
        <w:tc>
          <w:tcPr>
            <w:tcW w:type="dxa" w:w="1296"/>
          </w:tcPr>
          <w:p>
            <w:pPr>
              <w:spacing w:after="20"/>
            </w:pPr>
            <w:r/>
            <w:r>
              <w:rPr>
                <w:b w:val="0"/>
                <w:i w:val="0"/>
                <w:sz w:val="20"/>
              </w:rPr>
              <w:t>DATE:</w:t>
            </w:r>
          </w:p>
        </w:tc>
        <w:tc>
          <w:tcPr>
            <w:tcW w:type="dxa" w:w="8064"/>
          </w:tcPr>
          <w:p>
            <w:pPr>
              <w:spacing w:after="20"/>
            </w:pPr>
            <w:r/>
            <w:r>
              <w:rPr>
                <w:b w:val="0"/>
                <w:i w:val="0"/>
                <w:sz w:val="20"/>
              </w:rPr>
              <w:t>December 23, 2024</w:t>
            </w:r>
          </w:p>
        </w:tc>
      </w:tr>
      <w:tr>
        <w:tc>
          <w:tcPr>
            <w:tcW w:type="dxa" w:w="1296"/>
          </w:tcPr>
          <w:p>
            <w:pPr>
              <w:spacing w:after="20"/>
            </w:pPr>
            <w:r/>
            <w:r>
              <w:rPr>
                <w:b w:val="0"/>
                <w:i w:val="0"/>
                <w:sz w:val="20"/>
              </w:rPr>
              <w:t>RE:</w:t>
            </w:r>
          </w:p>
        </w:tc>
        <w:tc>
          <w:tcPr>
            <w:tcW w:type="dxa" w:w="8064"/>
          </w:tcPr>
          <w:p>
            <w:pPr>
              <w:spacing w:after="20"/>
            </w:pPr>
            <w:r/>
            <w:r>
              <w:rPr>
                <w:b w:val="0"/>
                <w:i w:val="0"/>
                <w:sz w:val="20"/>
              </w:rPr>
              <w:t>United States v. Greenvale Pharmaceuticals, Inc. (D.N.J.) — Issues Memorandum on the Government’s Draft Deferred Prosecution Agreement: Risk Ratings and Negotiation Recommendations for the January 15, 2025 Session with AUSAs Moreno and Kesselman</w:t>
            </w:r>
          </w:p>
        </w:tc>
      </w:tr>
    </w:tbl>
    <w:p>
      <w:pPr>
        <w:spacing w:after="40"/>
      </w:pPr>
    </w:p>
    <w:p>
      <w:pPr>
        <w:pStyle w:val="Heading1"/>
      </w:pPr>
      <w:r>
        <w:t>I. Executive Summary</w:t>
      </w:r>
    </w:p>
    <w:p>
      <w:pPr>
        <w:jc w:val="both"/>
      </w:pPr>
      <w:r>
        <w:rPr>
          <w:b w:val="0"/>
          <w:i w:val="0"/>
        </w:rPr>
        <w:t xml:space="preserve">We reviewed the Government’s draft Deferred Prosecution Agreement and Exhibit A (Stipulated Statement of Facts) (the “Draft DPA” or “SOF”) against our Summary Report of Internal Investigation (Sept. 30, 2022, updated Dec. 15, 2024), the Alderman Compliance Advisory assessment (Dec. 15, 2024), our Summary of Key Terms of the Trident National Bank revolving credit facility (Dec. 20, 2024), the Company’s financial summary workbook, and the December 16–19, 2024 email chain among Ms. Huang, Mr. Bridwell and Sarah Lin of Meridian Capital Advisors. We identified </w:t>
      </w:r>
      <w:r>
        <w:rPr>
          <w:b/>
          <w:i w:val="0"/>
        </w:rPr>
        <w:t>32 issues</w:t>
      </w:r>
      <w:r>
        <w:rPr>
          <w:b w:val="0"/>
          <w:i w:val="0"/>
        </w:rPr>
        <w:t xml:space="preserve">: </w:t>
      </w:r>
      <w:r>
        <w:rPr>
          <w:b/>
          <w:i w:val="0"/>
        </w:rPr>
        <w:t>6 Critical, 11 High, 10 Medium and 5 Low</w:t>
      </w:r>
      <w:r>
        <w:rPr>
          <w:b w:val="0"/>
          <w:i w:val="0"/>
        </w:rPr>
        <w:t>. Several are not merely unfavorable terms but internal errors in the Government’s own draft that give us principled, non-adversarial grounds to reopen the economics.</w:t>
      </w:r>
    </w:p>
    <w:p>
      <w:pPr>
        <w:jc w:val="both"/>
      </w:pPr>
      <w:r>
        <w:rPr>
          <w:b/>
          <w:i w:val="0"/>
        </w:rPr>
        <w:t>Bottom line.</w:t>
      </w:r>
      <w:r>
        <w:rPr>
          <w:b w:val="0"/>
          <w:i w:val="0"/>
        </w:rPr>
        <w:t xml:space="preserve"> The Draft DPA should not be signed in its current form, and it cannot safely be signed on February 1, 2025 under any form unless a Required Lender waiver is in hand or the DPA contains a condition precedent. Our six Critical items, in priority order:</w:t>
      </w:r>
    </w:p>
    <w:p>
      <w:pPr>
        <w:pStyle w:val="ListNumber"/>
        <w:spacing w:after="60"/>
      </w:pPr>
      <w:r>
        <w:rPr>
          <w:b/>
          <w:i w:val="0"/>
        </w:rPr>
        <w:t>Lender cross-default with no DPA savings mechanism (Issue 1).</w:t>
      </w:r>
      <w:r>
        <w:rPr>
          <w:b w:val="0"/>
          <w:i w:val="0"/>
        </w:rPr>
        <w:t xml:space="preserve"> Execution of the DPA is an Event of Default under Credit Agreement § 7.1(h) (settlements &gt; $75M in any 12 months; the DPA totals $239.5M and the signing-day payment alone is $102.0M). The Event of Default automatically terminates the $180M undrawn commitment, permits acceleration of the $320M drawn balance, and threatens cross-acceleration of the $650M Senior Notes ($970M total). The waiver process takes ~20 Business Days, so the formal request must go to Trident by approximately </w:t>
      </w:r>
      <w:r>
        <w:rPr>
          <w:b/>
          <w:i w:val="0"/>
        </w:rPr>
        <w:t>January 3, 2025</w:t>
      </w:r>
      <w:r>
        <w:rPr>
          <w:b w:val="0"/>
          <w:i w:val="0"/>
        </w:rPr>
        <w:t xml:space="preserve"> — before the January 15 session. No waiver has been requested.</w:t>
      </w:r>
    </w:p>
    <w:p>
      <w:pPr>
        <w:pStyle w:val="ListNumber"/>
        <w:spacing w:after="60"/>
      </w:pPr>
      <w:r>
        <w:rPr>
          <w:b/>
          <w:i w:val="0"/>
        </w:rPr>
        <w:t>Penalty methodology is unsupported and internally erroneous (Issue 2).</w:t>
      </w:r>
      <w:r>
        <w:rPr>
          <w:b w:val="0"/>
          <w:i w:val="0"/>
        </w:rPr>
        <w:t xml:space="preserve"> The $187.5M criminal penalty stacks a “treble” multiplier, a 2x “recidivism” multiplier based on a civil CIA for dissimilar conduct (off-label promotion of Osteorin), and a “volume of commerce” add-on that has no application to kickback offenses under the Sentencing Guidelines. The add-on is also arithmetically wrong on its face: 15% of the $4.12B in Neurovan/Cardivex revenue the SOF itself recites is $618M, not $64.5M. The draft also gives no cooperation or remediation credit. Our investigation supports a $13.9M improper-payment base (vs. the Government’s $20.5M); every $1 of base reduction is worth $6 of penalty under the Government’s own multipliers.</w:t>
      </w:r>
    </w:p>
    <w:p>
      <w:pPr>
        <w:pStyle w:val="ListNumber"/>
        <w:spacing w:after="60"/>
      </w:pPr>
      <w:r>
        <w:rPr>
          <w:b/>
          <w:i w:val="0"/>
        </w:rPr>
        <w:t>Stipulated facts overstate executive knowledge, corporate intent and quantum (Issue 3).</w:t>
      </w:r>
      <w:r>
        <w:rPr>
          <w:b w:val="0"/>
          <w:i w:val="0"/>
        </w:rPr>
        <w:t xml:space="preserve"> SOF ¶¶ 9, 13, 16, 18, 19 and 26 attribute knowledge and tacit approval to “senior management, including members of the executive team,” “knowing and willful” corporate intent, a $14.3M “minimum” and taint of a “substantial portion” of $4.12B of revenue — none of which our investigation supports — and §§ 5.2, 12.2(b)–(c) make these binding, uncontestable admissions in every forum.</w:t>
      </w:r>
    </w:p>
    <w:p>
      <w:pPr>
        <w:pStyle w:val="ListNumber"/>
        <w:spacing w:after="60"/>
      </w:pPr>
      <w:r>
        <w:rPr>
          <w:b/>
          <w:i w:val="0"/>
        </w:rPr>
        <w:t>Hair-trigger breach regime (Issue 4).</w:t>
      </w:r>
      <w:r>
        <w:rPr>
          <w:b w:val="0"/>
          <w:i w:val="0"/>
        </w:rPr>
        <w:t xml:space="preserve"> Any violation of any provision (e.g., one $151-per-head dinner under § 7.3(b), a 73-hour-late self-report under § 6.4, or a monitor invoice paid on day 31) is a breach determined in the USAO’s sole, unreviewable discretion, with no notice, cure, materiality or court review, voiding the Agreement, forfeiting all payments, and exposing Greenvale to conviction — and therefore mandatory federal health care program exclusion under 42 U.S.C. § 1320a-7(a)(1).</w:t>
      </w:r>
    </w:p>
    <w:p>
      <w:pPr>
        <w:pStyle w:val="ListNumber"/>
        <w:spacing w:after="60"/>
      </w:pPr>
      <w:r>
        <w:rPr>
          <w:b/>
          <w:i w:val="0"/>
        </w:rPr>
        <w:t>Compelled privilege and work-product waiver (Issue 5).</w:t>
      </w:r>
      <w:r>
        <w:rPr>
          <w:b w:val="0"/>
          <w:i w:val="0"/>
        </w:rPr>
        <w:t xml:space="preserve"> § 6.2 waives every privilege except Whitfield &amp; Crane attorney-client communications on or after June 15, 2021 — sweeping in all in-house legal advice (Ms. Huang and the Deputy GC), the June 1–14, 2021 pre-engagement consultations, all work product (including our interview memoranda, the Alderman report, and our credit-facility analysis), and the common-interest communications with Meridian. This is contrary to Justice Manual § 9-28.710, and because the Third Circuit rejects selective waiver (Westinghouse Elec. Corp. v. Republic of the Philippines, 951 F.2d 1414 (3d Cir. 1991)), anything produced will be available to the relator, shareholder plaintiffs and state AGs.</w:t>
      </w:r>
    </w:p>
    <w:p>
      <w:pPr>
        <w:pStyle w:val="ListNumber"/>
        <w:spacing w:after="60"/>
      </w:pPr>
      <w:r>
        <w:rPr>
          <w:b/>
          <w:i w:val="0"/>
        </w:rPr>
        <w:t>Payment and dismissal timing defect (Issue 6).</w:t>
      </w:r>
      <w:r>
        <w:rPr>
          <w:b w:val="0"/>
          <w:i w:val="0"/>
        </w:rPr>
        <w:t xml:space="preserve"> The fourth installment ($37.5M) is due 36 months after February 1, 2025 — i.e., February 1, 2028 — one day after the Term expires on January 31, 2028, while § 3.3 conditions dismissal on payment of “all monetary penalties” before the Term ends. As drafted, the Company cannot perform on time, which invites an extension under § 3.5 or a technical breach.</w:t>
      </w:r>
    </w:p>
    <w:p>
      <w:pPr>
        <w:jc w:val="both"/>
      </w:pPr>
      <w:r>
        <w:rPr>
          <w:b/>
          <w:i w:val="0"/>
        </w:rPr>
        <w:t>High-priority items</w:t>
      </w:r>
      <w:r>
        <w:rPr>
          <w:b w:val="0"/>
          <w:i w:val="0"/>
        </w:rPr>
        <w:t xml:space="preserve"> include the successor-liability clause (which can be read to sweep BioNovus in automatically and, with § 9.2(c), gives the Monitor pre-review of the BioNovus transaction), the unbounded Monitor scope and the Thornfield/Vantage BioPharma conflict, the absence of any global resolution (no FCA release, no HHS-OIG exclusion release, no state Medicaid resolution, relator’s § 3730(h) claim unresolved), the gag clauses that would bar the Company from defending parallel civil litigation, an overbroad statute-of-limitations waiver, a 72-hour self-reporting obligation for any “potential” federal crime by any agent, unqualified representations (including financial data that does not reconcile and a Board approval that predates the negotiation), and naming of uncharged individuals.</w:t>
      </w:r>
    </w:p>
    <w:p>
      <w:pPr>
        <w:jc w:val="both"/>
      </w:pPr>
      <w:r>
        <w:rPr>
          <w:b/>
          <w:i w:val="0"/>
        </w:rPr>
        <w:t>Immediate actions (before January 15):</w:t>
      </w:r>
      <w:r>
        <w:rPr>
          <w:b w:val="0"/>
          <w:i w:val="0"/>
        </w:rPr>
        <w:t xml:space="preserve"> (i) submit the formal Trident waiver request by January 3, 2025 and evaluate whether the October 2024 draft already triggered the 5-Business-Day notice under Credit Agreement § 3.2(c); (ii) obtain the full Credit Agreement and Indenture to resolve conflicting maturity, leverage and cross-acceleration terms; (iii) reconcile the financial data on which § 13.4 representations will rest; (iv) send the USAO an advance written agenda covering penalty methodology and SOF corrections; (v) refresh the Alderman analysis, which appears to have been performed on an earlier draft; and (vi) re-calendar Board approval for after the negotiated terms are final. See Part VIII.</w:t>
      </w:r>
    </w:p>
    <w:p>
      <w:pPr>
        <w:pStyle w:val="Heading1"/>
      </w:pPr>
      <w:r>
        <w:t>II. Background and Key Figures</w:t>
      </w:r>
    </w:p>
    <w:p>
      <w:pPr>
        <w:jc w:val="both"/>
      </w:pPr>
      <w:r>
        <w:rPr>
          <w:b w:val="0"/>
          <w:i w:val="0"/>
        </w:rPr>
        <w:t>The Draft DPA would resolve a one-count AKS conspiracy charge and a second count styled as “causing the submission of false or fraudulent claims in violation of the False Claims Act, 31 U.S.C. § 3729,” arising from Neurovan and Cardivex speaker programs and HCP consulting arrangements during January 1, 2019 – December 31, 2022. The qui tam (Dr. Anita Patel) was filed in March 2021, unsealed in June 2021, and the Government intervened. Execution is anticipated February 1, 2025 for a three-year Term ending January 31, 2028.</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016"/>
            <w:shd w:val="clear" w:color="auto" w:fill="D9E2F3"/>
          </w:tcPr>
          <w:p>
            <w:r/>
            <w:r>
              <w:rPr>
                <w:b/>
                <w:i w:val="0"/>
                <w:sz w:val="17"/>
              </w:rPr>
              <w:t>Item</w:t>
            </w:r>
          </w:p>
        </w:tc>
        <w:tc>
          <w:tcPr>
            <w:tcW w:type="dxa" w:w="2592"/>
            <w:shd w:val="clear" w:color="auto" w:fill="D9E2F3"/>
          </w:tcPr>
          <w:p>
            <w:r/>
            <w:r>
              <w:rPr>
                <w:b/>
                <w:i w:val="0"/>
                <w:sz w:val="17"/>
              </w:rPr>
              <w:t>Draft DPA / Government</w:t>
            </w:r>
          </w:p>
        </w:tc>
        <w:tc>
          <w:tcPr>
            <w:tcW w:type="dxa" w:w="3312"/>
            <w:shd w:val="clear" w:color="auto" w:fill="D9E2F3"/>
          </w:tcPr>
          <w:p>
            <w:r/>
            <w:r>
              <w:rPr>
                <w:b/>
                <w:i w:val="0"/>
                <w:sz w:val="17"/>
              </w:rPr>
              <w:t>Company record</w:t>
            </w:r>
          </w:p>
        </w:tc>
        <w:tc>
          <w:tcPr>
            <w:tcW w:type="dxa" w:w="1440"/>
            <w:shd w:val="clear" w:color="auto" w:fill="D9E2F3"/>
          </w:tcPr>
          <w:p>
            <w:r/>
            <w:r>
              <w:rPr>
                <w:b/>
                <w:i w:val="0"/>
                <w:sz w:val="17"/>
              </w:rPr>
              <w:t>Source</w:t>
            </w:r>
          </w:p>
        </w:tc>
      </w:tr>
      <w:tr>
        <w:tc>
          <w:tcPr>
            <w:tcW w:type="dxa" w:w="2016"/>
          </w:tcPr>
          <w:p>
            <w:pPr>
              <w:spacing w:after="20"/>
            </w:pPr>
            <w:r/>
            <w:r>
              <w:rPr>
                <w:b w:val="0"/>
                <w:i w:val="0"/>
                <w:sz w:val="17"/>
              </w:rPr>
              <w:t>Improper speaker payments</w:t>
            </w:r>
          </w:p>
        </w:tc>
        <w:tc>
          <w:tcPr>
            <w:tcW w:type="dxa" w:w="2592"/>
          </w:tcPr>
          <w:p>
            <w:pPr>
              <w:spacing w:after="20"/>
            </w:pPr>
            <w:r/>
            <w:r>
              <w:rPr>
                <w:b w:val="0"/>
                <w:i w:val="0"/>
                <w:sz w:val="17"/>
              </w:rPr>
              <w:t>$14.3M “at minimum” (1,150 events)</w:t>
            </w:r>
          </w:p>
        </w:tc>
        <w:tc>
          <w:tcPr>
            <w:tcW w:type="dxa" w:w="3312"/>
          </w:tcPr>
          <w:p>
            <w:pPr>
              <w:spacing w:after="20"/>
            </w:pPr>
            <w:r/>
            <w:r>
              <w:rPr>
                <w:b w:val="0"/>
                <w:i w:val="0"/>
                <w:sz w:val="17"/>
              </w:rPr>
              <w:t>$11.1M best estimate (Tier 1+2, ~1,150 events); range $9.8M–$12.4M; all Tiers 1–3 (~1,450 events) = $12.4M</w:t>
            </w:r>
          </w:p>
        </w:tc>
        <w:tc>
          <w:tcPr>
            <w:tcW w:type="dxa" w:w="1440"/>
          </w:tcPr>
          <w:p>
            <w:pPr>
              <w:spacing w:after="20"/>
            </w:pPr>
            <w:r/>
            <w:r>
              <w:rPr>
                <w:b w:val="0"/>
                <w:i w:val="0"/>
                <w:sz w:val="17"/>
              </w:rPr>
              <w:t>DPA § 4.1; SOF ¶ 9; Inv. Rpt. § IV.B, App. C</w:t>
            </w:r>
          </w:p>
        </w:tc>
      </w:tr>
      <w:tr>
        <w:tc>
          <w:tcPr>
            <w:tcW w:type="dxa" w:w="2016"/>
          </w:tcPr>
          <w:p>
            <w:pPr>
              <w:spacing w:after="20"/>
            </w:pPr>
            <w:r/>
            <w:r>
              <w:rPr>
                <w:b w:val="0"/>
                <w:i w:val="0"/>
                <w:sz w:val="17"/>
              </w:rPr>
              <w:t>Improper consulting fees</w:t>
            </w:r>
          </w:p>
        </w:tc>
        <w:tc>
          <w:tcPr>
            <w:tcW w:type="dxa" w:w="2592"/>
          </w:tcPr>
          <w:p>
            <w:pPr>
              <w:spacing w:after="20"/>
            </w:pPr>
            <w:r/>
            <w:r>
              <w:rPr>
                <w:b w:val="0"/>
                <w:i w:val="0"/>
                <w:sz w:val="17"/>
              </w:rPr>
              <w:t>$6.2M (all 47 HCPs)</w:t>
            </w:r>
          </w:p>
        </w:tc>
        <w:tc>
          <w:tcPr>
            <w:tcW w:type="dxa" w:w="3312"/>
          </w:tcPr>
          <w:p>
            <w:pPr>
              <w:spacing w:after="20"/>
            </w:pPr>
            <w:r/>
            <w:r>
              <w:rPr>
                <w:b w:val="0"/>
                <w:i w:val="0"/>
                <w:sz w:val="17"/>
              </w:rPr>
              <w:t>$2.8M (12 HCPs, no documented services); ~15 HCPs within FMV ($1.6M); ~20 above FMV ($1.8M)</w:t>
            </w:r>
          </w:p>
        </w:tc>
        <w:tc>
          <w:tcPr>
            <w:tcW w:type="dxa" w:w="1440"/>
          </w:tcPr>
          <w:p>
            <w:pPr>
              <w:spacing w:after="20"/>
            </w:pPr>
            <w:r/>
            <w:r>
              <w:rPr>
                <w:b w:val="0"/>
                <w:i w:val="0"/>
                <w:sz w:val="17"/>
              </w:rPr>
              <w:t>DPA § 4.2; Inv. Rpt. § V.B, App. D</w:t>
            </w:r>
          </w:p>
        </w:tc>
      </w:tr>
      <w:tr>
        <w:tc>
          <w:tcPr>
            <w:tcW w:type="dxa" w:w="2016"/>
          </w:tcPr>
          <w:p>
            <w:pPr>
              <w:spacing w:after="20"/>
            </w:pPr>
            <w:r/>
            <w:r>
              <w:rPr>
                <w:b w:val="0"/>
                <w:i w:val="0"/>
                <w:sz w:val="17"/>
              </w:rPr>
              <w:t>Total improper payments</w:t>
            </w:r>
          </w:p>
        </w:tc>
        <w:tc>
          <w:tcPr>
            <w:tcW w:type="dxa" w:w="2592"/>
          </w:tcPr>
          <w:p>
            <w:pPr>
              <w:spacing w:after="20"/>
            </w:pPr>
            <w:r/>
            <w:r>
              <w:rPr>
                <w:b w:val="0"/>
                <w:i w:val="0"/>
                <w:sz w:val="17"/>
              </w:rPr>
              <w:t>$20.5M</w:t>
            </w:r>
          </w:p>
        </w:tc>
        <w:tc>
          <w:tcPr>
            <w:tcW w:type="dxa" w:w="3312"/>
          </w:tcPr>
          <w:p>
            <w:pPr>
              <w:spacing w:after="20"/>
            </w:pPr>
            <w:r/>
            <w:r>
              <w:rPr>
                <w:b w:val="0"/>
                <w:i w:val="0"/>
                <w:sz w:val="17"/>
              </w:rPr>
              <w:t>$13.9M (−$6.6M)</w:t>
            </w:r>
          </w:p>
        </w:tc>
        <w:tc>
          <w:tcPr>
            <w:tcW w:type="dxa" w:w="1440"/>
          </w:tcPr>
          <w:p>
            <w:pPr>
              <w:spacing w:after="20"/>
            </w:pPr>
            <w:r/>
            <w:r>
              <w:rPr>
                <w:b w:val="0"/>
                <w:i w:val="0"/>
                <w:sz w:val="17"/>
              </w:rPr>
              <w:t>DPA § 4.3; Inv. Rpt. § X.A</w:t>
            </w:r>
          </w:p>
        </w:tc>
      </w:tr>
      <w:tr>
        <w:tc>
          <w:tcPr>
            <w:tcW w:type="dxa" w:w="2016"/>
          </w:tcPr>
          <w:p>
            <w:pPr>
              <w:spacing w:after="20"/>
            </w:pPr>
            <w:r/>
            <w:r>
              <w:rPr>
                <w:b w:val="0"/>
                <w:i w:val="0"/>
                <w:sz w:val="17"/>
              </w:rPr>
              <w:t>Criminal penalty</w:t>
            </w:r>
          </w:p>
        </w:tc>
        <w:tc>
          <w:tcPr>
            <w:tcW w:type="dxa" w:w="2592"/>
          </w:tcPr>
          <w:p>
            <w:pPr>
              <w:spacing w:after="20"/>
            </w:pPr>
            <w:r/>
            <w:r>
              <w:rPr>
                <w:b w:val="0"/>
                <w:i w:val="0"/>
                <w:sz w:val="17"/>
              </w:rPr>
              <w:t>$187.5M = ($20.5M x 3 x 2) + $64.5M</w:t>
            </w:r>
          </w:p>
        </w:tc>
        <w:tc>
          <w:tcPr>
            <w:tcW w:type="dxa" w:w="3312"/>
          </w:tcPr>
          <w:p>
            <w:pPr>
              <w:spacing w:after="20"/>
            </w:pPr>
            <w:r/>
            <w:r>
              <w:rPr>
                <w:b w:val="0"/>
                <w:i w:val="0"/>
                <w:sz w:val="17"/>
              </w:rPr>
              <w:t>—</w:t>
            </w:r>
          </w:p>
        </w:tc>
        <w:tc>
          <w:tcPr>
            <w:tcW w:type="dxa" w:w="1440"/>
          </w:tcPr>
          <w:p>
            <w:pPr>
              <w:spacing w:after="20"/>
            </w:pPr>
            <w:r/>
            <w:r>
              <w:rPr>
                <w:b w:val="0"/>
                <w:i w:val="0"/>
                <w:sz w:val="17"/>
              </w:rPr>
              <w:t>DPA § 8.1</w:t>
            </w:r>
          </w:p>
        </w:tc>
      </w:tr>
      <w:tr>
        <w:tc>
          <w:tcPr>
            <w:tcW w:type="dxa" w:w="2016"/>
          </w:tcPr>
          <w:p>
            <w:pPr>
              <w:spacing w:after="20"/>
            </w:pPr>
            <w:r/>
            <w:r>
              <w:rPr>
                <w:b w:val="0"/>
                <w:i w:val="0"/>
                <w:sz w:val="17"/>
              </w:rPr>
              <w:t>Civil FCA settlement</w:t>
            </w:r>
          </w:p>
        </w:tc>
        <w:tc>
          <w:tcPr>
            <w:tcW w:type="dxa" w:w="2592"/>
          </w:tcPr>
          <w:p>
            <w:pPr>
              <w:spacing w:after="20"/>
            </w:pPr>
            <w:r/>
            <w:r>
              <w:rPr>
                <w:b w:val="0"/>
                <w:i w:val="0"/>
                <w:sz w:val="17"/>
              </w:rPr>
              <w:t>$52.0M lump sum at signing (relator share 25% = $13.0M)</w:t>
            </w:r>
          </w:p>
        </w:tc>
        <w:tc>
          <w:tcPr>
            <w:tcW w:type="dxa" w:w="3312"/>
          </w:tcPr>
          <w:p>
            <w:pPr>
              <w:spacing w:after="20"/>
            </w:pPr>
            <w:r/>
            <w:r>
              <w:rPr>
                <w:b w:val="0"/>
                <w:i w:val="0"/>
                <w:sz w:val="17"/>
              </w:rPr>
              <w:t>—</w:t>
            </w:r>
          </w:p>
        </w:tc>
        <w:tc>
          <w:tcPr>
            <w:tcW w:type="dxa" w:w="1440"/>
          </w:tcPr>
          <w:p>
            <w:pPr>
              <w:spacing w:after="20"/>
            </w:pPr>
            <w:r/>
            <w:r>
              <w:rPr>
                <w:b w:val="0"/>
                <w:i w:val="0"/>
                <w:sz w:val="17"/>
              </w:rPr>
              <w:t>DPA §§ 8.2–8.4</w:t>
            </w:r>
          </w:p>
        </w:tc>
      </w:tr>
      <w:tr>
        <w:tc>
          <w:tcPr>
            <w:tcW w:type="dxa" w:w="2016"/>
          </w:tcPr>
          <w:p>
            <w:pPr>
              <w:spacing w:after="20"/>
            </w:pPr>
            <w:r/>
            <w:r>
              <w:rPr>
                <w:b w:val="0"/>
                <w:i w:val="0"/>
                <w:sz w:val="17"/>
              </w:rPr>
              <w:t>Monitor (estimate, uncapped)</w:t>
            </w:r>
          </w:p>
        </w:tc>
        <w:tc>
          <w:tcPr>
            <w:tcW w:type="dxa" w:w="2592"/>
          </w:tcPr>
          <w:p>
            <w:pPr>
              <w:spacing w:after="20"/>
            </w:pPr>
            <w:r/>
            <w:r>
              <w:rPr>
                <w:b w:val="0"/>
                <w:i w:val="0"/>
                <w:sz w:val="17"/>
              </w:rPr>
              <w:t>$4.5M/yr; $13.5M over Term</w:t>
            </w:r>
          </w:p>
        </w:tc>
        <w:tc>
          <w:tcPr>
            <w:tcW w:type="dxa" w:w="3312"/>
          </w:tcPr>
          <w:p>
            <w:pPr>
              <w:spacing w:after="20"/>
            </w:pPr>
            <w:r/>
            <w:r>
              <w:rPr>
                <w:b w:val="0"/>
                <w:i w:val="0"/>
                <w:sz w:val="17"/>
              </w:rPr>
              <w:t>—</w:t>
            </w:r>
          </w:p>
        </w:tc>
        <w:tc>
          <w:tcPr>
            <w:tcW w:type="dxa" w:w="1440"/>
          </w:tcPr>
          <w:p>
            <w:pPr>
              <w:spacing w:after="20"/>
            </w:pPr>
            <w:r/>
            <w:r>
              <w:rPr>
                <w:b w:val="0"/>
                <w:i w:val="0"/>
                <w:sz w:val="17"/>
              </w:rPr>
              <w:t>DPA § 9.4</w:t>
            </w:r>
          </w:p>
        </w:tc>
      </w:tr>
      <w:tr>
        <w:tc>
          <w:tcPr>
            <w:tcW w:type="dxa" w:w="2016"/>
          </w:tcPr>
          <w:p>
            <w:pPr>
              <w:spacing w:after="20"/>
            </w:pPr>
            <w:r/>
            <w:r>
              <w:rPr>
                <w:b w:val="0"/>
                <w:i w:val="0"/>
                <w:sz w:val="17"/>
              </w:rPr>
              <w:t>Total DPA cash cost</w:t>
            </w:r>
          </w:p>
        </w:tc>
        <w:tc>
          <w:tcPr>
            <w:tcW w:type="dxa" w:w="2592"/>
          </w:tcPr>
          <w:p>
            <w:pPr>
              <w:spacing w:after="20"/>
            </w:pPr>
            <w:r/>
            <w:r>
              <w:rPr>
                <w:b w:val="0"/>
                <w:i w:val="0"/>
                <w:sz w:val="17"/>
              </w:rPr>
              <w:t>$253.0M ($239.5M payments + $13.5M monitor)</w:t>
            </w:r>
          </w:p>
        </w:tc>
        <w:tc>
          <w:tcPr>
            <w:tcW w:type="dxa" w:w="3312"/>
          </w:tcPr>
          <w:p>
            <w:pPr>
              <w:spacing w:after="20"/>
            </w:pPr>
            <w:r/>
            <w:r>
              <w:rPr>
                <w:b w:val="0"/>
                <w:i w:val="0"/>
                <w:sz w:val="17"/>
              </w:rPr>
              <w:t>—</w:t>
            </w:r>
          </w:p>
        </w:tc>
        <w:tc>
          <w:tcPr>
            <w:tcW w:type="dxa" w:w="1440"/>
          </w:tcPr>
          <w:p>
            <w:pPr>
              <w:spacing w:after="20"/>
            </w:pPr>
            <w:r/>
            <w:r>
              <w:rPr>
                <w:b w:val="0"/>
                <w:i w:val="0"/>
                <w:sz w:val="17"/>
              </w:rPr>
              <w:t>Fin. Summary, DPA Impact tab</w:t>
            </w:r>
          </w:p>
        </w:tc>
      </w:tr>
      <w:tr>
        <w:tc>
          <w:tcPr>
            <w:tcW w:type="dxa" w:w="2016"/>
          </w:tcPr>
          <w:p>
            <w:pPr>
              <w:spacing w:after="20"/>
            </w:pPr>
            <w:r/>
            <w:r>
              <w:rPr>
                <w:b w:val="0"/>
                <w:i w:val="0"/>
                <w:sz w:val="17"/>
              </w:rPr>
              <w:t>Signing-day payment</w:t>
            </w:r>
          </w:p>
        </w:tc>
        <w:tc>
          <w:tcPr>
            <w:tcW w:type="dxa" w:w="2592"/>
          </w:tcPr>
          <w:p>
            <w:pPr>
              <w:spacing w:after="20"/>
            </w:pPr>
            <w:r/>
            <w:r>
              <w:rPr>
                <w:b w:val="0"/>
                <w:i w:val="0"/>
                <w:sz w:val="17"/>
              </w:rPr>
              <w:t>$102.0M ($50.0M criminal + $52.0M civil)</w:t>
            </w:r>
          </w:p>
        </w:tc>
        <w:tc>
          <w:tcPr>
            <w:tcW w:type="dxa" w:w="3312"/>
          </w:tcPr>
          <w:p>
            <w:pPr>
              <w:spacing w:after="20"/>
            </w:pPr>
            <w:r/>
            <w:r>
              <w:rPr>
                <w:b w:val="0"/>
                <w:i w:val="0"/>
                <w:sz w:val="17"/>
              </w:rPr>
              <w:t>Cash $420M (9/30/24); undrawn revolver $180M</w:t>
            </w:r>
          </w:p>
        </w:tc>
        <w:tc>
          <w:tcPr>
            <w:tcW w:type="dxa" w:w="1440"/>
          </w:tcPr>
          <w:p>
            <w:pPr>
              <w:spacing w:after="20"/>
            </w:pPr>
            <w:r/>
            <w:r>
              <w:rPr>
                <w:b w:val="0"/>
                <w:i w:val="0"/>
                <w:sz w:val="17"/>
              </w:rPr>
              <w:t>DPA § 8.4; Fin. Summary</w:t>
            </w:r>
          </w:p>
        </w:tc>
      </w:tr>
      <w:tr>
        <w:tc>
          <w:tcPr>
            <w:tcW w:type="dxa" w:w="2016"/>
          </w:tcPr>
          <w:p>
            <w:pPr>
              <w:spacing w:after="20"/>
            </w:pPr>
            <w:r/>
            <w:r>
              <w:rPr>
                <w:b w:val="0"/>
                <w:i w:val="0"/>
                <w:sz w:val="17"/>
              </w:rPr>
              <w:t>Credit Agreement § 7.1(h) threshold</w:t>
            </w:r>
          </w:p>
        </w:tc>
        <w:tc>
          <w:tcPr>
            <w:tcW w:type="dxa" w:w="2592"/>
          </w:tcPr>
          <w:p>
            <w:pPr>
              <w:spacing w:after="20"/>
            </w:pPr>
            <w:r/>
            <w:r>
              <w:rPr>
                <w:b w:val="0"/>
                <w:i w:val="0"/>
                <w:sz w:val="17"/>
              </w:rPr>
              <w:t>—</w:t>
            </w:r>
          </w:p>
        </w:tc>
        <w:tc>
          <w:tcPr>
            <w:tcW w:type="dxa" w:w="3312"/>
          </w:tcPr>
          <w:p>
            <w:pPr>
              <w:spacing w:after="20"/>
            </w:pPr>
            <w:r/>
            <w:r>
              <w:rPr>
                <w:b w:val="0"/>
                <w:i w:val="0"/>
                <w:sz w:val="17"/>
              </w:rPr>
              <w:t>$75M in any 12 months (settlement “or otherwise”)</w:t>
            </w:r>
          </w:p>
        </w:tc>
        <w:tc>
          <w:tcPr>
            <w:tcW w:type="dxa" w:w="1440"/>
          </w:tcPr>
          <w:p>
            <w:pPr>
              <w:spacing w:after="20"/>
            </w:pPr>
            <w:r/>
            <w:r>
              <w:rPr>
                <w:b w:val="0"/>
                <w:i w:val="0"/>
                <w:sz w:val="17"/>
              </w:rPr>
              <w:t>Credit Summary § 6.2</w:t>
            </w:r>
          </w:p>
        </w:tc>
      </w:tr>
      <w:tr>
        <w:tc>
          <w:tcPr>
            <w:tcW w:type="dxa" w:w="2016"/>
          </w:tcPr>
          <w:p>
            <w:pPr>
              <w:spacing w:after="20"/>
            </w:pPr>
            <w:r/>
            <w:r>
              <w:rPr>
                <w:b w:val="0"/>
                <w:i w:val="0"/>
                <w:sz w:val="17"/>
              </w:rPr>
              <w:t>BioNovus acquisition</w:t>
            </w:r>
          </w:p>
        </w:tc>
        <w:tc>
          <w:tcPr>
            <w:tcW w:type="dxa" w:w="2592"/>
          </w:tcPr>
          <w:p>
            <w:pPr>
              <w:spacing w:after="20"/>
            </w:pPr>
            <w:r/>
            <w:r>
              <w:rPr>
                <w:b w:val="0"/>
                <w:i w:val="0"/>
                <w:sz w:val="17"/>
              </w:rPr>
              <w:t>—</w:t>
            </w:r>
          </w:p>
        </w:tc>
        <w:tc>
          <w:tcPr>
            <w:tcW w:type="dxa" w:w="3312"/>
          </w:tcPr>
          <w:p>
            <w:pPr>
              <w:spacing w:after="20"/>
            </w:pPr>
            <w:r/>
            <w:r>
              <w:rPr>
                <w:b w:val="0"/>
                <w:i w:val="0"/>
                <w:sz w:val="17"/>
              </w:rPr>
              <w:t>$340M all cash; LOI targeted Mar. 15, 2025; closing Q3 2025</w:t>
            </w:r>
          </w:p>
        </w:tc>
        <w:tc>
          <w:tcPr>
            <w:tcW w:type="dxa" w:w="1440"/>
          </w:tcPr>
          <w:p>
            <w:pPr>
              <w:spacing w:after="20"/>
            </w:pPr>
            <w:r/>
            <w:r>
              <w:rPr>
                <w:b w:val="0"/>
                <w:i w:val="0"/>
                <w:sz w:val="17"/>
              </w:rPr>
              <w:t>Meridian emails; Alderman § V.C</w:t>
            </w:r>
          </w:p>
        </w:tc>
      </w:tr>
    </w:tbl>
    <w:p>
      <w:pPr>
        <w:spacing w:after="40"/>
      </w:pPr>
    </w:p>
    <w:p>
      <w:pPr>
        <w:pStyle w:val="Heading1"/>
      </w:pPr>
      <w:r>
        <w:t>III. Risk Rating Scale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440"/>
            <w:shd w:val="clear" w:color="auto" w:fill="D9E2F3"/>
          </w:tcPr>
          <w:p>
            <w:r/>
            <w:r>
              <w:rPr>
                <w:b/>
                <w:i w:val="0"/>
                <w:sz w:val="18"/>
              </w:rPr>
              <w:t>Rating</w:t>
            </w:r>
          </w:p>
        </w:tc>
        <w:tc>
          <w:tcPr>
            <w:tcW w:type="dxa" w:w="7920"/>
            <w:shd w:val="clear" w:color="auto" w:fill="D9E2F3"/>
          </w:tcPr>
          <w:p>
            <w:r/>
            <w:r>
              <w:rPr>
                <w:b/>
                <w:i w:val="0"/>
                <w:sz w:val="18"/>
              </w:rPr>
              <w:t>Meaning</w:t>
            </w:r>
          </w:p>
        </w:tc>
      </w:tr>
      <w:tr>
        <w:tc>
          <w:tcPr>
            <w:tcW w:type="dxa" w:w="1440"/>
            <w:shd w:val="clear" w:color="auto" w:fill="C00000"/>
          </w:tcPr>
          <w:p>
            <w:pPr>
              <w:spacing w:after="20"/>
            </w:pPr>
            <w:r>
              <w:rPr>
                <w:b/>
                <w:color w:val="FFFFFF"/>
              </w:rPr>
            </w:r>
            <w:r>
              <w:rPr>
                <w:b/>
                <w:i w:val="0"/>
                <w:color w:val="FFFFFF"/>
                <w:sz w:val="18"/>
              </w:rPr>
              <w:t>Critical</w:t>
            </w:r>
          </w:p>
        </w:tc>
        <w:tc>
          <w:tcPr>
            <w:tcW w:type="dxa" w:w="7920"/>
          </w:tcPr>
          <w:p>
            <w:pPr>
              <w:spacing w:after="20"/>
            </w:pPr>
            <w:r/>
            <w:r>
              <w:rPr>
                <w:b w:val="0"/>
                <w:i w:val="0"/>
                <w:sz w:val="18"/>
              </w:rPr>
              <w:t>Threatens the Company’s liquidity, program participation, or core legal position, or is a dollar issue &gt; $50M. Must be resolved before signing; walk-away or delay-execution item.</w:t>
            </w:r>
          </w:p>
        </w:tc>
      </w:tr>
      <w:tr>
        <w:tc>
          <w:tcPr>
            <w:tcW w:type="dxa" w:w="1440"/>
            <w:shd w:val="clear" w:color="auto" w:fill="E26B0A"/>
          </w:tcPr>
          <w:p>
            <w:pPr>
              <w:spacing w:after="20"/>
            </w:pPr>
            <w:r>
              <w:rPr>
                <w:b/>
                <w:color w:val="FFFFFF"/>
              </w:rPr>
            </w:r>
            <w:r>
              <w:rPr>
                <w:b/>
                <w:i w:val="0"/>
                <w:color w:val="FFFFFF"/>
                <w:sz w:val="18"/>
              </w:rPr>
              <w:t>High</w:t>
            </w:r>
          </w:p>
        </w:tc>
        <w:tc>
          <w:tcPr>
            <w:tcW w:type="dxa" w:w="7920"/>
          </w:tcPr>
          <w:p>
            <w:pPr>
              <w:spacing w:after="20"/>
            </w:pPr>
            <w:r/>
            <w:r>
              <w:rPr>
                <w:b w:val="0"/>
                <w:i w:val="0"/>
                <w:sz w:val="18"/>
              </w:rPr>
              <w:t>Material financial, litigation, transactional or operational exposure; must be negotiated, with a defined fallback.</w:t>
            </w:r>
          </w:p>
        </w:tc>
      </w:tr>
      <w:tr>
        <w:tc>
          <w:tcPr>
            <w:tcW w:type="dxa" w:w="1440"/>
            <w:shd w:val="clear" w:color="auto" w:fill="BF9000"/>
          </w:tcPr>
          <w:p>
            <w:pPr>
              <w:spacing w:after="20"/>
            </w:pPr>
            <w:r>
              <w:rPr>
                <w:b/>
                <w:color w:val="FFFFFF"/>
              </w:rPr>
            </w:r>
            <w:r>
              <w:rPr>
                <w:b/>
                <w:i w:val="0"/>
                <w:color w:val="FFFFFF"/>
                <w:sz w:val="18"/>
              </w:rPr>
              <w:t>Medium</w:t>
            </w:r>
          </w:p>
        </w:tc>
        <w:tc>
          <w:tcPr>
            <w:tcW w:type="dxa" w:w="7920"/>
          </w:tcPr>
          <w:p>
            <w:pPr>
              <w:spacing w:after="20"/>
            </w:pPr>
            <w:r/>
            <w:r>
              <w:rPr>
                <w:b w:val="0"/>
                <w:i w:val="0"/>
                <w:sz w:val="18"/>
              </w:rPr>
              <w:t>Meaningful burden or drafting risk; negotiate, but available as trading currency.</w:t>
            </w:r>
          </w:p>
        </w:tc>
      </w:tr>
      <w:tr>
        <w:tc>
          <w:tcPr>
            <w:tcW w:type="dxa" w:w="1440"/>
            <w:shd w:val="clear" w:color="auto" w:fill="548235"/>
          </w:tcPr>
          <w:p>
            <w:pPr>
              <w:spacing w:after="20"/>
            </w:pPr>
            <w:r>
              <w:rPr>
                <w:b/>
                <w:color w:val="FFFFFF"/>
              </w:rPr>
            </w:r>
            <w:r>
              <w:rPr>
                <w:b/>
                <w:i w:val="0"/>
                <w:color w:val="FFFFFF"/>
                <w:sz w:val="18"/>
              </w:rPr>
              <w:t>Low</w:t>
            </w:r>
          </w:p>
        </w:tc>
        <w:tc>
          <w:tcPr>
            <w:tcW w:type="dxa" w:w="7920"/>
          </w:tcPr>
          <w:p>
            <w:pPr>
              <w:spacing w:after="20"/>
            </w:pPr>
            <w:r/>
            <w:r>
              <w:rPr>
                <w:b w:val="0"/>
                <w:i w:val="0"/>
                <w:sz w:val="18"/>
              </w:rPr>
              <w:t>Acceptable or near-market; accept, or fix by technical/conforming edit.</w:t>
            </w:r>
          </w:p>
        </w:tc>
      </w:tr>
    </w:tbl>
    <w:p>
      <w:pPr>
        <w:spacing w:after="40"/>
      </w:pPr>
    </w:p>
    <w:p>
      <w:pPr>
        <w:pStyle w:val="Heading1"/>
      </w:pPr>
      <w:r>
        <w:t>IV. Issue Summary and Risk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D9E2F3"/>
          </w:tcPr>
          <w:p>
            <w:r/>
            <w:r>
              <w:rPr>
                <w:b/>
                <w:i w:val="0"/>
                <w:sz w:val="16"/>
              </w:rPr>
              <w:t>#</w:t>
            </w:r>
          </w:p>
        </w:tc>
        <w:tc>
          <w:tcPr>
            <w:tcW w:type="dxa" w:w="3168"/>
            <w:shd w:val="clear" w:color="auto" w:fill="D9E2F3"/>
          </w:tcPr>
          <w:p>
            <w:r/>
            <w:r>
              <w:rPr>
                <w:b/>
                <w:i w:val="0"/>
                <w:sz w:val="16"/>
              </w:rPr>
              <w:t>Issue</w:t>
            </w:r>
          </w:p>
        </w:tc>
        <w:tc>
          <w:tcPr>
            <w:tcW w:type="dxa" w:w="1872"/>
            <w:shd w:val="clear" w:color="auto" w:fill="D9E2F3"/>
          </w:tcPr>
          <w:p>
            <w:r/>
            <w:r>
              <w:rPr>
                <w:b/>
                <w:i w:val="0"/>
                <w:sz w:val="16"/>
              </w:rPr>
              <w:t>DPA provision</w:t>
            </w:r>
          </w:p>
        </w:tc>
        <w:tc>
          <w:tcPr>
            <w:tcW w:type="dxa" w:w="1080"/>
            <w:shd w:val="clear" w:color="auto" w:fill="D9E2F3"/>
          </w:tcPr>
          <w:p>
            <w:r/>
            <w:r>
              <w:rPr>
                <w:b/>
                <w:i w:val="0"/>
                <w:sz w:val="16"/>
              </w:rPr>
              <w:t>Rating</w:t>
            </w:r>
          </w:p>
        </w:tc>
        <w:tc>
          <w:tcPr>
            <w:tcW w:type="dxa" w:w="2808"/>
            <w:shd w:val="clear" w:color="auto" w:fill="D9E2F3"/>
          </w:tcPr>
          <w:p>
            <w:r/>
            <w:r>
              <w:rPr>
                <w:b/>
                <w:i w:val="0"/>
                <w:sz w:val="16"/>
              </w:rPr>
              <w:t>Core recommendation</w:t>
            </w:r>
          </w:p>
        </w:tc>
      </w:tr>
      <w:tr>
        <w:tc>
          <w:tcPr>
            <w:tcW w:type="dxa" w:w="432"/>
          </w:tcPr>
          <w:p>
            <w:pPr>
              <w:spacing w:after="20"/>
            </w:pPr>
            <w:r/>
            <w:r>
              <w:rPr>
                <w:b w:val="0"/>
                <w:i w:val="0"/>
                <w:sz w:val="16"/>
              </w:rPr>
              <w:t>1</w:t>
            </w:r>
          </w:p>
        </w:tc>
        <w:tc>
          <w:tcPr>
            <w:tcW w:type="dxa" w:w="3168"/>
          </w:tcPr>
          <w:p>
            <w:pPr>
              <w:spacing w:after="20"/>
            </w:pPr>
            <w:r/>
            <w:r>
              <w:rPr>
                <w:b w:val="0"/>
                <w:i w:val="0"/>
                <w:sz w:val="16"/>
              </w:rPr>
              <w:t>Lender cross-default; no condition precedent for third-party consents</w:t>
            </w:r>
          </w:p>
        </w:tc>
        <w:tc>
          <w:tcPr>
            <w:tcW w:type="dxa" w:w="1872"/>
          </w:tcPr>
          <w:p>
            <w:pPr>
              <w:spacing w:after="20"/>
            </w:pPr>
            <w:r/>
            <w:r>
              <w:rPr>
                <w:b w:val="0"/>
                <w:i w:val="0"/>
                <w:sz w:val="16"/>
              </w:rPr>
              <w:t>§§ 1, 8.4, 17 (absent)</w:t>
            </w:r>
          </w:p>
        </w:tc>
        <w:tc>
          <w:tcPr>
            <w:tcW w:type="dxa" w:w="1080"/>
            <w:shd w:val="clear" w:color="auto" w:fill="C00000"/>
          </w:tcPr>
          <w:p>
            <w:pPr>
              <w:spacing w:after="20"/>
            </w:pPr>
            <w:r>
              <w:rPr>
                <w:b/>
                <w:color w:val="FFFFFF"/>
              </w:rPr>
            </w:r>
            <w:r>
              <w:rPr>
                <w:b/>
                <w:i w:val="0"/>
                <w:color w:val="FFFFFF"/>
                <w:sz w:val="16"/>
              </w:rPr>
              <w:t>Critical</w:t>
            </w:r>
          </w:p>
        </w:tc>
        <w:tc>
          <w:tcPr>
            <w:tcW w:type="dxa" w:w="2808"/>
          </w:tcPr>
          <w:p>
            <w:pPr>
              <w:spacing w:after="20"/>
            </w:pPr>
            <w:r/>
            <w:r>
              <w:rPr>
                <w:b w:val="0"/>
                <w:i w:val="0"/>
                <w:sz w:val="16"/>
              </w:rPr>
              <w:t>Waiver request by Jan. 3; add effectiveness condition / delayed Effective Date</w:t>
            </w:r>
          </w:p>
        </w:tc>
      </w:tr>
      <w:tr>
        <w:tc>
          <w:tcPr>
            <w:tcW w:type="dxa" w:w="432"/>
          </w:tcPr>
          <w:p>
            <w:pPr>
              <w:spacing w:after="20"/>
            </w:pPr>
            <w:r/>
            <w:r>
              <w:rPr>
                <w:b w:val="0"/>
                <w:i w:val="0"/>
                <w:sz w:val="16"/>
              </w:rPr>
              <w:t>2</w:t>
            </w:r>
          </w:p>
        </w:tc>
        <w:tc>
          <w:tcPr>
            <w:tcW w:type="dxa" w:w="3168"/>
          </w:tcPr>
          <w:p>
            <w:pPr>
              <w:spacing w:after="20"/>
            </w:pPr>
            <w:r/>
            <w:r>
              <w:rPr>
                <w:b w:val="0"/>
                <w:i w:val="0"/>
                <w:sz w:val="16"/>
              </w:rPr>
              <w:t>Criminal penalty methodology (treble, 2x recidivism, VOC error, no credit)</w:t>
            </w:r>
          </w:p>
        </w:tc>
        <w:tc>
          <w:tcPr>
            <w:tcW w:type="dxa" w:w="1872"/>
          </w:tcPr>
          <w:p>
            <w:pPr>
              <w:spacing w:after="20"/>
            </w:pPr>
            <w:r/>
            <w:r>
              <w:rPr>
                <w:b w:val="0"/>
                <w:i w:val="0"/>
                <w:sz w:val="16"/>
              </w:rPr>
              <w:t>§ 8.1</w:t>
            </w:r>
          </w:p>
        </w:tc>
        <w:tc>
          <w:tcPr>
            <w:tcW w:type="dxa" w:w="1080"/>
            <w:shd w:val="clear" w:color="auto" w:fill="C00000"/>
          </w:tcPr>
          <w:p>
            <w:pPr>
              <w:spacing w:after="20"/>
            </w:pPr>
            <w:r>
              <w:rPr>
                <w:b/>
                <w:color w:val="FFFFFF"/>
              </w:rPr>
            </w:r>
            <w:r>
              <w:rPr>
                <w:b/>
                <w:i w:val="0"/>
                <w:color w:val="FFFFFF"/>
                <w:sz w:val="16"/>
              </w:rPr>
              <w:t>Critical</w:t>
            </w:r>
          </w:p>
        </w:tc>
        <w:tc>
          <w:tcPr>
            <w:tcW w:type="dxa" w:w="2808"/>
          </w:tcPr>
          <w:p>
            <w:pPr>
              <w:spacing w:after="20"/>
            </w:pPr>
            <w:r/>
            <w:r>
              <w:rPr>
                <w:b w:val="0"/>
                <w:i w:val="0"/>
                <w:sz w:val="16"/>
              </w:rPr>
              <w:t>Guidelines-based fine on $13.9M base; delete VOC and recidivism doubling; cooperation credit</w:t>
            </w:r>
          </w:p>
        </w:tc>
      </w:tr>
      <w:tr>
        <w:tc>
          <w:tcPr>
            <w:tcW w:type="dxa" w:w="432"/>
          </w:tcPr>
          <w:p>
            <w:pPr>
              <w:spacing w:after="20"/>
            </w:pPr>
            <w:r/>
            <w:r>
              <w:rPr>
                <w:b w:val="0"/>
                <w:i w:val="0"/>
                <w:sz w:val="16"/>
              </w:rPr>
              <w:t>3</w:t>
            </w:r>
          </w:p>
        </w:tc>
        <w:tc>
          <w:tcPr>
            <w:tcW w:type="dxa" w:w="3168"/>
          </w:tcPr>
          <w:p>
            <w:pPr>
              <w:spacing w:after="20"/>
            </w:pPr>
            <w:r/>
            <w:r>
              <w:rPr>
                <w:b w:val="0"/>
                <w:i w:val="0"/>
                <w:sz w:val="16"/>
              </w:rPr>
              <w:t>Stipulated facts: executive knowledge, corporate willfulness, quantum, “taint”</w:t>
            </w:r>
          </w:p>
        </w:tc>
        <w:tc>
          <w:tcPr>
            <w:tcW w:type="dxa" w:w="1872"/>
          </w:tcPr>
          <w:p>
            <w:pPr>
              <w:spacing w:after="20"/>
            </w:pPr>
            <w:r/>
            <w:r>
              <w:rPr>
                <w:b w:val="0"/>
                <w:i w:val="0"/>
                <w:sz w:val="16"/>
              </w:rPr>
              <w:t>Ex. A ¶¶ 9–19, 23, 26; §§ 4, 5.1–5.2, 12.2(b)–(c)</w:t>
            </w:r>
          </w:p>
        </w:tc>
        <w:tc>
          <w:tcPr>
            <w:tcW w:type="dxa" w:w="1080"/>
            <w:shd w:val="clear" w:color="auto" w:fill="C00000"/>
          </w:tcPr>
          <w:p>
            <w:pPr>
              <w:spacing w:after="20"/>
            </w:pPr>
            <w:r>
              <w:rPr>
                <w:b/>
                <w:color w:val="FFFFFF"/>
              </w:rPr>
            </w:r>
            <w:r>
              <w:rPr>
                <w:b/>
                <w:i w:val="0"/>
                <w:color w:val="FFFFFF"/>
                <w:sz w:val="16"/>
              </w:rPr>
              <w:t>Critical</w:t>
            </w:r>
          </w:p>
        </w:tc>
        <w:tc>
          <w:tcPr>
            <w:tcW w:type="dxa" w:w="2808"/>
          </w:tcPr>
          <w:p>
            <w:pPr>
              <w:spacing w:after="20"/>
            </w:pPr>
            <w:r/>
            <w:r>
              <w:rPr>
                <w:b w:val="0"/>
                <w:i w:val="0"/>
                <w:sz w:val="16"/>
              </w:rPr>
              <w:t>Redline SOF to investigation findings; limit admission use</w:t>
            </w:r>
          </w:p>
        </w:tc>
      </w:tr>
      <w:tr>
        <w:tc>
          <w:tcPr>
            <w:tcW w:type="dxa" w:w="432"/>
          </w:tcPr>
          <w:p>
            <w:pPr>
              <w:spacing w:after="20"/>
            </w:pPr>
            <w:r/>
            <w:r>
              <w:rPr>
                <w:b w:val="0"/>
                <w:i w:val="0"/>
                <w:sz w:val="16"/>
              </w:rPr>
              <w:t>4</w:t>
            </w:r>
          </w:p>
        </w:tc>
        <w:tc>
          <w:tcPr>
            <w:tcW w:type="dxa" w:w="3168"/>
          </w:tcPr>
          <w:p>
            <w:pPr>
              <w:spacing w:after="20"/>
            </w:pPr>
            <w:r/>
            <w:r>
              <w:rPr>
                <w:b w:val="0"/>
                <w:i w:val="0"/>
                <w:sz w:val="16"/>
              </w:rPr>
              <w:t>Breach: sole discretion, any violation, no notice/cure/review, voids DPA</w:t>
            </w:r>
          </w:p>
        </w:tc>
        <w:tc>
          <w:tcPr>
            <w:tcW w:type="dxa" w:w="1872"/>
          </w:tcPr>
          <w:p>
            <w:pPr>
              <w:spacing w:after="20"/>
            </w:pPr>
            <w:r/>
            <w:r>
              <w:rPr>
                <w:b w:val="0"/>
                <w:i w:val="0"/>
                <w:sz w:val="16"/>
              </w:rPr>
              <w:t>§§ 12.1–12.3, 3.4, 5.3, 8.5, 9.5, 14.3</w:t>
            </w:r>
          </w:p>
        </w:tc>
        <w:tc>
          <w:tcPr>
            <w:tcW w:type="dxa" w:w="1080"/>
            <w:shd w:val="clear" w:color="auto" w:fill="C00000"/>
          </w:tcPr>
          <w:p>
            <w:pPr>
              <w:spacing w:after="20"/>
            </w:pPr>
            <w:r>
              <w:rPr>
                <w:b/>
                <w:color w:val="FFFFFF"/>
              </w:rPr>
            </w:r>
            <w:r>
              <w:rPr>
                <w:b/>
                <w:i w:val="0"/>
                <w:color w:val="FFFFFF"/>
                <w:sz w:val="16"/>
              </w:rPr>
              <w:t>Critical</w:t>
            </w:r>
          </w:p>
        </w:tc>
        <w:tc>
          <w:tcPr>
            <w:tcW w:type="dxa" w:w="2808"/>
          </w:tcPr>
          <w:p>
            <w:pPr>
              <w:spacing w:after="20"/>
            </w:pPr>
            <w:r/>
            <w:r>
              <w:rPr>
                <w:b w:val="0"/>
                <w:i w:val="0"/>
                <w:sz w:val="16"/>
              </w:rPr>
              <w:t>DOJ-standard enumerated breaches, notice + 30-day response, materiality, payment credit</w:t>
            </w:r>
          </w:p>
        </w:tc>
      </w:tr>
      <w:tr>
        <w:tc>
          <w:tcPr>
            <w:tcW w:type="dxa" w:w="432"/>
          </w:tcPr>
          <w:p>
            <w:pPr>
              <w:spacing w:after="20"/>
            </w:pPr>
            <w:r/>
            <w:r>
              <w:rPr>
                <w:b w:val="0"/>
                <w:i w:val="0"/>
                <w:sz w:val="16"/>
              </w:rPr>
              <w:t>5</w:t>
            </w:r>
          </w:p>
        </w:tc>
        <w:tc>
          <w:tcPr>
            <w:tcW w:type="dxa" w:w="3168"/>
          </w:tcPr>
          <w:p>
            <w:pPr>
              <w:spacing w:after="20"/>
            </w:pPr>
            <w:r/>
            <w:r>
              <w:rPr>
                <w:b w:val="0"/>
                <w:i w:val="0"/>
                <w:sz w:val="16"/>
              </w:rPr>
              <w:t>Compelled privilege / work-product waiver</w:t>
            </w:r>
          </w:p>
        </w:tc>
        <w:tc>
          <w:tcPr>
            <w:tcW w:type="dxa" w:w="1872"/>
          </w:tcPr>
          <w:p>
            <w:pPr>
              <w:spacing w:after="20"/>
            </w:pPr>
            <w:r/>
            <w:r>
              <w:rPr>
                <w:b w:val="0"/>
                <w:i w:val="0"/>
                <w:sz w:val="16"/>
              </w:rPr>
              <w:t>§§ 6.2, 9.2(d)</w:t>
            </w:r>
          </w:p>
        </w:tc>
        <w:tc>
          <w:tcPr>
            <w:tcW w:type="dxa" w:w="1080"/>
            <w:shd w:val="clear" w:color="auto" w:fill="C00000"/>
          </w:tcPr>
          <w:p>
            <w:pPr>
              <w:spacing w:after="20"/>
            </w:pPr>
            <w:r>
              <w:rPr>
                <w:b/>
                <w:color w:val="FFFFFF"/>
              </w:rPr>
            </w:r>
            <w:r>
              <w:rPr>
                <w:b/>
                <w:i w:val="0"/>
                <w:color w:val="FFFFFF"/>
                <w:sz w:val="16"/>
              </w:rPr>
              <w:t>Critical</w:t>
            </w:r>
          </w:p>
        </w:tc>
        <w:tc>
          <w:tcPr>
            <w:tcW w:type="dxa" w:w="2808"/>
          </w:tcPr>
          <w:p>
            <w:pPr>
              <w:spacing w:after="20"/>
            </w:pPr>
            <w:r/>
            <w:r>
              <w:rPr>
                <w:b w:val="0"/>
                <w:i w:val="0"/>
                <w:sz w:val="16"/>
              </w:rPr>
              <w:t>No waiver; facts-only cooperation; FRE 502(d); Monitor excludes privileged material</w:t>
            </w:r>
          </w:p>
        </w:tc>
      </w:tr>
      <w:tr>
        <w:tc>
          <w:tcPr>
            <w:tcW w:type="dxa" w:w="432"/>
          </w:tcPr>
          <w:p>
            <w:pPr>
              <w:spacing w:after="20"/>
            </w:pPr>
            <w:r/>
            <w:r>
              <w:rPr>
                <w:b w:val="0"/>
                <w:i w:val="0"/>
                <w:sz w:val="16"/>
              </w:rPr>
              <w:t>6</w:t>
            </w:r>
          </w:p>
        </w:tc>
        <w:tc>
          <w:tcPr>
            <w:tcW w:type="dxa" w:w="3168"/>
          </w:tcPr>
          <w:p>
            <w:pPr>
              <w:spacing w:after="20"/>
            </w:pPr>
            <w:r/>
            <w:r>
              <w:rPr>
                <w:b w:val="0"/>
                <w:i w:val="0"/>
                <w:sz w:val="16"/>
              </w:rPr>
              <w:t>Fourth installment falls due after Term; dismissal conditioned on full payment</w:t>
            </w:r>
          </w:p>
        </w:tc>
        <w:tc>
          <w:tcPr>
            <w:tcW w:type="dxa" w:w="1872"/>
          </w:tcPr>
          <w:p>
            <w:pPr>
              <w:spacing w:after="20"/>
            </w:pPr>
            <w:r/>
            <w:r>
              <w:rPr>
                <w:b w:val="0"/>
                <w:i w:val="0"/>
                <w:sz w:val="16"/>
              </w:rPr>
              <w:t>§§ 3.1, 3.3, 8.4(d)</w:t>
            </w:r>
          </w:p>
        </w:tc>
        <w:tc>
          <w:tcPr>
            <w:tcW w:type="dxa" w:w="1080"/>
            <w:shd w:val="clear" w:color="auto" w:fill="C00000"/>
          </w:tcPr>
          <w:p>
            <w:pPr>
              <w:spacing w:after="20"/>
            </w:pPr>
            <w:r>
              <w:rPr>
                <w:b/>
                <w:color w:val="FFFFFF"/>
              </w:rPr>
            </w:r>
            <w:r>
              <w:rPr>
                <w:b/>
                <w:i w:val="0"/>
                <w:color w:val="FFFFFF"/>
                <w:sz w:val="16"/>
              </w:rPr>
              <w:t>Critical</w:t>
            </w:r>
          </w:p>
        </w:tc>
        <w:tc>
          <w:tcPr>
            <w:tcW w:type="dxa" w:w="2808"/>
          </w:tcPr>
          <w:p>
            <w:pPr>
              <w:spacing w:after="20"/>
            </w:pPr>
            <w:r/>
            <w:r>
              <w:rPr>
                <w:b w:val="0"/>
                <w:i w:val="0"/>
                <w:sz w:val="16"/>
              </w:rPr>
              <w:t>Final installment on or before Jan. 31, 2028; business-day convention</w:t>
            </w:r>
          </w:p>
        </w:tc>
      </w:tr>
      <w:tr>
        <w:tc>
          <w:tcPr>
            <w:tcW w:type="dxa" w:w="432"/>
          </w:tcPr>
          <w:p>
            <w:pPr>
              <w:spacing w:after="20"/>
            </w:pPr>
            <w:r/>
            <w:r>
              <w:rPr>
                <w:b w:val="0"/>
                <w:i w:val="0"/>
                <w:sz w:val="16"/>
              </w:rPr>
              <w:t>7</w:t>
            </w:r>
          </w:p>
        </w:tc>
        <w:tc>
          <w:tcPr>
            <w:tcW w:type="dxa" w:w="3168"/>
          </w:tcPr>
          <w:p>
            <w:pPr>
              <w:spacing w:after="20"/>
            </w:pPr>
            <w:r/>
            <w:r>
              <w:rPr>
                <w:b w:val="0"/>
                <w:i w:val="0"/>
                <w:sz w:val="16"/>
              </w:rPr>
              <w:t>Successor liability sweeps in acquired entities (BioNovus) and divestiture buyers</w:t>
            </w:r>
          </w:p>
        </w:tc>
        <w:tc>
          <w:tcPr>
            <w:tcW w:type="dxa" w:w="1872"/>
          </w:tcPr>
          <w:p>
            <w:pPr>
              <w:spacing w:after="20"/>
            </w:pPr>
            <w:r/>
            <w:r>
              <w:rPr>
                <w:b w:val="0"/>
                <w:i w:val="0"/>
                <w:sz w:val="16"/>
              </w:rPr>
              <w:t>§§ 11.1–11.2, 9.2(c)</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Bind Company as of Effective Date; carve out acquisitions; integration period</w:t>
            </w:r>
          </w:p>
        </w:tc>
      </w:tr>
      <w:tr>
        <w:tc>
          <w:tcPr>
            <w:tcW w:type="dxa" w:w="432"/>
          </w:tcPr>
          <w:p>
            <w:pPr>
              <w:spacing w:after="20"/>
            </w:pPr>
            <w:r/>
            <w:r>
              <w:rPr>
                <w:b w:val="0"/>
                <w:i w:val="0"/>
                <w:sz w:val="16"/>
              </w:rPr>
              <w:t>8</w:t>
            </w:r>
          </w:p>
        </w:tc>
        <w:tc>
          <w:tcPr>
            <w:tcW w:type="dxa" w:w="3168"/>
          </w:tcPr>
          <w:p>
            <w:pPr>
              <w:spacing w:after="20"/>
            </w:pPr>
            <w:r/>
            <w:r>
              <w:rPr>
                <w:b w:val="0"/>
                <w:i w:val="0"/>
                <w:sz w:val="16"/>
              </w:rPr>
              <w:t>Monitor scope and access unlimited (all records, all board meetings)</w:t>
            </w:r>
          </w:p>
        </w:tc>
        <w:tc>
          <w:tcPr>
            <w:tcW w:type="dxa" w:w="1872"/>
          </w:tcPr>
          <w:p>
            <w:pPr>
              <w:spacing w:after="20"/>
            </w:pPr>
            <w:r/>
            <w:r>
              <w:rPr>
                <w:b w:val="0"/>
                <w:i w:val="0"/>
                <w:sz w:val="16"/>
              </w:rPr>
              <w:t>§§ 9.2, 9.3</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Limit to Neurovan/Cardivex commercial, HCP engagement, compliance; work plan; report process</w:t>
            </w:r>
          </w:p>
        </w:tc>
      </w:tr>
      <w:tr>
        <w:tc>
          <w:tcPr>
            <w:tcW w:type="dxa" w:w="432"/>
          </w:tcPr>
          <w:p>
            <w:pPr>
              <w:spacing w:after="20"/>
            </w:pPr>
            <w:r/>
            <w:r>
              <w:rPr>
                <w:b w:val="0"/>
                <w:i w:val="0"/>
                <w:sz w:val="16"/>
              </w:rPr>
              <w:t>9</w:t>
            </w:r>
          </w:p>
        </w:tc>
        <w:tc>
          <w:tcPr>
            <w:tcW w:type="dxa" w:w="3168"/>
          </w:tcPr>
          <w:p>
            <w:pPr>
              <w:spacing w:after="20"/>
            </w:pPr>
            <w:r/>
            <w:r>
              <w:rPr>
                <w:b w:val="0"/>
                <w:i w:val="0"/>
                <w:sz w:val="16"/>
              </w:rPr>
              <w:t>Monitor selection without Company input; Thornfield/Vantage conflict</w:t>
            </w:r>
          </w:p>
        </w:tc>
        <w:tc>
          <w:tcPr>
            <w:tcW w:type="dxa" w:w="1872"/>
          </w:tcPr>
          <w:p>
            <w:pPr>
              <w:spacing w:after="20"/>
            </w:pPr>
            <w:r/>
            <w:r>
              <w:rPr>
                <w:b w:val="0"/>
                <w:i w:val="0"/>
                <w:sz w:val="16"/>
              </w:rPr>
              <w:t>§ 9.1</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Company proposes three candidates; conflict certification; walls if Thornfield</w:t>
            </w:r>
          </w:p>
        </w:tc>
      </w:tr>
      <w:tr>
        <w:tc>
          <w:tcPr>
            <w:tcW w:type="dxa" w:w="432"/>
          </w:tcPr>
          <w:p>
            <w:pPr>
              <w:spacing w:after="20"/>
            </w:pPr>
            <w:r/>
            <w:r>
              <w:rPr>
                <w:b w:val="0"/>
                <w:i w:val="0"/>
                <w:sz w:val="16"/>
              </w:rPr>
              <w:t>10</w:t>
            </w:r>
          </w:p>
        </w:tc>
        <w:tc>
          <w:tcPr>
            <w:tcW w:type="dxa" w:w="3168"/>
          </w:tcPr>
          <w:p>
            <w:pPr>
              <w:spacing w:after="20"/>
            </w:pPr>
            <w:r/>
            <w:r>
              <w:rPr>
                <w:b w:val="0"/>
                <w:i w:val="0"/>
                <w:sz w:val="16"/>
              </w:rPr>
              <w:t>Monitor fees uncapped; full-term monitorship; unilateral extension</w:t>
            </w:r>
          </w:p>
        </w:tc>
        <w:tc>
          <w:tcPr>
            <w:tcW w:type="dxa" w:w="1872"/>
          </w:tcPr>
          <w:p>
            <w:pPr>
              <w:spacing w:after="20"/>
            </w:pPr>
            <w:r/>
            <w:r>
              <w:rPr>
                <w:b w:val="0"/>
                <w:i w:val="0"/>
                <w:sz w:val="16"/>
              </w:rPr>
              <w:t>§§ 9.1, 9.2(e), 9.4</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Annual budget cap; hybrid monitorship (24 + 12 months self-report)</w:t>
            </w:r>
          </w:p>
        </w:tc>
      </w:tr>
      <w:tr>
        <w:tc>
          <w:tcPr>
            <w:tcW w:type="dxa" w:w="432"/>
          </w:tcPr>
          <w:p>
            <w:pPr>
              <w:spacing w:after="20"/>
            </w:pPr>
            <w:r/>
            <w:r>
              <w:rPr>
                <w:b w:val="0"/>
                <w:i w:val="0"/>
                <w:sz w:val="16"/>
              </w:rPr>
              <w:t>11</w:t>
            </w:r>
          </w:p>
        </w:tc>
        <w:tc>
          <w:tcPr>
            <w:tcW w:type="dxa" w:w="3168"/>
          </w:tcPr>
          <w:p>
            <w:pPr>
              <w:spacing w:after="20"/>
            </w:pPr>
            <w:r/>
            <w:r>
              <w:rPr>
                <w:b w:val="0"/>
                <w:i w:val="0"/>
                <w:sz w:val="16"/>
              </w:rPr>
              <w:t>No global resolution (FCA release, OIG exclusion, states, relator)</w:t>
            </w:r>
          </w:p>
        </w:tc>
        <w:tc>
          <w:tcPr>
            <w:tcW w:type="dxa" w:w="1872"/>
          </w:tcPr>
          <w:p>
            <w:pPr>
              <w:spacing w:after="20"/>
            </w:pPr>
            <w:r/>
            <w:r>
              <w:rPr>
                <w:b w:val="0"/>
                <w:i w:val="0"/>
                <w:sz w:val="16"/>
              </w:rPr>
              <w:t>§§ 8.2–8.3 (absent)</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Simultaneous civil settlement with releases; OIG/CIA coordination; NAMFCU; relator release</w:t>
            </w:r>
          </w:p>
        </w:tc>
      </w:tr>
      <w:tr>
        <w:tc>
          <w:tcPr>
            <w:tcW w:type="dxa" w:w="432"/>
          </w:tcPr>
          <w:p>
            <w:pPr>
              <w:spacing w:after="20"/>
            </w:pPr>
            <w:r/>
            <w:r>
              <w:rPr>
                <w:b w:val="0"/>
                <w:i w:val="0"/>
                <w:sz w:val="16"/>
              </w:rPr>
              <w:t>12</w:t>
            </w:r>
          </w:p>
        </w:tc>
        <w:tc>
          <w:tcPr>
            <w:tcW w:type="dxa" w:w="3168"/>
          </w:tcPr>
          <w:p>
            <w:pPr>
              <w:spacing w:after="20"/>
            </w:pPr>
            <w:r/>
            <w:r>
              <w:rPr>
                <w:b w:val="0"/>
                <w:i w:val="0"/>
                <w:sz w:val="16"/>
              </w:rPr>
              <w:t>No Government covenants (non-prosecution of SOF conduct, referral, crediting)</w:t>
            </w:r>
          </w:p>
        </w:tc>
        <w:tc>
          <w:tcPr>
            <w:tcW w:type="dxa" w:w="1872"/>
          </w:tcPr>
          <w:p>
            <w:pPr>
              <w:spacing w:after="20"/>
            </w:pPr>
            <w:r/>
            <w:r>
              <w:rPr>
                <w:b w:val="0"/>
                <w:i w:val="0"/>
                <w:sz w:val="16"/>
              </w:rPr>
              <w:t>§ 3.2 (absent)</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Add DOJ-standard Government commitments; JM 1-12.100 crediting</w:t>
            </w:r>
          </w:p>
        </w:tc>
      </w:tr>
      <w:tr>
        <w:tc>
          <w:tcPr>
            <w:tcW w:type="dxa" w:w="432"/>
          </w:tcPr>
          <w:p>
            <w:pPr>
              <w:spacing w:after="20"/>
            </w:pPr>
            <w:r/>
            <w:r>
              <w:rPr>
                <w:b w:val="0"/>
                <w:i w:val="0"/>
                <w:sz w:val="16"/>
              </w:rPr>
              <w:t>13</w:t>
            </w:r>
          </w:p>
        </w:tc>
        <w:tc>
          <w:tcPr>
            <w:tcW w:type="dxa" w:w="3168"/>
          </w:tcPr>
          <w:p>
            <w:pPr>
              <w:spacing w:after="20"/>
            </w:pPr>
            <w:r/>
            <w:r>
              <w:rPr>
                <w:b w:val="0"/>
                <w:i w:val="0"/>
                <w:sz w:val="16"/>
              </w:rPr>
              <w:t>Gag clauses bar contrary statements and litigation positions</w:t>
            </w:r>
          </w:p>
        </w:tc>
        <w:tc>
          <w:tcPr>
            <w:tcW w:type="dxa" w:w="1872"/>
          </w:tcPr>
          <w:p>
            <w:pPr>
              <w:spacing w:after="20"/>
            </w:pPr>
            <w:r/>
            <w:r>
              <w:rPr>
                <w:b w:val="0"/>
                <w:i w:val="0"/>
                <w:sz w:val="16"/>
              </w:rPr>
              <w:t>§§ 5.2, 5.3, 14.1–14.3</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DOJ-standard clause with repudiation cure and litigation/individual carve-outs</w:t>
            </w:r>
          </w:p>
        </w:tc>
      </w:tr>
      <w:tr>
        <w:tc>
          <w:tcPr>
            <w:tcW w:type="dxa" w:w="432"/>
          </w:tcPr>
          <w:p>
            <w:pPr>
              <w:spacing w:after="20"/>
            </w:pPr>
            <w:r/>
            <w:r>
              <w:rPr>
                <w:b w:val="0"/>
                <w:i w:val="0"/>
                <w:sz w:val="16"/>
              </w:rPr>
              <w:t>14</w:t>
            </w:r>
          </w:p>
        </w:tc>
        <w:tc>
          <w:tcPr>
            <w:tcW w:type="dxa" w:w="3168"/>
          </w:tcPr>
          <w:p>
            <w:pPr>
              <w:spacing w:after="20"/>
            </w:pPr>
            <w:r/>
            <w:r>
              <w:rPr>
                <w:b w:val="0"/>
                <w:i w:val="0"/>
                <w:sz w:val="16"/>
              </w:rPr>
              <w:t>Statute of limitations and time-based waivers overbroad</w:t>
            </w:r>
          </w:p>
        </w:tc>
        <w:tc>
          <w:tcPr>
            <w:tcW w:type="dxa" w:w="1872"/>
          </w:tcPr>
          <w:p>
            <w:pPr>
              <w:spacing w:after="20"/>
            </w:pPr>
            <w:r/>
            <w:r>
              <w:rPr>
                <w:b w:val="0"/>
                <w:i w:val="0"/>
                <w:sz w:val="16"/>
              </w:rPr>
              <w:t>§§ 5.4, 12.2(d)</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Limit to claims not time-barred at signing; Term + 1 year</w:t>
            </w:r>
          </w:p>
        </w:tc>
      </w:tr>
      <w:tr>
        <w:tc>
          <w:tcPr>
            <w:tcW w:type="dxa" w:w="432"/>
          </w:tcPr>
          <w:p>
            <w:pPr>
              <w:spacing w:after="20"/>
            </w:pPr>
            <w:r/>
            <w:r>
              <w:rPr>
                <w:b w:val="0"/>
                <w:i w:val="0"/>
                <w:sz w:val="16"/>
              </w:rPr>
              <w:t>15</w:t>
            </w:r>
          </w:p>
        </w:tc>
        <w:tc>
          <w:tcPr>
            <w:tcW w:type="dxa" w:w="3168"/>
          </w:tcPr>
          <w:p>
            <w:pPr>
              <w:spacing w:after="20"/>
            </w:pPr>
            <w:r/>
            <w:r>
              <w:rPr>
                <w:b w:val="0"/>
                <w:i w:val="0"/>
                <w:sz w:val="16"/>
              </w:rPr>
              <w:t>72-hour self-reporting of any “potential” federal crime</w:t>
            </w:r>
          </w:p>
        </w:tc>
        <w:tc>
          <w:tcPr>
            <w:tcW w:type="dxa" w:w="1872"/>
          </w:tcPr>
          <w:p>
            <w:pPr>
              <w:spacing w:after="20"/>
            </w:pPr>
            <w:r/>
            <w:r>
              <w:rPr>
                <w:b w:val="0"/>
                <w:i w:val="0"/>
                <w:sz w:val="16"/>
              </w:rPr>
              <w:t>§ 6.4</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Limit statutes, credible-evidence trigger, reasonable period</w:t>
            </w:r>
          </w:p>
        </w:tc>
      </w:tr>
      <w:tr>
        <w:tc>
          <w:tcPr>
            <w:tcW w:type="dxa" w:w="432"/>
          </w:tcPr>
          <w:p>
            <w:pPr>
              <w:spacing w:after="20"/>
            </w:pPr>
            <w:r/>
            <w:r>
              <w:rPr>
                <w:b w:val="0"/>
                <w:i w:val="0"/>
                <w:sz w:val="16"/>
              </w:rPr>
              <w:t>16</w:t>
            </w:r>
          </w:p>
        </w:tc>
        <w:tc>
          <w:tcPr>
            <w:tcW w:type="dxa" w:w="3168"/>
          </w:tcPr>
          <w:p>
            <w:pPr>
              <w:spacing w:after="20"/>
            </w:pPr>
            <w:r/>
            <w:r>
              <w:rPr>
                <w:b w:val="0"/>
                <w:i w:val="0"/>
                <w:sz w:val="16"/>
              </w:rPr>
              <w:t>Unqualified representations; Board approval predates negotiation; unreconciled financial data</w:t>
            </w:r>
          </w:p>
        </w:tc>
        <w:tc>
          <w:tcPr>
            <w:tcW w:type="dxa" w:w="1872"/>
          </w:tcPr>
          <w:p>
            <w:pPr>
              <w:spacing w:after="20"/>
            </w:pPr>
            <w:r/>
            <w:r>
              <w:rPr>
                <w:b w:val="0"/>
                <w:i w:val="0"/>
                <w:sz w:val="16"/>
              </w:rPr>
              <w:t>§§ 13.1–13.4</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Knowledge qualifiers; re-approve after Jan. 15; reconcile data</w:t>
            </w:r>
          </w:p>
        </w:tc>
      </w:tr>
      <w:tr>
        <w:tc>
          <w:tcPr>
            <w:tcW w:type="dxa" w:w="432"/>
          </w:tcPr>
          <w:p>
            <w:pPr>
              <w:spacing w:after="20"/>
            </w:pPr>
            <w:r/>
            <w:r>
              <w:rPr>
                <w:b w:val="0"/>
                <w:i w:val="0"/>
                <w:sz w:val="16"/>
              </w:rPr>
              <w:t>17</w:t>
            </w:r>
          </w:p>
        </w:tc>
        <w:tc>
          <w:tcPr>
            <w:tcW w:type="dxa" w:w="3168"/>
          </w:tcPr>
          <w:p>
            <w:pPr>
              <w:spacing w:after="20"/>
            </w:pPr>
            <w:r/>
            <w:r>
              <w:rPr>
                <w:b w:val="0"/>
                <w:i w:val="0"/>
                <w:sz w:val="16"/>
              </w:rPr>
              <w:t>Payment schedule clustered with BioNovus; 15-day late payment = breach</w:t>
            </w:r>
          </w:p>
        </w:tc>
        <w:tc>
          <w:tcPr>
            <w:tcW w:type="dxa" w:w="1872"/>
          </w:tcPr>
          <w:p>
            <w:pPr>
              <w:spacing w:after="20"/>
            </w:pPr>
            <w:r/>
            <w:r>
              <w:rPr>
                <w:b w:val="0"/>
                <w:i w:val="0"/>
                <w:sz w:val="16"/>
              </w:rPr>
              <w:t>§§ 8.4, 8.5</w:t>
            </w:r>
          </w:p>
        </w:tc>
        <w:tc>
          <w:tcPr>
            <w:tcW w:type="dxa" w:w="1080"/>
            <w:shd w:val="clear" w:color="auto" w:fill="E26B0A"/>
          </w:tcPr>
          <w:p>
            <w:pPr>
              <w:spacing w:after="20"/>
            </w:pPr>
            <w:r>
              <w:rPr>
                <w:b/>
                <w:color w:val="FFFFFF"/>
              </w:rPr>
            </w:r>
            <w:r>
              <w:rPr>
                <w:b/>
                <w:i w:val="0"/>
                <w:color w:val="FFFFFF"/>
                <w:sz w:val="16"/>
              </w:rPr>
              <w:t>High</w:t>
            </w:r>
          </w:p>
        </w:tc>
        <w:tc>
          <w:tcPr>
            <w:tcW w:type="dxa" w:w="2808"/>
          </w:tcPr>
          <w:p>
            <w:pPr>
              <w:spacing w:after="20"/>
            </w:pPr>
            <w:r/>
            <w:r>
              <w:rPr>
                <w:b w:val="0"/>
                <w:i w:val="0"/>
                <w:sz w:val="16"/>
              </w:rPr>
              <w:t>Civil installments or deferred date; notice and cure; prepayment right</w:t>
            </w:r>
          </w:p>
        </w:tc>
      </w:tr>
      <w:tr>
        <w:tc>
          <w:tcPr>
            <w:tcW w:type="dxa" w:w="432"/>
          </w:tcPr>
          <w:p>
            <w:pPr>
              <w:spacing w:after="20"/>
            </w:pPr>
            <w:r/>
            <w:r>
              <w:rPr>
                <w:b w:val="0"/>
                <w:i w:val="0"/>
                <w:sz w:val="16"/>
              </w:rPr>
              <w:t>18</w:t>
            </w:r>
          </w:p>
        </w:tc>
        <w:tc>
          <w:tcPr>
            <w:tcW w:type="dxa" w:w="3168"/>
          </w:tcPr>
          <w:p>
            <w:pPr>
              <w:spacing w:after="20"/>
            </w:pPr>
            <w:r/>
            <w:r>
              <w:rPr>
                <w:b w:val="0"/>
                <w:i w:val="0"/>
                <w:sz w:val="16"/>
              </w:rPr>
              <w:t>Cooperation scope (all agencies, related matters, former employees, preservation)</w:t>
            </w:r>
          </w:p>
        </w:tc>
        <w:tc>
          <w:tcPr>
            <w:tcW w:type="dxa" w:w="1872"/>
          </w:tcPr>
          <w:p>
            <w:pPr>
              <w:spacing w:after="20"/>
            </w:pPr>
            <w:r/>
            <w:r>
              <w:rPr>
                <w:b w:val="0"/>
                <w:i w:val="0"/>
                <w:sz w:val="16"/>
              </w:rPr>
              <w:t>§§ 6.1, 6.3, 6.5, 12.2(f)</w:t>
            </w:r>
          </w:p>
        </w:tc>
        <w:tc>
          <w:tcPr>
            <w:tcW w:type="dxa" w:w="1080"/>
            <w:shd w:val="clear" w:color="auto" w:fill="BF9000"/>
          </w:tcPr>
          <w:p>
            <w:pPr>
              <w:spacing w:after="20"/>
            </w:pPr>
            <w:r>
              <w:rPr>
                <w:b/>
                <w:color w:val="FFFFFF"/>
              </w:rPr>
            </w:r>
            <w:r>
              <w:rPr>
                <w:b/>
                <w:i w:val="0"/>
                <w:color w:val="FFFFFF"/>
                <w:sz w:val="16"/>
              </w:rPr>
              <w:t>Medium</w:t>
            </w:r>
          </w:p>
        </w:tc>
        <w:tc>
          <w:tcPr>
            <w:tcW w:type="dxa" w:w="2808"/>
          </w:tcPr>
          <w:p>
            <w:pPr>
              <w:spacing w:after="20"/>
            </w:pPr>
            <w:r/>
            <w:r>
              <w:rPr>
                <w:b w:val="0"/>
                <w:i w:val="0"/>
                <w:sz w:val="16"/>
              </w:rPr>
              <w:t>Limit to USAO-directed agencies; reasonable efforts; sunset</w:t>
            </w:r>
          </w:p>
        </w:tc>
      </w:tr>
      <w:tr>
        <w:tc>
          <w:tcPr>
            <w:tcW w:type="dxa" w:w="432"/>
          </w:tcPr>
          <w:p>
            <w:pPr>
              <w:spacing w:after="20"/>
            </w:pPr>
            <w:r/>
            <w:r>
              <w:rPr>
                <w:b w:val="0"/>
                <w:i w:val="0"/>
                <w:sz w:val="16"/>
              </w:rPr>
              <w:t>19</w:t>
            </w:r>
          </w:p>
        </w:tc>
        <w:tc>
          <w:tcPr>
            <w:tcW w:type="dxa" w:w="3168"/>
          </w:tcPr>
          <w:p>
            <w:pPr>
              <w:spacing w:after="20"/>
            </w:pPr>
            <w:r/>
            <w:r>
              <w:rPr>
                <w:b w:val="0"/>
                <w:i w:val="0"/>
                <w:sz w:val="16"/>
              </w:rPr>
              <w:t>Quarterly training for all ~2,800 commercial personnel</w:t>
            </w:r>
          </w:p>
        </w:tc>
        <w:tc>
          <w:tcPr>
            <w:tcW w:type="dxa" w:w="1872"/>
          </w:tcPr>
          <w:p>
            <w:pPr>
              <w:spacing w:after="20"/>
            </w:pPr>
            <w:r/>
            <w:r>
              <w:rPr>
                <w:b w:val="0"/>
                <w:i w:val="0"/>
                <w:sz w:val="16"/>
              </w:rPr>
              <w:t>§ 7.6</w:t>
            </w:r>
          </w:p>
        </w:tc>
        <w:tc>
          <w:tcPr>
            <w:tcW w:type="dxa" w:w="1080"/>
            <w:shd w:val="clear" w:color="auto" w:fill="BF9000"/>
          </w:tcPr>
          <w:p>
            <w:pPr>
              <w:spacing w:after="20"/>
            </w:pPr>
            <w:r>
              <w:rPr>
                <w:b/>
                <w:color w:val="FFFFFF"/>
              </w:rPr>
            </w:r>
            <w:r>
              <w:rPr>
                <w:b/>
                <w:i w:val="0"/>
                <w:color w:val="FFFFFF"/>
                <w:sz w:val="16"/>
              </w:rPr>
              <w:t>Medium</w:t>
            </w:r>
          </w:p>
        </w:tc>
        <w:tc>
          <w:tcPr>
            <w:tcW w:type="dxa" w:w="2808"/>
          </w:tcPr>
          <w:p>
            <w:pPr>
              <w:spacing w:after="20"/>
            </w:pPr>
            <w:r/>
            <w:r>
              <w:rPr>
                <w:b w:val="0"/>
                <w:i w:val="0"/>
                <w:sz w:val="16"/>
              </w:rPr>
              <w:t>Annual for all; quarterly for 600–800 high-risk roles</w:t>
            </w:r>
          </w:p>
        </w:tc>
      </w:tr>
      <w:tr>
        <w:tc>
          <w:tcPr>
            <w:tcW w:type="dxa" w:w="432"/>
          </w:tcPr>
          <w:p>
            <w:pPr>
              <w:spacing w:after="20"/>
            </w:pPr>
            <w:r/>
            <w:r>
              <w:rPr>
                <w:b w:val="0"/>
                <w:i w:val="0"/>
                <w:sz w:val="16"/>
              </w:rPr>
              <w:t>20</w:t>
            </w:r>
          </w:p>
        </w:tc>
        <w:tc>
          <w:tcPr>
            <w:tcW w:type="dxa" w:w="3168"/>
          </w:tcPr>
          <w:p>
            <w:pPr>
              <w:spacing w:after="20"/>
            </w:pPr>
            <w:r/>
            <w:r>
              <w:rPr>
                <w:b w:val="0"/>
                <w:i w:val="0"/>
                <w:sz w:val="16"/>
              </w:rPr>
              <w:t>Speaker program mandates (100% attendance; top-decile ban conflicts with vetting)</w:t>
            </w:r>
          </w:p>
        </w:tc>
        <w:tc>
          <w:tcPr>
            <w:tcW w:type="dxa" w:w="1872"/>
          </w:tcPr>
          <w:p>
            <w:pPr>
              <w:spacing w:after="20"/>
            </w:pPr>
            <w:r/>
            <w:r>
              <w:rPr>
                <w:b w:val="0"/>
                <w:i w:val="0"/>
                <w:sz w:val="16"/>
              </w:rPr>
              <w:t>§ 7.3</w:t>
            </w:r>
          </w:p>
        </w:tc>
        <w:tc>
          <w:tcPr>
            <w:tcW w:type="dxa" w:w="1080"/>
            <w:shd w:val="clear" w:color="auto" w:fill="BF9000"/>
          </w:tcPr>
          <w:p>
            <w:pPr>
              <w:spacing w:after="20"/>
            </w:pPr>
            <w:r>
              <w:rPr>
                <w:b/>
                <w:color w:val="FFFFFF"/>
              </w:rPr>
            </w:r>
            <w:r>
              <w:rPr>
                <w:b/>
                <w:i w:val="0"/>
                <w:color w:val="FFFFFF"/>
                <w:sz w:val="16"/>
              </w:rPr>
              <w:t>Medium</w:t>
            </w:r>
          </w:p>
        </w:tc>
        <w:tc>
          <w:tcPr>
            <w:tcW w:type="dxa" w:w="2808"/>
          </w:tcPr>
          <w:p>
            <w:pPr>
              <w:spacing w:after="20"/>
            </w:pPr>
            <w:r/>
            <w:r>
              <w:rPr>
                <w:b w:val="0"/>
                <w:i w:val="0"/>
                <w:sz w:val="16"/>
              </w:rPr>
              <w:t>Risk-based monitoring; replace ban with selection-criteria rule</w:t>
            </w:r>
          </w:p>
        </w:tc>
      </w:tr>
      <w:tr>
        <w:tc>
          <w:tcPr>
            <w:tcW w:type="dxa" w:w="432"/>
          </w:tcPr>
          <w:p>
            <w:pPr>
              <w:spacing w:after="20"/>
            </w:pPr>
            <w:r/>
            <w:r>
              <w:rPr>
                <w:b w:val="0"/>
                <w:i w:val="0"/>
                <w:sz w:val="16"/>
              </w:rPr>
              <w:t>21</w:t>
            </w:r>
          </w:p>
        </w:tc>
        <w:tc>
          <w:tcPr>
            <w:tcW w:type="dxa" w:w="3168"/>
          </w:tcPr>
          <w:p>
            <w:pPr>
              <w:spacing w:after="20"/>
            </w:pPr>
            <w:r/>
            <w:r>
              <w:rPr>
                <w:b w:val="0"/>
                <w:i w:val="0"/>
                <w:sz w:val="16"/>
              </w:rPr>
              <w:t>Scope creep: government pricing review; compensation and certification mechanics</w:t>
            </w:r>
          </w:p>
        </w:tc>
        <w:tc>
          <w:tcPr>
            <w:tcW w:type="dxa" w:w="1872"/>
          </w:tcPr>
          <w:p>
            <w:pPr>
              <w:spacing w:after="20"/>
            </w:pPr>
            <w:r/>
            <w:r>
              <w:rPr>
                <w:b w:val="0"/>
                <w:i w:val="0"/>
                <w:sz w:val="16"/>
              </w:rPr>
              <w:t>§§ 7.5, 7.9(c)–(e)</w:t>
            </w:r>
          </w:p>
        </w:tc>
        <w:tc>
          <w:tcPr>
            <w:tcW w:type="dxa" w:w="1080"/>
            <w:shd w:val="clear" w:color="auto" w:fill="BF9000"/>
          </w:tcPr>
          <w:p>
            <w:pPr>
              <w:spacing w:after="20"/>
            </w:pPr>
            <w:r>
              <w:rPr>
                <w:b/>
                <w:color w:val="FFFFFF"/>
              </w:rPr>
            </w:r>
            <w:r>
              <w:rPr>
                <w:b/>
                <w:i w:val="0"/>
                <w:color w:val="FFFFFF"/>
                <w:sz w:val="16"/>
              </w:rPr>
              <w:t>Medium</w:t>
            </w:r>
          </w:p>
        </w:tc>
        <w:tc>
          <w:tcPr>
            <w:tcW w:type="dxa" w:w="2808"/>
          </w:tcPr>
          <w:p>
            <w:pPr>
              <w:spacing w:after="20"/>
            </w:pPr>
            <w:r/>
            <w:r>
              <w:rPr>
                <w:b w:val="0"/>
                <w:i w:val="0"/>
                <w:sz w:val="16"/>
              </w:rPr>
              <w:t>Delete 7.9(e) or fold into risk assessment</w:t>
            </w:r>
          </w:p>
        </w:tc>
      </w:tr>
      <w:tr>
        <w:tc>
          <w:tcPr>
            <w:tcW w:type="dxa" w:w="432"/>
          </w:tcPr>
          <w:p>
            <w:pPr>
              <w:spacing w:after="20"/>
            </w:pPr>
            <w:r/>
            <w:r>
              <w:rPr>
                <w:b w:val="0"/>
                <w:i w:val="0"/>
                <w:sz w:val="16"/>
              </w:rPr>
              <w:t>22</w:t>
            </w:r>
          </w:p>
        </w:tc>
        <w:tc>
          <w:tcPr>
            <w:tcW w:type="dxa" w:w="3168"/>
          </w:tcPr>
          <w:p>
            <w:pPr>
              <w:spacing w:after="20"/>
            </w:pPr>
            <w:r/>
            <w:r>
              <w:rPr>
                <w:b w:val="0"/>
                <w:i w:val="0"/>
                <w:sz w:val="16"/>
              </w:rPr>
              <w:t>Mandated terminations; naming uncharged individuals</w:t>
            </w:r>
          </w:p>
        </w:tc>
        <w:tc>
          <w:tcPr>
            <w:tcW w:type="dxa" w:w="1872"/>
          </w:tcPr>
          <w:p>
            <w:pPr>
              <w:spacing w:after="20"/>
            </w:pPr>
            <w:r/>
            <w:r>
              <w:rPr>
                <w:b w:val="0"/>
                <w:i w:val="0"/>
                <w:sz w:val="16"/>
              </w:rPr>
              <w:t>§§ 4.5, 4.6, 10.1; Ex. A ¶¶ 3, 7, 10, 14, 20</w:t>
            </w:r>
          </w:p>
        </w:tc>
        <w:tc>
          <w:tcPr>
            <w:tcW w:type="dxa" w:w="1080"/>
            <w:shd w:val="clear" w:color="auto" w:fill="BF9000"/>
          </w:tcPr>
          <w:p>
            <w:pPr>
              <w:spacing w:after="20"/>
            </w:pPr>
            <w:r>
              <w:rPr>
                <w:b/>
                <w:color w:val="FFFFFF"/>
              </w:rPr>
            </w:r>
            <w:r>
              <w:rPr>
                <w:b/>
                <w:i w:val="0"/>
                <w:color w:val="FFFFFF"/>
                <w:sz w:val="16"/>
              </w:rPr>
              <w:t>Medium</w:t>
            </w:r>
          </w:p>
        </w:tc>
        <w:tc>
          <w:tcPr>
            <w:tcW w:type="dxa" w:w="2808"/>
          </w:tcPr>
          <w:p>
            <w:pPr>
              <w:spacing w:after="20"/>
            </w:pPr>
            <w:r/>
            <w:r>
              <w:rPr>
                <w:b w:val="0"/>
                <w:i w:val="0"/>
                <w:sz w:val="16"/>
              </w:rPr>
              <w:t>Company-directed discipline; anonymize per JM 9-27.760</w:t>
            </w:r>
          </w:p>
        </w:tc>
      </w:tr>
      <w:tr>
        <w:tc>
          <w:tcPr>
            <w:tcW w:type="dxa" w:w="432"/>
          </w:tcPr>
          <w:p>
            <w:pPr>
              <w:spacing w:after="20"/>
            </w:pPr>
            <w:r/>
            <w:r>
              <w:rPr>
                <w:b w:val="0"/>
                <w:i w:val="0"/>
                <w:sz w:val="16"/>
              </w:rPr>
              <w:t>23</w:t>
            </w:r>
          </w:p>
        </w:tc>
        <w:tc>
          <w:tcPr>
            <w:tcW w:type="dxa" w:w="3168"/>
          </w:tcPr>
          <w:p>
            <w:pPr>
              <w:spacing w:after="20"/>
            </w:pPr>
            <w:r/>
            <w:r>
              <w:rPr>
                <w:b w:val="0"/>
                <w:i w:val="0"/>
                <w:sz w:val="16"/>
              </w:rPr>
              <w:t>Charging instrument: FCA (civil) cited as a criminal count</w:t>
            </w:r>
          </w:p>
        </w:tc>
        <w:tc>
          <w:tcPr>
            <w:tcW w:type="dxa" w:w="1872"/>
          </w:tcPr>
          <w:p>
            <w:pPr>
              <w:spacing w:after="20"/>
            </w:pPr>
            <w:r/>
            <w:r>
              <w:rPr>
                <w:b w:val="0"/>
                <w:i w:val="0"/>
                <w:sz w:val="16"/>
              </w:rPr>
              <w:t>Preamble § 1</w:t>
            </w:r>
          </w:p>
        </w:tc>
        <w:tc>
          <w:tcPr>
            <w:tcW w:type="dxa" w:w="1080"/>
            <w:shd w:val="clear" w:color="auto" w:fill="BF9000"/>
          </w:tcPr>
          <w:p>
            <w:pPr>
              <w:spacing w:after="20"/>
            </w:pPr>
            <w:r>
              <w:rPr>
                <w:b/>
                <w:color w:val="FFFFFF"/>
              </w:rPr>
            </w:r>
            <w:r>
              <w:rPr>
                <w:b/>
                <w:i w:val="0"/>
                <w:color w:val="FFFFFF"/>
                <w:sz w:val="16"/>
              </w:rPr>
              <w:t>Medium</w:t>
            </w:r>
          </w:p>
        </w:tc>
        <w:tc>
          <w:tcPr>
            <w:tcW w:type="dxa" w:w="2808"/>
          </w:tcPr>
          <w:p>
            <w:pPr>
              <w:spacing w:after="20"/>
            </w:pPr>
            <w:r/>
            <w:r>
              <w:rPr>
                <w:b w:val="0"/>
                <w:i w:val="0"/>
                <w:sz w:val="16"/>
              </w:rPr>
              <w:t>Single count under 18 U.S.C. § 371; review draft Information</w:t>
            </w:r>
          </w:p>
        </w:tc>
      </w:tr>
      <w:tr>
        <w:tc>
          <w:tcPr>
            <w:tcW w:type="dxa" w:w="432"/>
          </w:tcPr>
          <w:p>
            <w:pPr>
              <w:spacing w:after="20"/>
            </w:pPr>
            <w:r/>
            <w:r>
              <w:rPr>
                <w:b w:val="0"/>
                <w:i w:val="0"/>
                <w:sz w:val="16"/>
              </w:rPr>
              <w:t>24</w:t>
            </w:r>
          </w:p>
        </w:tc>
        <w:tc>
          <w:tcPr>
            <w:tcW w:type="dxa" w:w="3168"/>
          </w:tcPr>
          <w:p>
            <w:pPr>
              <w:spacing w:after="20"/>
            </w:pPr>
            <w:r/>
            <w:r>
              <w:rPr>
                <w:b w:val="0"/>
                <w:i w:val="0"/>
                <w:sz w:val="16"/>
              </w:rPr>
              <w:t>Tax: restitution identification under IRC § 162(f)(2)(A)(ii)</w:t>
            </w:r>
          </w:p>
        </w:tc>
        <w:tc>
          <w:tcPr>
            <w:tcW w:type="dxa" w:w="1872"/>
          </w:tcPr>
          <w:p>
            <w:pPr>
              <w:spacing w:after="20"/>
            </w:pPr>
            <w:r/>
            <w:r>
              <w:rPr>
                <w:b w:val="0"/>
                <w:i w:val="0"/>
                <w:sz w:val="16"/>
              </w:rPr>
              <w:t>§ 8.2</w:t>
            </w:r>
          </w:p>
        </w:tc>
        <w:tc>
          <w:tcPr>
            <w:tcW w:type="dxa" w:w="1080"/>
            <w:shd w:val="clear" w:color="auto" w:fill="BF9000"/>
          </w:tcPr>
          <w:p>
            <w:pPr>
              <w:spacing w:after="20"/>
            </w:pPr>
            <w:r>
              <w:rPr>
                <w:b/>
                <w:color w:val="FFFFFF"/>
              </w:rPr>
            </w:r>
            <w:r>
              <w:rPr>
                <w:b/>
                <w:i w:val="0"/>
                <w:color w:val="FFFFFF"/>
                <w:sz w:val="16"/>
              </w:rPr>
              <w:t>Medium</w:t>
            </w:r>
          </w:p>
        </w:tc>
        <w:tc>
          <w:tcPr>
            <w:tcW w:type="dxa" w:w="2808"/>
          </w:tcPr>
          <w:p>
            <w:pPr>
              <w:spacing w:after="20"/>
            </w:pPr>
            <w:r/>
            <w:r>
              <w:rPr>
                <w:b w:val="0"/>
                <w:i w:val="0"/>
                <w:sz w:val="16"/>
              </w:rPr>
              <w:t>Express identification and allocation language (~$11.4M value)</w:t>
            </w:r>
          </w:p>
        </w:tc>
      </w:tr>
      <w:tr>
        <w:tc>
          <w:tcPr>
            <w:tcW w:type="dxa" w:w="432"/>
          </w:tcPr>
          <w:p>
            <w:pPr>
              <w:spacing w:after="20"/>
            </w:pPr>
            <w:r/>
            <w:r>
              <w:rPr>
                <w:b w:val="0"/>
                <w:i w:val="0"/>
                <w:sz w:val="16"/>
              </w:rPr>
              <w:t>25</w:t>
            </w:r>
          </w:p>
        </w:tc>
        <w:tc>
          <w:tcPr>
            <w:tcW w:type="dxa" w:w="3168"/>
          </w:tcPr>
          <w:p>
            <w:pPr>
              <w:spacing w:after="20"/>
            </w:pPr>
            <w:r/>
            <w:r>
              <w:rPr>
                <w:b w:val="0"/>
                <w:i w:val="0"/>
                <w:sz w:val="16"/>
              </w:rPr>
              <w:t>Subjective dismissal condition; unilateral Term and Monitor extensions</w:t>
            </w:r>
          </w:p>
        </w:tc>
        <w:tc>
          <w:tcPr>
            <w:tcW w:type="dxa" w:w="1872"/>
          </w:tcPr>
          <w:p>
            <w:pPr>
              <w:spacing w:after="20"/>
            </w:pPr>
            <w:r/>
            <w:r>
              <w:rPr>
                <w:b w:val="0"/>
                <w:i w:val="0"/>
                <w:sz w:val="16"/>
              </w:rPr>
              <w:t>§§ 3.3, 3.5, 9.1</w:t>
            </w:r>
          </w:p>
        </w:tc>
        <w:tc>
          <w:tcPr>
            <w:tcW w:type="dxa" w:w="1080"/>
            <w:shd w:val="clear" w:color="auto" w:fill="BF9000"/>
          </w:tcPr>
          <w:p>
            <w:pPr>
              <w:spacing w:after="20"/>
            </w:pPr>
            <w:r>
              <w:rPr>
                <w:b/>
                <w:color w:val="FFFFFF"/>
              </w:rPr>
            </w:r>
            <w:r>
              <w:rPr>
                <w:b/>
                <w:i w:val="0"/>
                <w:color w:val="FFFFFF"/>
                <w:sz w:val="16"/>
              </w:rPr>
              <w:t>Medium</w:t>
            </w:r>
          </w:p>
        </w:tc>
        <w:tc>
          <w:tcPr>
            <w:tcW w:type="dxa" w:w="2808"/>
          </w:tcPr>
          <w:p>
            <w:pPr>
              <w:spacing w:after="20"/>
            </w:pPr>
            <w:r/>
            <w:r>
              <w:rPr>
                <w:b w:val="0"/>
                <w:i w:val="0"/>
                <w:sz w:val="16"/>
              </w:rPr>
              <w:t>Objective dismissal standard; extension only after breach process</w:t>
            </w:r>
          </w:p>
        </w:tc>
      </w:tr>
      <w:tr>
        <w:tc>
          <w:tcPr>
            <w:tcW w:type="dxa" w:w="432"/>
          </w:tcPr>
          <w:p>
            <w:pPr>
              <w:spacing w:after="20"/>
            </w:pPr>
            <w:r/>
            <w:r>
              <w:rPr>
                <w:b w:val="0"/>
                <w:i w:val="0"/>
                <w:sz w:val="16"/>
              </w:rPr>
              <w:t>26</w:t>
            </w:r>
          </w:p>
        </w:tc>
        <w:tc>
          <w:tcPr>
            <w:tcW w:type="dxa" w:w="3168"/>
          </w:tcPr>
          <w:p>
            <w:pPr>
              <w:spacing w:after="20"/>
            </w:pPr>
            <w:r/>
            <w:r>
              <w:rPr>
                <w:b w:val="0"/>
                <w:i w:val="0"/>
                <w:sz w:val="16"/>
              </w:rPr>
              <w:t>Meridian email chain likely not privileged; producible under § 6.2</w:t>
            </w:r>
          </w:p>
        </w:tc>
        <w:tc>
          <w:tcPr>
            <w:tcW w:type="dxa" w:w="1872"/>
          </w:tcPr>
          <w:p>
            <w:pPr>
              <w:spacing w:after="20"/>
            </w:pPr>
            <w:r/>
            <w:r>
              <w:rPr>
                <w:b w:val="0"/>
                <w:i w:val="0"/>
                <w:sz w:val="16"/>
              </w:rPr>
              <w:t>Collateral; § 6.2</w:t>
            </w:r>
          </w:p>
        </w:tc>
        <w:tc>
          <w:tcPr>
            <w:tcW w:type="dxa" w:w="1080"/>
            <w:shd w:val="clear" w:color="auto" w:fill="BF9000"/>
          </w:tcPr>
          <w:p>
            <w:pPr>
              <w:spacing w:after="20"/>
            </w:pPr>
            <w:r>
              <w:rPr>
                <w:b/>
                <w:color w:val="FFFFFF"/>
              </w:rPr>
            </w:r>
            <w:r>
              <w:rPr>
                <w:b/>
                <w:i w:val="0"/>
                <w:color w:val="FFFFFF"/>
                <w:sz w:val="16"/>
              </w:rPr>
              <w:t>Medium</w:t>
            </w:r>
          </w:p>
        </w:tc>
        <w:tc>
          <w:tcPr>
            <w:tcW w:type="dxa" w:w="2808"/>
          </w:tcPr>
          <w:p>
            <w:pPr>
              <w:spacing w:after="20"/>
            </w:pPr>
            <w:r/>
            <w:r>
              <w:rPr>
                <w:b w:val="0"/>
                <w:i w:val="0"/>
                <w:sz w:val="16"/>
              </w:rPr>
              <w:t>Route financing analysis through counsel; Kovel-type engagement</w:t>
            </w:r>
          </w:p>
        </w:tc>
      </w:tr>
      <w:tr>
        <w:tc>
          <w:tcPr>
            <w:tcW w:type="dxa" w:w="432"/>
          </w:tcPr>
          <w:p>
            <w:pPr>
              <w:spacing w:after="20"/>
            </w:pPr>
            <w:r/>
            <w:r>
              <w:rPr>
                <w:b w:val="0"/>
                <w:i w:val="0"/>
                <w:sz w:val="16"/>
              </w:rPr>
              <w:t>27</w:t>
            </w:r>
          </w:p>
        </w:tc>
        <w:tc>
          <w:tcPr>
            <w:tcW w:type="dxa" w:w="3168"/>
          </w:tcPr>
          <w:p>
            <w:pPr>
              <w:spacing w:after="20"/>
            </w:pPr>
            <w:r/>
            <w:r>
              <w:rPr>
                <w:b w:val="0"/>
                <w:i w:val="0"/>
                <w:sz w:val="16"/>
              </w:rPr>
              <w:t>Accounting/disclosure: no accrual; inconsistent BioNovus LOI disclosure</w:t>
            </w:r>
          </w:p>
        </w:tc>
        <w:tc>
          <w:tcPr>
            <w:tcW w:type="dxa" w:w="1872"/>
          </w:tcPr>
          <w:p>
            <w:pPr>
              <w:spacing w:after="20"/>
            </w:pPr>
            <w:r/>
            <w:r>
              <w:rPr>
                <w:b w:val="0"/>
                <w:i w:val="0"/>
                <w:sz w:val="16"/>
              </w:rPr>
              <w:t>Collateral; § 14.2</w:t>
            </w:r>
          </w:p>
        </w:tc>
        <w:tc>
          <w:tcPr>
            <w:tcW w:type="dxa" w:w="1080"/>
            <w:shd w:val="clear" w:color="auto" w:fill="BF9000"/>
          </w:tcPr>
          <w:p>
            <w:pPr>
              <w:spacing w:after="20"/>
            </w:pPr>
            <w:r>
              <w:rPr>
                <w:b/>
                <w:color w:val="FFFFFF"/>
              </w:rPr>
            </w:r>
            <w:r>
              <w:rPr>
                <w:b/>
                <w:i w:val="0"/>
                <w:color w:val="FFFFFF"/>
                <w:sz w:val="16"/>
              </w:rPr>
              <w:t>Medium</w:t>
            </w:r>
          </w:p>
        </w:tc>
        <w:tc>
          <w:tcPr>
            <w:tcW w:type="dxa" w:w="2808"/>
          </w:tcPr>
          <w:p>
            <w:pPr>
              <w:spacing w:after="20"/>
            </w:pPr>
            <w:r/>
            <w:r>
              <w:rPr>
                <w:b w:val="0"/>
                <w:i w:val="0"/>
                <w:sz w:val="16"/>
              </w:rPr>
              <w:t>Coordinate ASC 450 and disclosure with auditors and securities counsel</w:t>
            </w:r>
          </w:p>
        </w:tc>
      </w:tr>
      <w:tr>
        <w:tc>
          <w:tcPr>
            <w:tcW w:type="dxa" w:w="432"/>
          </w:tcPr>
          <w:p>
            <w:pPr>
              <w:spacing w:after="20"/>
            </w:pPr>
            <w:r/>
            <w:r>
              <w:rPr>
                <w:b w:val="0"/>
                <w:i w:val="0"/>
                <w:sz w:val="16"/>
              </w:rPr>
              <w:t>28</w:t>
            </w:r>
          </w:p>
        </w:tc>
        <w:tc>
          <w:tcPr>
            <w:tcW w:type="dxa" w:w="3168"/>
          </w:tcPr>
          <w:p>
            <w:pPr>
              <w:spacing w:after="20"/>
            </w:pPr>
            <w:r/>
            <w:r>
              <w:rPr>
                <w:b w:val="0"/>
                <w:i w:val="0"/>
                <w:sz w:val="16"/>
              </w:rPr>
              <w:t>CCO reporting line to Audit Committee</w:t>
            </w:r>
          </w:p>
        </w:tc>
        <w:tc>
          <w:tcPr>
            <w:tcW w:type="dxa" w:w="1872"/>
          </w:tcPr>
          <w:p>
            <w:pPr>
              <w:spacing w:after="20"/>
            </w:pPr>
            <w:r/>
            <w:r>
              <w:rPr>
                <w:b w:val="0"/>
                <w:i w:val="0"/>
                <w:sz w:val="16"/>
              </w:rPr>
              <w:t>§ 7.2</w:t>
            </w:r>
          </w:p>
        </w:tc>
        <w:tc>
          <w:tcPr>
            <w:tcW w:type="dxa" w:w="1080"/>
            <w:shd w:val="clear" w:color="auto" w:fill="548235"/>
          </w:tcPr>
          <w:p>
            <w:pPr>
              <w:spacing w:after="20"/>
            </w:pPr>
            <w:r>
              <w:rPr>
                <w:b/>
                <w:color w:val="FFFFFF"/>
              </w:rPr>
            </w:r>
            <w:r>
              <w:rPr>
                <w:b/>
                <w:i w:val="0"/>
                <w:color w:val="FFFFFF"/>
                <w:sz w:val="16"/>
              </w:rPr>
              <w:t>Low</w:t>
            </w:r>
          </w:p>
        </w:tc>
        <w:tc>
          <w:tcPr>
            <w:tcW w:type="dxa" w:w="2808"/>
          </w:tcPr>
          <w:p>
            <w:pPr>
              <w:spacing w:after="20"/>
            </w:pPr>
            <w:r/>
            <w:r>
              <w:rPr>
                <w:b w:val="0"/>
                <w:i w:val="0"/>
                <w:sz w:val="16"/>
              </w:rPr>
              <w:t>Accept; implement before signing</w:t>
            </w:r>
          </w:p>
        </w:tc>
      </w:tr>
      <w:tr>
        <w:tc>
          <w:tcPr>
            <w:tcW w:type="dxa" w:w="432"/>
          </w:tcPr>
          <w:p>
            <w:pPr>
              <w:spacing w:after="20"/>
            </w:pPr>
            <w:r/>
            <w:r>
              <w:rPr>
                <w:b w:val="0"/>
                <w:i w:val="0"/>
                <w:sz w:val="16"/>
              </w:rPr>
              <w:t>29</w:t>
            </w:r>
          </w:p>
        </w:tc>
        <w:tc>
          <w:tcPr>
            <w:tcW w:type="dxa" w:w="3168"/>
          </w:tcPr>
          <w:p>
            <w:pPr>
              <w:spacing w:after="20"/>
            </w:pPr>
            <w:r/>
            <w:r>
              <w:rPr>
                <w:b w:val="0"/>
                <w:i w:val="0"/>
                <w:sz w:val="16"/>
              </w:rPr>
              <w:t>Compliance budget floor of $6.0M</w:t>
            </w:r>
          </w:p>
        </w:tc>
        <w:tc>
          <w:tcPr>
            <w:tcW w:type="dxa" w:w="1872"/>
          </w:tcPr>
          <w:p>
            <w:pPr>
              <w:spacing w:after="20"/>
            </w:pPr>
            <w:r/>
            <w:r>
              <w:rPr>
                <w:b w:val="0"/>
                <w:i w:val="0"/>
                <w:sz w:val="16"/>
              </w:rPr>
              <w:t>§ 7.8</w:t>
            </w:r>
          </w:p>
        </w:tc>
        <w:tc>
          <w:tcPr>
            <w:tcW w:type="dxa" w:w="1080"/>
            <w:shd w:val="clear" w:color="auto" w:fill="548235"/>
          </w:tcPr>
          <w:p>
            <w:pPr>
              <w:spacing w:after="20"/>
            </w:pPr>
            <w:r>
              <w:rPr>
                <w:b/>
                <w:color w:val="FFFFFF"/>
              </w:rPr>
            </w:r>
            <w:r>
              <w:rPr>
                <w:b/>
                <w:i w:val="0"/>
                <w:color w:val="FFFFFF"/>
                <w:sz w:val="16"/>
              </w:rPr>
              <w:t>Low</w:t>
            </w:r>
          </w:p>
        </w:tc>
        <w:tc>
          <w:tcPr>
            <w:tcW w:type="dxa" w:w="2808"/>
          </w:tcPr>
          <w:p>
            <w:pPr>
              <w:spacing w:after="20"/>
            </w:pPr>
            <w:r/>
            <w:r>
              <w:rPr>
                <w:b w:val="0"/>
                <w:i w:val="0"/>
                <w:sz w:val="16"/>
              </w:rPr>
              <w:t>Accept; clarify definition and approval mechanics</w:t>
            </w:r>
          </w:p>
        </w:tc>
      </w:tr>
      <w:tr>
        <w:tc>
          <w:tcPr>
            <w:tcW w:type="dxa" w:w="432"/>
          </w:tcPr>
          <w:p>
            <w:pPr>
              <w:spacing w:after="20"/>
            </w:pPr>
            <w:r/>
            <w:r>
              <w:rPr>
                <w:b w:val="0"/>
                <w:i w:val="0"/>
                <w:sz w:val="16"/>
              </w:rPr>
              <w:t>30</w:t>
            </w:r>
          </w:p>
        </w:tc>
        <w:tc>
          <w:tcPr>
            <w:tcW w:type="dxa" w:w="3168"/>
          </w:tcPr>
          <w:p>
            <w:pPr>
              <w:spacing w:after="20"/>
            </w:pPr>
            <w:r/>
            <w:r>
              <w:rPr>
                <w:b w:val="0"/>
                <w:i w:val="0"/>
                <w:sz w:val="16"/>
              </w:rPr>
              <w:t>HCP payment tracking, risk assessment, hotline, anti-retaliation, third-party diligence, screening</w:t>
            </w:r>
          </w:p>
        </w:tc>
        <w:tc>
          <w:tcPr>
            <w:tcW w:type="dxa" w:w="1872"/>
          </w:tcPr>
          <w:p>
            <w:pPr>
              <w:spacing w:after="20"/>
            </w:pPr>
            <w:r/>
            <w:r>
              <w:rPr>
                <w:b w:val="0"/>
                <w:i w:val="0"/>
                <w:sz w:val="16"/>
              </w:rPr>
              <w:t>§§ 7.4, 7.5, 7.7, 7.9(a),(b),(f), 10.3</w:t>
            </w:r>
          </w:p>
        </w:tc>
        <w:tc>
          <w:tcPr>
            <w:tcW w:type="dxa" w:w="1080"/>
            <w:shd w:val="clear" w:color="auto" w:fill="548235"/>
          </w:tcPr>
          <w:p>
            <w:pPr>
              <w:spacing w:after="20"/>
            </w:pPr>
            <w:r>
              <w:rPr>
                <w:b/>
                <w:color w:val="FFFFFF"/>
              </w:rPr>
            </w:r>
            <w:r>
              <w:rPr>
                <w:b/>
                <w:i w:val="0"/>
                <w:color w:val="FFFFFF"/>
                <w:sz w:val="16"/>
              </w:rPr>
              <w:t>Low</w:t>
            </w:r>
          </w:p>
        </w:tc>
        <w:tc>
          <w:tcPr>
            <w:tcW w:type="dxa" w:w="2808"/>
          </w:tcPr>
          <w:p>
            <w:pPr>
              <w:spacing w:after="20"/>
            </w:pPr>
            <w:r/>
            <w:r>
              <w:rPr>
                <w:b w:val="0"/>
                <w:i w:val="0"/>
                <w:sz w:val="16"/>
              </w:rPr>
              <w:t>Accept (conforming edits)</w:t>
            </w:r>
          </w:p>
        </w:tc>
      </w:tr>
      <w:tr>
        <w:tc>
          <w:tcPr>
            <w:tcW w:type="dxa" w:w="432"/>
          </w:tcPr>
          <w:p>
            <w:pPr>
              <w:spacing w:after="20"/>
            </w:pPr>
            <w:r/>
            <w:r>
              <w:rPr>
                <w:b w:val="0"/>
                <w:i w:val="0"/>
                <w:sz w:val="16"/>
              </w:rPr>
              <w:t>31</w:t>
            </w:r>
          </w:p>
        </w:tc>
        <w:tc>
          <w:tcPr>
            <w:tcW w:type="dxa" w:w="3168"/>
          </w:tcPr>
          <w:p>
            <w:pPr>
              <w:spacing w:after="20"/>
            </w:pPr>
            <w:r/>
            <w:r>
              <w:rPr>
                <w:b w:val="0"/>
                <w:i w:val="0"/>
                <w:sz w:val="16"/>
              </w:rPr>
              <w:t>Five-year bar on engaging Dr. Kwan</w:t>
            </w:r>
          </w:p>
        </w:tc>
        <w:tc>
          <w:tcPr>
            <w:tcW w:type="dxa" w:w="1872"/>
          </w:tcPr>
          <w:p>
            <w:pPr>
              <w:spacing w:after="20"/>
            </w:pPr>
            <w:r/>
            <w:r>
              <w:rPr>
                <w:b w:val="0"/>
                <w:i w:val="0"/>
                <w:sz w:val="16"/>
              </w:rPr>
              <w:t>§ 10.2</w:t>
            </w:r>
          </w:p>
        </w:tc>
        <w:tc>
          <w:tcPr>
            <w:tcW w:type="dxa" w:w="1080"/>
            <w:shd w:val="clear" w:color="auto" w:fill="548235"/>
          </w:tcPr>
          <w:p>
            <w:pPr>
              <w:spacing w:after="20"/>
            </w:pPr>
            <w:r>
              <w:rPr>
                <w:b/>
                <w:color w:val="FFFFFF"/>
              </w:rPr>
            </w:r>
            <w:r>
              <w:rPr>
                <w:b/>
                <w:i w:val="0"/>
                <w:color w:val="FFFFFF"/>
                <w:sz w:val="16"/>
              </w:rPr>
              <w:t>Low</w:t>
            </w:r>
          </w:p>
        </w:tc>
        <w:tc>
          <w:tcPr>
            <w:tcW w:type="dxa" w:w="2808"/>
          </w:tcPr>
          <w:p>
            <w:pPr>
              <w:spacing w:after="20"/>
            </w:pPr>
            <w:r/>
            <w:r>
              <w:rPr>
                <w:b w:val="0"/>
                <w:i w:val="0"/>
                <w:sz w:val="16"/>
              </w:rPr>
              <w:t>Accept; clarify post-Term mechanics</w:t>
            </w:r>
          </w:p>
        </w:tc>
      </w:tr>
      <w:tr>
        <w:tc>
          <w:tcPr>
            <w:tcW w:type="dxa" w:w="432"/>
          </w:tcPr>
          <w:p>
            <w:pPr>
              <w:spacing w:after="20"/>
            </w:pPr>
            <w:r/>
            <w:r>
              <w:rPr>
                <w:b w:val="0"/>
                <w:i w:val="0"/>
                <w:sz w:val="16"/>
              </w:rPr>
              <w:t>32</w:t>
            </w:r>
          </w:p>
        </w:tc>
        <w:tc>
          <w:tcPr>
            <w:tcW w:type="dxa" w:w="3168"/>
          </w:tcPr>
          <w:p>
            <w:pPr>
              <w:spacing w:after="20"/>
            </w:pPr>
            <w:r/>
            <w:r>
              <w:rPr>
                <w:b w:val="0"/>
                <w:i w:val="0"/>
                <w:sz w:val="16"/>
              </w:rPr>
              <w:t>Technical drafting defects (weekend dates, undefined terms, conflicting clauses)</w:t>
            </w:r>
          </w:p>
        </w:tc>
        <w:tc>
          <w:tcPr>
            <w:tcW w:type="dxa" w:w="1872"/>
          </w:tcPr>
          <w:p>
            <w:pPr>
              <w:spacing w:after="20"/>
            </w:pPr>
            <w:r/>
            <w:r>
              <w:rPr>
                <w:b w:val="0"/>
                <w:i w:val="0"/>
                <w:sz w:val="16"/>
              </w:rPr>
              <w:t>Various</w:t>
            </w:r>
          </w:p>
        </w:tc>
        <w:tc>
          <w:tcPr>
            <w:tcW w:type="dxa" w:w="1080"/>
            <w:shd w:val="clear" w:color="auto" w:fill="548235"/>
          </w:tcPr>
          <w:p>
            <w:pPr>
              <w:spacing w:after="20"/>
            </w:pPr>
            <w:r>
              <w:rPr>
                <w:b/>
                <w:color w:val="FFFFFF"/>
              </w:rPr>
            </w:r>
            <w:r>
              <w:rPr>
                <w:b/>
                <w:i w:val="0"/>
                <w:color w:val="FFFFFF"/>
                <w:sz w:val="16"/>
              </w:rPr>
              <w:t>Low</w:t>
            </w:r>
          </w:p>
        </w:tc>
        <w:tc>
          <w:tcPr>
            <w:tcW w:type="dxa" w:w="2808"/>
          </w:tcPr>
          <w:p>
            <w:pPr>
              <w:spacing w:after="20"/>
            </w:pPr>
            <w:r/>
            <w:r>
              <w:rPr>
                <w:b w:val="0"/>
                <w:i w:val="0"/>
                <w:sz w:val="16"/>
              </w:rPr>
              <w:t>Conforming edits</w:t>
            </w:r>
          </w:p>
        </w:tc>
      </w:tr>
    </w:tbl>
    <w:p>
      <w:pPr>
        <w:spacing w:after="40"/>
      </w:pPr>
    </w:p>
    <w:p>
      <w:pPr>
        <w:pStyle w:val="Heading1"/>
      </w:pPr>
      <w:r>
        <w:t>V. Detailed Analysis and Recommendations</w:t>
      </w:r>
    </w:p>
    <w:p>
      <w:pPr>
        <w:pStyle w:val="Heading2"/>
      </w:pPr>
      <w:r>
        <w:t>A. Critical Issues</w:t>
      </w:r>
    </w:p>
    <w:p>
      <w:pPr>
        <w:pStyle w:val="Heading3"/>
      </w:pPr>
      <w:r>
        <w:t>Issue 1. Lender Cross-Default; No Condition Precedent for Third-Party Consents</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Preamble/§ 1 (effective upon execution); § 8.4 ($102.0M due upon execution); § 17; no consent condition</w:t>
            </w:r>
          </w:p>
        </w:tc>
        <w:tc>
          <w:tcPr>
            <w:tcW w:type="dxa" w:w="2736"/>
            <w:shd w:val="clear" w:color="auto" w:fill="C00000"/>
          </w:tcPr>
          <w:p>
            <w:r>
              <w:rPr>
                <w:color w:val="FFFFFF"/>
              </w:rPr>
            </w:r>
            <w:r>
              <w:rPr>
                <w:b/>
                <w:i w:val="0"/>
                <w:color w:val="FFFFFF"/>
                <w:sz w:val="19"/>
              </w:rPr>
              <w:t>Risk rating: Critical</w:t>
            </w:r>
          </w:p>
        </w:tc>
      </w:tr>
    </w:tbl>
    <w:p>
      <w:r>
        <w:rPr>
          <w:b/>
          <w:i w:val="0"/>
        </w:rPr>
        <w:t>The problem.</w:t>
      </w:r>
      <w:r>
        <w:rPr>
          <w:b w:val="0"/>
          <w:i w:val="0"/>
        </w:rPr>
        <w:t xml:space="preserve"> The Draft DPA becomes effective on execution and requires $102.0M at signing, with no mechanism to defer effectiveness pending lender consent. Credit Agreement § 7.1(h) makes it an Event of Default if the Company “enter[s] into any settlement or consent[s] to any judgment, order, or decree” in a governmental proceeding exceeding $75M “whether payable as a fine, penalty, restitution … or otherwise.” The trigger is entry into the settlement, so the full $239.5M is counted at signing; even the $102.0M signing payment alone exceeds the threshold by $27.0M. Splitting installments cannot cure the problem.</w:t>
      </w:r>
    </w:p>
    <w:p>
      <w:r>
        <w:rPr>
          <w:b/>
          <w:i w:val="0"/>
        </w:rPr>
        <w:t>Why it matters / support in the record.</w:t>
      </w:r>
      <w:r>
        <w:rPr>
          <w:b w:val="0"/>
          <w:i w:val="0"/>
        </w:rPr>
        <w:t xml:space="preserve"> On an Event of Default the $180M undrawn commitment terminates automatically; Required Lenders (&gt;50%) may accelerate the $320M drawn balance; the $650M 4.25% Senior Notes are exposed to cross-acceleration ($970M total). The BioNovus acquisition cannot close as a Permitted Acquisition while an Event of Default exists (Credit Agreement §§ 4.3(a), 9.1(b)), and the litigation representation (Schedule 5.6, last updated June 15, 2023 and silent on amount) must be brought down at each borrowing. The waiver needs written consent of lenders holding 66⅔% of Commitments; the Agent has 5 Business Days to circulate and lenders 15 Business Days to respond; silence is rejection — roughly 20 Business Days, putting the latest submission date at about </w:t>
      </w:r>
      <w:r>
        <w:rPr>
          <w:b/>
          <w:i w:val="0"/>
        </w:rPr>
        <w:t>January 3, 2025</w:t>
      </w:r>
      <w:r>
        <w:rPr>
          <w:b w:val="0"/>
          <w:i w:val="0"/>
        </w:rPr>
        <w:t>. Ms. Huang’s December 18 email assumes a 15-business-day period and a “mid-January” submission, which omits the Agent’s 5-day circulation window. Between the January 15 session and February 1 there are only 11 Business Days (January 20 is a federal holiday), so the request cannot wait for final terms. Separately, the 5-Business-Day notice covenant (§ 3.2(c)) may already have been triggered when the USAO presented the draft in October 2024 (disclosed in 10-Q Note 4); if so, a notice Default may already exist. Finally, our sources conflict on revolver maturity (March 12, 2026 per the Credit Agreement summary vs. June 30, 2027 per 10-K Note 3), the leverage covenant (4.00x with a 4.50x acquisition step-up vs. 4.5x), and the Notes trigger (default permitting acceleration vs. actual acceleration of &gt;$50M of debt). If the 2026 maturity is correct, the revolver must be refinanced one month after the $50M second installment, with the DPA and Monitor in place.</w:t>
      </w:r>
    </w:p>
    <w:p>
      <w:r>
        <w:rPr>
          <w:b/>
          <w:i w:val="0"/>
        </w:rPr>
        <w:t>Recommendation.</w:t>
      </w:r>
      <w:r>
        <w:rPr>
          <w:b w:val="0"/>
          <w:i w:val="0"/>
        </w:rPr>
        <w:t xml:space="preserve"> </w:t>
      </w:r>
    </w:p>
    <w:p>
      <w:pPr>
        <w:pStyle w:val="ListBullet"/>
        <w:spacing w:after="60"/>
      </w:pPr>
      <w:r>
        <w:rPr>
          <w:b w:val="0"/>
          <w:i w:val="0"/>
        </w:rPr>
        <w:t>Deliver a formal waiver request to Trident by January 3, 2025, framed on a range of outcomes, seeking: waiver of § 7.1(h) for the DPA and the civil settlement (including installments payable in later 12-month periods); consent to supplement Schedule 5.6; waiver of any Default arising from the timing of § 3.2(c) notice; and confirmation that the DPA does not impair Permitted Acquisition status. Budget the 0.10% waiver fee (up to $500,000) plus lender counsel fees.</w:t>
      </w:r>
    </w:p>
    <w:p>
      <w:pPr>
        <w:pStyle w:val="ListBullet"/>
        <w:spacing w:after="60"/>
      </w:pPr>
      <w:r>
        <w:rPr>
          <w:b w:val="0"/>
          <w:i w:val="0"/>
        </w:rPr>
        <w:t>Decide this week whether § 3.2(c) notice was triggered in October 2024 and, if so, deliver notice immediately.</w:t>
      </w:r>
    </w:p>
    <w:p>
      <w:pPr>
        <w:pStyle w:val="ListBullet"/>
        <w:spacing w:after="60"/>
      </w:pPr>
      <w:r>
        <w:rPr>
          <w:b w:val="0"/>
          <w:i w:val="0"/>
        </w:rPr>
        <w:t>Obtain and review the full Credit Agreement, all amendments and the Indenture to resolve the maturity, leverage and cross-acceleration conflicts before any lender communication.</w:t>
      </w:r>
    </w:p>
    <w:p>
      <w:pPr>
        <w:pStyle w:val="ListBullet"/>
        <w:spacing w:after="60"/>
      </w:pPr>
      <w:r>
        <w:rPr>
          <w:b w:val="0"/>
          <w:i w:val="0"/>
        </w:rPr>
        <w:t>Negotiate an effectiveness condition (below). Ask the USAO to confirm in writing that the Company may share DPA terms confidentially with lenders, the Notes trustee, auditors and financial advisors before filing.</w:t>
      </w:r>
    </w:p>
    <w:p>
      <w:r>
        <w:rPr>
          <w:b/>
          <w:i w:val="0"/>
        </w:rPr>
        <w:t>Proposed language:</w:t>
      </w:r>
    </w:p>
    <w:p>
      <w:pPr>
        <w:ind w:left="720" w:right="576"/>
        <w:shd w:val="clear" w:color="auto" w:fill="F2F2F2"/>
      </w:pPr>
      <w:r>
        <w:rPr>
          <w:b w:val="0"/>
          <w:i w:val="0"/>
          <w:sz w:val="20"/>
        </w:rPr>
        <w:t>Conditions to Effectiveness. This Agreement shall become effective on the date (the “Effective Date”) on which the Company notifies the Government in writing that it has obtained such consents or waivers of its lenders as are necessary to avoid a default under the Company’s existing credit agreement; provided that if such notice has not been delivered within forty-five (45) days after execution, the parties shall confer in good faith regarding an extension of up to thirty (30) additional days, which the Government shall not unreasonably withhold. All periods measured from the Execution Date shall instead be measured from the Effective Date, and the Company’s pursuit of such consents shall not constitute a breach of this Agreement.</w:t>
      </w:r>
    </w:p>
    <w:p>
      <w:r>
        <w:rPr>
          <w:b/>
          <w:i w:val="0"/>
        </w:rPr>
        <w:t>Fallback position.</w:t>
      </w:r>
      <w:r>
        <w:rPr>
          <w:b w:val="0"/>
          <w:i w:val="0"/>
        </w:rPr>
        <w:t xml:space="preserve"> If the USAO refuses a condition, move the execution date to early March 2025 (after the 20-Business-Day waiver window) and make the signing-day payments due 30 days after execution.</w:t>
      </w:r>
    </w:p>
    <w:p>
      <w:pPr>
        <w:pStyle w:val="Heading3"/>
      </w:pPr>
      <w:r>
        <w:t>Issue 2. Criminal Penalty Methodology Is Unsupported, Internally Erroneous, and Gives No Credit</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8.1(a)–(d); § 8.1 final sentence (Company acknowledges penalty “appropriate and proportionate”)</w:t>
            </w:r>
          </w:p>
        </w:tc>
        <w:tc>
          <w:tcPr>
            <w:tcW w:type="dxa" w:w="2736"/>
            <w:shd w:val="clear" w:color="auto" w:fill="C00000"/>
          </w:tcPr>
          <w:p>
            <w:r>
              <w:rPr>
                <w:color w:val="FFFFFF"/>
              </w:rPr>
            </w:r>
            <w:r>
              <w:rPr>
                <w:b/>
                <w:i w:val="0"/>
                <w:color w:val="FFFFFF"/>
                <w:sz w:val="19"/>
              </w:rPr>
              <w:t>Risk rating: Critical</w:t>
            </w:r>
          </w:p>
        </w:tc>
      </w:tr>
    </w:tbl>
    <w:p>
      <w:r>
        <w:rPr>
          <w:b/>
          <w:i w:val="0"/>
        </w:rPr>
        <w:t>The problem.</w:t>
      </w:r>
      <w:r>
        <w:rPr>
          <w:b w:val="0"/>
          <w:i w:val="0"/>
        </w:rPr>
        <w:t xml:space="preserve"> The $187.5M penalty is built as ($20.5M x 3) x 2 + $64.5M. Each element is contestable: (a) the “treble-damages multiplier” imports the civil FCA damages concept (31 U.S.C. § 3729(a)) into a criminal fine while the Company separately pays $52.0M to compensate the programs for the same claims; (b) the 2x “corporate recidivism multiplier” doubles the entire base because of a 2014 civil CIA; (c) the “volume of commerce penalty” is described as 15% of “relevant commerce,” an undefined term; and (d) no reduction is given for cooperation or remediation, even though § 1 lists the Company’s cooperation and remediation among the Government’s considerations.</w:t>
      </w:r>
    </w:p>
    <w:p>
      <w:r>
        <w:rPr>
          <w:b/>
          <w:i w:val="0"/>
        </w:rPr>
        <w:t>Why it matters / support in the record.</w:t>
      </w:r>
      <w:r>
        <w:rPr>
          <w:b w:val="0"/>
          <w:i w:val="0"/>
        </w:rPr>
        <w:t xml:space="preserve"> </w:t>
      </w:r>
      <w:r>
        <w:rPr>
          <w:b/>
          <w:i w:val="0"/>
        </w:rPr>
        <w:t>Recidivism.</w:t>
      </w:r>
      <w:r>
        <w:rPr>
          <w:b w:val="0"/>
          <w:i w:val="0"/>
        </w:rPr>
        <w:t xml:space="preserve"> Under USSG § 8C2.5(c), prior history adds only one or two culpability points, and only for a prior criminal adjudication or a civil or administrative adjudication based on two or more separate instances of similar misconduct (commentary: conduct “similar in all material respects”). The 2014 matter was a negotiated settlement and CIA, not an adjudication, concerning off-label promotion of Osteorin; SOF ¶ 23 itself concedes this is “a different form of unlawful conduct (kickbacks rather than off-label promotion).” Doubling the whole base has no Guidelines analogue. We should be prepared for the counter-argument that the CIA was still in force during part of 2019 and that its expiration coincided with relaxed controls (Inv. Rpt. §§ III.A, VI.C). </w:t>
      </w:r>
      <w:r>
        <w:rPr>
          <w:b/>
          <w:i w:val="0"/>
        </w:rPr>
        <w:t>Volume of commerce.</w:t>
      </w:r>
      <w:r>
        <w:rPr>
          <w:b w:val="0"/>
          <w:i w:val="0"/>
        </w:rPr>
        <w:t xml:space="preserve"> “Volume of commerce” is an antitrust Guidelines concept (§ 2R1.1); kickback offenses are measured under § 2B4.1 by the greater of the value of the bribe or the improper benefit conferred. The arithmetic is also wrong on its face: SOF ¶ 26 recites $4.12B of Neurovan/Cardivex revenue for the Relevant Period, and 15% of that is </w:t>
      </w:r>
      <w:r>
        <w:rPr>
          <w:b/>
          <w:i w:val="0"/>
        </w:rPr>
        <w:t>$618M</w:t>
      </w:r>
      <w:r>
        <w:rPr>
          <w:b w:val="0"/>
          <w:i w:val="0"/>
        </w:rPr>
        <w:t xml:space="preserve">, not $64.5M (the Company workbook makes the same calculation). $64.5M implies an unexplained $430M base. This must be raised carefully: the goal is to delete the component as methodologically unsupported, not to invite a “correction” that would raise the penalty to $741M. The Company also should not sign an “appropriate and proportionate” acknowledgment of a calculation that does not compute. </w:t>
      </w:r>
      <w:r>
        <w:rPr>
          <w:b/>
          <w:i w:val="0"/>
        </w:rPr>
        <w:t>Base.</w:t>
      </w:r>
      <w:r>
        <w:rPr>
          <w:b w:val="0"/>
          <w:i w:val="0"/>
        </w:rPr>
        <w:t xml:space="preserve"> The Government’s $14.3M speaker figure exceeds not only our $11.1M best estimate but also the $12.4M attributable to all ~1,450 events in Tiers 1–3; and the Government’s count of 1,150 sham events is the same as our Tier 1 + Tier 2 count, which carries $11.1M. The Government’s figure implies ~$12,400 per sham event against a program-wide average honorarium of ~$2,298 per event ($38.6M / 16,800), which suggests it may include non-honorarium costs; we should demand the methodology. On consulting, the Government counts all $6.2M although ~15 of 47 HCPs ($1.6M) were within FMV and our independent valuation supports $2.8M. Under the Government’s own multipliers, every $1 of base reduction removes $6 of penalty (Inv. Rpt. § X.B). See Appendix A for scenarios.</w:t>
      </w:r>
    </w:p>
    <w:p>
      <w:r>
        <w:rPr>
          <w:b/>
          <w:i w:val="0"/>
        </w:rPr>
        <w:t>Recommendation.</w:t>
      </w:r>
      <w:r>
        <w:rPr>
          <w:b w:val="0"/>
          <w:i w:val="0"/>
        </w:rPr>
        <w:t xml:space="preserve"> </w:t>
      </w:r>
    </w:p>
    <w:p>
      <w:pPr>
        <w:pStyle w:val="ListBullet"/>
        <w:spacing w:after="60"/>
      </w:pPr>
      <w:r>
        <w:rPr>
          <w:b w:val="0"/>
          <w:i w:val="0"/>
        </w:rPr>
        <w:t>Demand the Government’s Sentencing Guidelines calculation (§§ 8C2.4, 8C2.5, 8C2.6) and its event-level classification data, and deliver our own Guidelines analysis and Tier methodology presentation in advance of January 15 (under an FRE 408/410 and non-waiver agreement).</w:t>
      </w:r>
    </w:p>
    <w:p>
      <w:pPr>
        <w:pStyle w:val="ListBullet"/>
        <w:spacing w:after="60"/>
      </w:pPr>
      <w:r>
        <w:rPr>
          <w:b w:val="0"/>
          <w:i w:val="0"/>
        </w:rPr>
        <w:t>Delete the volume-of-commerce component entirely; replace the recidivism doubling with, at most, the Guidelines culpability-score effect; delete the treble multiplier or treat the civil settlement as satisfying compensatory concerns.</w:t>
      </w:r>
    </w:p>
    <w:p>
      <w:pPr>
        <w:pStyle w:val="ListBullet"/>
        <w:spacing w:after="60"/>
      </w:pPr>
      <w:r>
        <w:rPr>
          <w:b w:val="0"/>
          <w:i w:val="0"/>
        </w:rPr>
        <w:t>Seek a reduction off the bottom of the Guidelines fine range for cooperation (1.2M documents, 68 interviews) and remediation (dotted-line CCO reporting since early 2023, increased staffing, FY2023 budget of $5.2M), with the reduction stated in the DPA.</w:t>
      </w:r>
    </w:p>
    <w:p>
      <w:pPr>
        <w:pStyle w:val="ListBullet"/>
        <w:spacing w:after="60"/>
      </w:pPr>
      <w:r>
        <w:rPr>
          <w:b w:val="0"/>
          <w:i w:val="0"/>
        </w:rPr>
        <w:t>Negotiating range: open at $31–$42M (Scenarios F–G); target at or below $83.4M (Scenario D); treat $123.0M (Scenario C, no volume-of-commerce add-on) as the outer bound, acceptable only if the other Critical items are resolved. Reject any volume-of-commerce component.</w:t>
      </w:r>
    </w:p>
    <w:p>
      <w:pPr>
        <w:pStyle w:val="ListBullet"/>
        <w:spacing w:after="60"/>
      </w:pPr>
      <w:r>
        <w:rPr>
          <w:b w:val="0"/>
          <w:i w:val="0"/>
        </w:rPr>
        <w:t>Strike the sentence in which the Company acknowledges the penalty is “appropriate and proportionate.”</w:t>
      </w:r>
    </w:p>
    <w:p>
      <w:r>
        <w:rPr>
          <w:b/>
          <w:i w:val="0"/>
        </w:rPr>
        <w:t>Proposed language:</w:t>
      </w:r>
    </w:p>
    <w:p>
      <w:pPr>
        <w:ind w:left="720" w:right="576"/>
        <w:shd w:val="clear" w:color="auto" w:fill="F2F2F2"/>
      </w:pPr>
      <w:r>
        <w:rPr>
          <w:b w:val="0"/>
          <w:i w:val="0"/>
          <w:sz w:val="20"/>
        </w:rPr>
        <w:t>8.1 The Company shall pay a criminal penalty of $[•] (the “Criminal Penalty”). The parties agree that the Criminal Penalty is based on the United States Sentencing Guidelines calculation set forth in Attachment B and reflects a [•]% reduction off the bottom of the applicable fine range in recognition of the Company’s cooperation and remediation. The Government agrees that the Criminal Penalty is appropriate given the facts and circumstances of this case, including the payments made under Section 8.2.</w:t>
      </w:r>
    </w:p>
    <w:p>
      <w:r>
        <w:rPr>
          <w:b/>
          <w:i w:val="0"/>
        </w:rPr>
        <w:t>Fallback position.</w:t>
      </w:r>
      <w:r>
        <w:rPr>
          <w:b w:val="0"/>
          <w:i w:val="0"/>
        </w:rPr>
        <w:t xml:space="preserve"> If the Government insists on a multiplier structure, apply it to a negotiated base no higher than $13.9M–$16.0M and eliminate the volume-of-commerce add-on; every $1M of base reduction is worth $6M.</w:t>
      </w:r>
    </w:p>
    <w:p>
      <w:pPr>
        <w:pStyle w:val="Heading3"/>
      </w:pPr>
      <w:r>
        <w:t>Issue 3. Stipulated Statement of Facts Overstates Executive Knowledge, Corporate Intent and Quantum</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Ex. A ¶¶ 3, 9, 10, 12–14, 16–19, 23, 26; §§ 4.1–4.6, 5.1–5.2, 12.2(b)–(c)</w:t>
            </w:r>
          </w:p>
        </w:tc>
        <w:tc>
          <w:tcPr>
            <w:tcW w:type="dxa" w:w="2736"/>
            <w:shd w:val="clear" w:color="auto" w:fill="C00000"/>
          </w:tcPr>
          <w:p>
            <w:r>
              <w:rPr>
                <w:color w:val="FFFFFF"/>
              </w:rPr>
            </w:r>
            <w:r>
              <w:rPr>
                <w:b/>
                <w:i w:val="0"/>
                <w:color w:val="FFFFFF"/>
                <w:sz w:val="19"/>
              </w:rPr>
              <w:t>Risk rating: Critical</w:t>
            </w:r>
          </w:p>
        </w:tc>
      </w:tr>
    </w:tbl>
    <w:p>
      <w:r>
        <w:rPr>
          <w:b/>
          <w:i w:val="0"/>
        </w:rPr>
        <w:t>The problem.</w:t>
      </w:r>
      <w:r>
        <w:rPr>
          <w:b w:val="0"/>
          <w:i w:val="0"/>
        </w:rPr>
        <w:t xml:space="preserve"> The SOF states as stipulated fact that “senior management, including members of the executive team, were aware of and tacitly approved” the use of speaker programs to reward prescribers (¶ 16); that Greenvale “knowingly and willfully” violated the AKS (¶ 18) through a “deliberate prioritization of commercial objectives” (¶ 19) and a “corporate culture that prioritized revenue” (¶ 17); that $14.3M was improper “at minimum” (¶ 9); that all 47 consulting arrangements “substantially exceeded” FMV (¶ 13); and that improper payments “tainted a substantial portion” of $4.12B of revenue (¶ 26). Sections 5.2 and 12.2(b)–(c) make the SOF uncontestable in any proceeding and admissible “as if the Company had pleaded guilty.”</w:t>
      </w:r>
    </w:p>
    <w:p>
      <w:r>
        <w:rPr>
          <w:b/>
          <w:i w:val="0"/>
        </w:rPr>
        <w:t>Why it matters / support in the record.</w:t>
      </w:r>
      <w:r>
        <w:rPr>
          <w:b w:val="0"/>
          <w:i w:val="0"/>
        </w:rPr>
        <w:t xml:space="preserve"> Our investigation found knowledge concentrated at the Regional Sales Director level (Driscoll, Santos and certain other RSDs) and at the VP of Medical Affairs level (Dr. Kwan), and </w:t>
      </w:r>
      <w:r>
        <w:rPr>
          <w:b/>
          <w:i w:val="0"/>
        </w:rPr>
        <w:t>no evidence</w:t>
      </w:r>
      <w:r>
        <w:rPr>
          <w:b w:val="0"/>
          <w:i w:val="0"/>
        </w:rPr>
        <w:t xml:space="preserve"> that Dr. Ellison, Ms. Huang, Mr. Bridwell or Ms. Knowles had actual knowledge (Inv. Rpt. §§ VI.A–B). The investigation also found systemic compliance failures, decentralized decision-making and post-CIA cultural factors rather than a corporate-level scheme (§ VI.C). Further record conflicts: (i) ¶ 12 states consulting fees ranged “from approximately $40,000 to approximately $225,000 per year per healthcare provider,” but our records show $5,000–$50,000 per engagement and the average is only ~$40,000 per HCP-year ($6.2M / 155 HCP-years), so $40,000 cannot be the minimum; (ii) ¶ 10 says Dr. Kwan expanded the program “despite receiving internal reports” of concerns, while we found no escalation of any of the 312 flagged events beyond the analyst level (§ IV.D); (iii) ¶ 14 says Dr. Kwan selected consultants based on prescribing volume, while our record shows RSDs nominated and Dr. Kwan approved perfunctorily (§ V.C). Paragraph 26 serves no purpose for the Government’s criminal case other than to support the volume-of-commerce theory and future damages claims by states and private plaintiffs. Because ¶ 3 names the CEO, GC and CFO immediately before ¶ 16’s “executive team” language, the SOF would effectively identify them as the knowing executives. These admissions would be usable in Section 10(b) and derivative (Caremark) litigation, state Medicaid fraud actions, the qui tam, and any individual proceedings, and would substantially lower the Government’s burden in a post-breach prosecution.</w:t>
      </w:r>
    </w:p>
    <w:p>
      <w:r>
        <w:rPr>
          <w:b/>
          <w:i w:val="0"/>
        </w:rPr>
        <w:t>Recommendation.</w:t>
      </w:r>
      <w:r>
        <w:rPr>
          <w:b w:val="0"/>
          <w:i w:val="0"/>
        </w:rPr>
        <w:t xml:space="preserve"> </w:t>
      </w:r>
    </w:p>
    <w:p>
      <w:pPr>
        <w:pStyle w:val="ListBullet"/>
        <w:spacing w:after="60"/>
      </w:pPr>
      <w:r>
        <w:rPr>
          <w:b w:val="0"/>
          <w:i w:val="0"/>
        </w:rPr>
        <w:t>Redline the SOF to the investigation’s findings: replace ¶ 16 with conduct by “certain regional sales leadership and a former vice president”; replace corporate “knowingly and willfully” language with respondeat superior framing; strike “at minimum” and ¶ 26’s taint sentence; confine ¶ 13 to the subset of arrangements above FMV; correct ¶¶ 10, 12 and 14; soften ¶¶ 17, 19 and 23.</w:t>
      </w:r>
    </w:p>
    <w:p>
      <w:pPr>
        <w:pStyle w:val="ListBullet"/>
        <w:spacing w:after="60"/>
      </w:pPr>
      <w:r>
        <w:rPr>
          <w:b w:val="0"/>
          <w:i w:val="0"/>
        </w:rPr>
        <w:t>Keep § 4 in “the Government alleges” form and conform the SOF to it on quantum (or use a negotiated figure without “minimum”).</w:t>
      </w:r>
    </w:p>
    <w:p>
      <w:pPr>
        <w:pStyle w:val="ListBullet"/>
        <w:spacing w:after="60"/>
      </w:pPr>
      <w:r>
        <w:rPr>
          <w:b w:val="0"/>
          <w:i w:val="0"/>
        </w:rPr>
        <w:t>Limit § 5.2 to proceedings brought by the United States; replace § 12.2(b) “as if the Company had pleaded guilty” with a standard waiver of FRE 410 and Fed. R. Crim. P. 11(f) objections in a prosecution following a breach determination; delete § 12.2(c)’s waiver of any challenge to “accuracy … or completeness.”</w:t>
      </w:r>
    </w:p>
    <w:p>
      <w:pPr>
        <w:pStyle w:val="ListBullet"/>
        <w:spacing w:after="60"/>
      </w:pPr>
      <w:r>
        <w:rPr>
          <w:b w:val="0"/>
          <w:i w:val="0"/>
        </w:rPr>
        <w:t>Given that the CEO and GC sign the SOF and are implicated by ¶ 16, the Audit Committee should formally direct the SOF negotiation, and the individuals should be advised to consult personal counsel.</w:t>
      </w:r>
    </w:p>
    <w:p>
      <w:r>
        <w:rPr>
          <w:b/>
          <w:i w:val="0"/>
        </w:rPr>
        <w:t>Proposed language:</w:t>
      </w:r>
    </w:p>
    <w:p>
      <w:pPr>
        <w:ind w:left="720" w:right="576"/>
        <w:shd w:val="clear" w:color="auto" w:fill="F2F2F2"/>
      </w:pPr>
      <w:r>
        <w:rPr>
          <w:b w:val="0"/>
          <w:i w:val="0"/>
          <w:sz w:val="20"/>
        </w:rPr>
        <w:t>¶ 18 (revised): Certain Company employees, acting within the scope of their employment and with the intent, at least in part, to benefit the Company, knowingly and willfully offered and paid remuneration in the form of speaker honoraria and consulting fees to certain healthcare providers to induce them to prescribe Neurovan and Cardivex, including for beneficiaries of federal health care programs.</w:t>
      </w:r>
    </w:p>
    <w:p>
      <w:pPr>
        <w:ind w:left="720" w:right="576"/>
        <w:shd w:val="clear" w:color="auto" w:fill="F2F2F2"/>
      </w:pPr>
      <w:r>
        <w:rPr>
          <w:b w:val="0"/>
          <w:i w:val="0"/>
          <w:sz w:val="20"/>
        </w:rPr>
        <w:t>¶ 16 (revised): The Company’s compliance program during the Relevant Period did not effectively escalate or address the concerns identified through the Company’s monitoring process, which allowed certain regional sales leadership and a former vice president to use speaker programs and consulting arrangements in a manner inconsistent with Company policy and the Anti-Kickback Statute.</w:t>
      </w:r>
    </w:p>
    <w:p>
      <w:r>
        <w:rPr>
          <w:b/>
          <w:i w:val="0"/>
        </w:rPr>
        <w:t>Fallback position.</w:t>
      </w:r>
      <w:r>
        <w:rPr>
          <w:b w:val="0"/>
          <w:i w:val="0"/>
        </w:rPr>
        <w:t xml:space="preserve"> If the Government will not move on willfulness, the executive-knowledge language in ¶ 16 and the taint sentence in ¶ 26 remain must-haves; we would accept stipulated quantum within the investigation’s range ($9.8M–$12.4M speaker; $2.8M–$4.6M consulting).</w:t>
      </w:r>
    </w:p>
    <w:p>
      <w:pPr>
        <w:pStyle w:val="Heading3"/>
      </w:pPr>
      <w:r>
        <w:t>Issue 4. Breach Regime: Sole Discretion, Any Violation, No Notice, Cure or Review</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12.1, 12.2(e), 12.3; § 3.4; breach-by-definition clauses in §§ 5.3, 8.5, 9.5, 11.2, 14.3; conflict with § 15.3</w:t>
            </w:r>
          </w:p>
        </w:tc>
        <w:tc>
          <w:tcPr>
            <w:tcW w:type="dxa" w:w="2736"/>
            <w:shd w:val="clear" w:color="auto" w:fill="C00000"/>
          </w:tcPr>
          <w:p>
            <w:r>
              <w:rPr>
                <w:color w:val="FFFFFF"/>
              </w:rPr>
            </w:r>
            <w:r>
              <w:rPr>
                <w:b/>
                <w:i w:val="0"/>
                <w:color w:val="FFFFFF"/>
                <w:sz w:val="19"/>
              </w:rPr>
              <w:t>Risk rating: Critical</w:t>
            </w:r>
          </w:p>
        </w:tc>
      </w:tr>
    </w:tbl>
    <w:p>
      <w:r>
        <w:rPr>
          <w:b/>
          <w:i w:val="0"/>
        </w:rPr>
        <w:t>The problem.</w:t>
      </w:r>
      <w:r>
        <w:rPr>
          <w:b w:val="0"/>
          <w:i w:val="0"/>
        </w:rPr>
        <w:t xml:space="preserve"> Under § 12.1 the USAO may find a breach “in its sole discretion” for “any violation of any provision,” which “shall void this Agreement in its entirety”; the Company may not contest the determination “in any forum”; § 12.3 expressly disclaims any cure period, materiality threshold, notice or hearing; and § 12.2(e) forfeits all prior payments without credit against any later fine. Several provisions independently declare particular lapses to be breaches.</w:t>
      </w:r>
    </w:p>
    <w:p>
      <w:r>
        <w:rPr>
          <w:b/>
          <w:i w:val="0"/>
        </w:rPr>
        <w:t>Why it matters / support in the record.</w:t>
      </w:r>
      <w:r>
        <w:rPr>
          <w:b w:val="0"/>
          <w:i w:val="0"/>
        </w:rPr>
        <w:t xml:space="preserve"> Because the DPA contains hundreds of operational obligations, the regime converts routine slippage into a prosecution trigger: a single $151-per-attendee dinner (§ 7.3(b)), one employee missing a 90-day training (§ 7.6), a self-report made at hour 73 (§ 6.4), or a Monitor invoice paid on day 31 (§ 9.4). A post-breach conviction on an AKS count would be a program-related conviction requiring </w:t>
      </w:r>
      <w:r>
        <w:rPr>
          <w:b/>
          <w:i w:val="0"/>
        </w:rPr>
        <w:t>mandatory exclusion</w:t>
      </w:r>
      <w:r>
        <w:rPr>
          <w:b w:val="0"/>
          <w:i w:val="0"/>
        </w:rPr>
        <w:t xml:space="preserve"> from Medicare, Medicaid and other federal programs (42 U.S.C. § 1320a-7(a)(1)) — an existential consequence for a company whose three products are reimbursed by those programs. The “no forum” bar also conflicts with § 15.3 (exclusive jurisdiction of the D.N.J.). Courts give limited supervisory review of DPAs (United States v. HSBC Bank USA, N.A., 863 F.3d 125 (2d Cir. 2017); United States v. Fokker Servs. B.V., 818 F.3d 733 (D.C. Cir. 2016)), so the protections must be written into the agreement.</w:t>
      </w:r>
    </w:p>
    <w:p>
      <w:r>
        <w:rPr>
          <w:b/>
          <w:i w:val="0"/>
        </w:rPr>
        <w:t>Recommendation.</w:t>
      </w:r>
      <w:r>
        <w:rPr>
          <w:b w:val="0"/>
          <w:i w:val="0"/>
        </w:rPr>
        <w:t xml:space="preserve"> </w:t>
      </w:r>
    </w:p>
    <w:p>
      <w:pPr>
        <w:pStyle w:val="ListBullet"/>
        <w:spacing w:after="60"/>
      </w:pPr>
      <w:r>
        <w:rPr>
          <w:b w:val="0"/>
          <w:i w:val="0"/>
        </w:rPr>
        <w:t>Replace “any violation” with DOJ-standard enumerated breach events: commission of a felony under federal law during the Term; deliberately false, incomplete or misleading information; failure to cooperate; failure to implement the compliance program; or a knowing and material failure to perform any other obligation.</w:t>
      </w:r>
    </w:p>
    <w:p>
      <w:pPr>
        <w:pStyle w:val="ListBullet"/>
        <w:spacing w:after="60"/>
      </w:pPr>
      <w:r>
        <w:rPr>
          <w:b w:val="0"/>
          <w:i w:val="0"/>
        </w:rPr>
        <w:t>Require written notice and a 30-day period to respond, explain and remediate, which the Government must consider; add a 10-Business-Day cure period after notice for ministerial obligations (payments, reports, certifications).</w:t>
      </w:r>
    </w:p>
    <w:p>
      <w:pPr>
        <w:pStyle w:val="ListBullet"/>
        <w:spacing w:after="60"/>
      </w:pPr>
      <w:r>
        <w:rPr>
          <w:b w:val="0"/>
          <w:i w:val="0"/>
        </w:rPr>
        <w:t>Delete “void this Agreement in its entirety” (the Government may elect to prosecute) and § 12.3; preserve the Company’s right to contest whether a breach occurred in any ensuing prosecution; credit amounts paid against any later fine, restitution or forfeiture (§ 12.2(e)).</w:t>
      </w:r>
    </w:p>
    <w:p>
      <w:pPr>
        <w:pStyle w:val="ListBullet"/>
        <w:spacing w:after="60"/>
      </w:pPr>
      <w:r>
        <w:rPr>
          <w:b w:val="0"/>
          <w:i w:val="0"/>
        </w:rPr>
        <w:t>Delete the stand-alone breach-by-definition sentences in §§ 5.3, 9.5, 11.2 and 14.3, or subject them to the same procedure.</w:t>
      </w:r>
    </w:p>
    <w:p>
      <w:r>
        <w:rPr>
          <w:b/>
          <w:i w:val="0"/>
        </w:rPr>
        <w:t>Proposed language:</w:t>
      </w:r>
    </w:p>
    <w:p>
      <w:pPr>
        <w:ind w:left="720" w:right="576"/>
        <w:shd w:val="clear" w:color="auto" w:fill="F2F2F2"/>
      </w:pPr>
      <w:r>
        <w:rPr>
          <w:b w:val="0"/>
          <w:i w:val="0"/>
          <w:sz w:val="20"/>
        </w:rPr>
        <w:t>12.1 In the event the Government determines that the Company has (a) committed any felony under U.S. federal law after the Effective Date; (b) provided deliberately false, incomplete or misleading information in connection with this Agreement; (c) failed to cooperate as required by Section 6; (d) failed to implement the compliance program described in Section 7; or (e) otherwise knowingly and materially failed to perform its obligations under this Agreement, the Government shall provide written notice to the Company, addressed to its General Counsel, its Chief Compliance Officer and its counsel, of the alleged breach. Within thirty (30) days of receipt of such notice, the Company shall have the opportunity to respond in writing to explain the nature and circumstances of the alleged breach and the actions the Company has taken to address and remediate the situation, which the Government shall consider in good faith in determining whether to pursue prosecution. In any such prosecution the Company may contest whether a breach occurred, and any amounts paid under this Agreement shall be credited against any fine, restitution or forfeiture imposed.</w:t>
      </w:r>
    </w:p>
    <w:p>
      <w:r>
        <w:rPr>
          <w:b/>
          <w:i w:val="0"/>
        </w:rPr>
        <w:t>Fallback position.</w:t>
      </w:r>
      <w:r>
        <w:rPr>
          <w:b w:val="0"/>
          <w:i w:val="0"/>
        </w:rPr>
        <w:t xml:space="preserve"> Accept retention of the Government’s “sole discretion” to determine breach only if the notice-and-response procedure, materiality/knowing standard and payment crediting are included.</w:t>
      </w:r>
    </w:p>
    <w:p>
      <w:pPr>
        <w:pStyle w:val="Heading3"/>
      </w:pPr>
      <w:r>
        <w:t>Issue 5. Compelled Waiver of Attorney-Client Privilege and Work Product</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6.2; § 9.2(d) (Monitor access to any document); § 6.1</w:t>
            </w:r>
          </w:p>
        </w:tc>
        <w:tc>
          <w:tcPr>
            <w:tcW w:type="dxa" w:w="2736"/>
            <w:shd w:val="clear" w:color="auto" w:fill="C00000"/>
          </w:tcPr>
          <w:p>
            <w:r>
              <w:rPr>
                <w:color w:val="FFFFFF"/>
              </w:rPr>
            </w:r>
            <w:r>
              <w:rPr>
                <w:b/>
                <w:i w:val="0"/>
                <w:color w:val="FFFFFF"/>
                <w:sz w:val="19"/>
              </w:rPr>
              <w:t>Risk rating: Critical</w:t>
            </w:r>
          </w:p>
        </w:tc>
      </w:tr>
    </w:tbl>
    <w:p>
      <w:r>
        <w:rPr>
          <w:b/>
          <w:i w:val="0"/>
        </w:rPr>
        <w:t>The problem.</w:t>
      </w:r>
      <w:r>
        <w:rPr>
          <w:b w:val="0"/>
          <w:i w:val="0"/>
        </w:rPr>
        <w:t xml:space="preserve"> Section 6.2 requires production “without assertion of any claim of privilege,” with a sole exception for attorney-client communications between the Company and Whitfield &amp; Crane on or after June 15, 2021. It expressly waives the work-product doctrine and “joint defense privilege,” all pre-June 15, 2021 communications, and all communications with “any counsel or law firm other than Whitfield &amp; Crane.”</w:t>
      </w:r>
    </w:p>
    <w:p>
      <w:r>
        <w:rPr>
          <w:b/>
          <w:i w:val="0"/>
        </w:rPr>
        <w:t>Why it matters / support in the record.</w:t>
      </w:r>
      <w:r>
        <w:rPr>
          <w:b w:val="0"/>
          <w:i w:val="0"/>
        </w:rPr>
        <w:t xml:space="preserve"> The waiver would reach: (i) all in-house legal advice, including Ms. Huang’s and the Deputy General Counsel’s communications, and any counsel on the 2014 CIA; (ii) the privileged preliminary consultations with Ms. Vasquez during the first two weeks of June 2021 and the Audit Committee’s June 14, 2021 authorization (Inv. Rpt. § II.A), because the engagement letter was signed June 15; (iii) all work product, including our 68 Upjohn interview memoranda, the investigation report, the Alderman report and our credit-facility analysis; and (iv) joint-defense materials whose privilege belongs in part to others (e.g., Dr. Kwan through his counsel, Mr. Feldman), which the Company cannot waive. Justice Manual § 9-28.710 provides that cooperation credit depends on disclosure of relevant facts, not waiver of privilege or work product, and prosecutors should not request such waivers. Because the Third Circuit rejects selective waiver (Westinghouse Elec. Corp. v. Republic of the Philippines, 951 F.2d 1414 (3d Cir. 1991)), anything produced will be discoverable by the relator, shareholder plaintiffs and state AGs, and subject-matter waiver arguments would follow. Section 9.2(d) independently gives the Monitor access to privileged material.</w:t>
      </w:r>
    </w:p>
    <w:p>
      <w:r>
        <w:rPr>
          <w:b/>
          <w:i w:val="0"/>
        </w:rPr>
        <w:t>Recommendation.</w:t>
      </w:r>
      <w:r>
        <w:rPr>
          <w:b w:val="0"/>
          <w:i w:val="0"/>
        </w:rPr>
        <w:t xml:space="preserve"> </w:t>
      </w:r>
    </w:p>
    <w:p>
      <w:pPr>
        <w:pStyle w:val="ListBullet"/>
        <w:spacing w:after="60"/>
      </w:pPr>
      <w:r>
        <w:rPr>
          <w:b w:val="0"/>
          <w:i w:val="0"/>
        </w:rPr>
        <w:t>Replace § 6.2 with a facts-based cooperation obligation expressly subject to applicable privileges and protections, with a privilege log upon request and no inference from assertion of privilege.</w:t>
      </w:r>
    </w:p>
    <w:p>
      <w:pPr>
        <w:pStyle w:val="ListBullet"/>
        <w:spacing w:after="60"/>
      </w:pPr>
      <w:r>
        <w:rPr>
          <w:b w:val="0"/>
          <w:i w:val="0"/>
        </w:rPr>
        <w:t>For any voluntary production of privileged material, require a written non-waiver agreement and a stipulated order under FRE 502(d); continue providing factual “downloads” orally rather than producing interview memoranda.</w:t>
      </w:r>
    </w:p>
    <w:p>
      <w:pPr>
        <w:pStyle w:val="ListBullet"/>
        <w:spacing w:after="60"/>
      </w:pPr>
      <w:r>
        <w:rPr>
          <w:b w:val="0"/>
          <w:i w:val="0"/>
        </w:rPr>
        <w:t>Exclude privileged and joint-defense materials from Monitor access (§ 9.2), with a protocol for Monitor requests implicating privilege.</w:t>
      </w:r>
    </w:p>
    <w:p>
      <w:pPr>
        <w:pStyle w:val="ListBullet"/>
        <w:spacing w:after="60"/>
      </w:pPr>
      <w:r>
        <w:rPr>
          <w:b w:val="0"/>
          <w:i w:val="0"/>
        </w:rPr>
        <w:t>Production deadline: 14 business days is unrealistic for large requests; use “a reasonable time, not to exceed 30 days unless otherwise agreed.”</w:t>
      </w:r>
    </w:p>
    <w:p>
      <w:r>
        <w:rPr>
          <w:b/>
          <w:i w:val="0"/>
        </w:rPr>
        <w:t>Proposed language:</w:t>
      </w:r>
    </w:p>
    <w:p>
      <w:pPr>
        <w:ind w:left="720" w:right="576"/>
        <w:shd w:val="clear" w:color="auto" w:fill="F2F2F2"/>
      </w:pPr>
      <w:r>
        <w:rPr>
          <w:b w:val="0"/>
          <w:i w:val="0"/>
          <w:sz w:val="20"/>
        </w:rPr>
        <w:t>6.2 The Company shall produce, upon request, non-privileged documents, records and other materials in its possession, custody or control relating to the matters described in the Statement of Facts. Nothing in this Agreement requires the Company to waive the attorney-client privilege, the work-product protection, or any other applicable privilege or protection, including with respect to communications with or work product of in-house or outside counsel, and no adverse inference shall be drawn from the Company’s good-faith assertion of any such privilege or protection. Upon request, the Company shall provide a log of materials withheld on that basis. The Government shall not seek, and the Monitor shall not request, the production of privileged materials, except pursuant to a written agreement that preserves the privilege as to third parties, including by order under Federal Rule of Evidence 502(d).</w:t>
      </w:r>
    </w:p>
    <w:p>
      <w:r>
        <w:rPr>
          <w:b/>
          <w:i w:val="0"/>
        </w:rPr>
        <w:t>Fallback position.</w:t>
      </w:r>
      <w:r>
        <w:rPr>
          <w:b w:val="0"/>
          <w:i w:val="0"/>
        </w:rPr>
        <w:t xml:space="preserve"> If the Government insists on a waiver, limit it to a defined set of pre-existing business-record documents, under FRE 502(d) and a written non-waiver agreement, with no subject-matter waiver and no waiver for work product created after the qui tam was unsealed.</w:t>
      </w:r>
    </w:p>
    <w:p>
      <w:pPr>
        <w:pStyle w:val="Heading3"/>
      </w:pPr>
      <w:r>
        <w:t>Issue 6. Fourth Installment Falls Due After the Term; Dismissal Conditioned on Full Payment</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3.1 (Term ends Jan. 31, 2028); § 3.3 (dismissal requires payment of “all monetary penalties”); § 8.4(d) (due 36 months after Execution Date)</w:t>
            </w:r>
          </w:p>
        </w:tc>
        <w:tc>
          <w:tcPr>
            <w:tcW w:type="dxa" w:w="2736"/>
            <w:shd w:val="clear" w:color="auto" w:fill="C00000"/>
          </w:tcPr>
          <w:p>
            <w:r>
              <w:rPr>
                <w:color w:val="FFFFFF"/>
              </w:rPr>
            </w:r>
            <w:r>
              <w:rPr>
                <w:b/>
                <w:i w:val="0"/>
                <w:color w:val="FFFFFF"/>
                <w:sz w:val="19"/>
              </w:rPr>
              <w:t>Risk rating: Critical</w:t>
            </w:r>
          </w:p>
        </w:tc>
      </w:tr>
    </w:tbl>
    <w:p>
      <w:r>
        <w:rPr>
          <w:b/>
          <w:i w:val="0"/>
        </w:rPr>
        <w:t>The problem.</w:t>
      </w:r>
      <w:r>
        <w:rPr>
          <w:b w:val="0"/>
          <w:i w:val="0"/>
        </w:rPr>
        <w:t xml:space="preserve"> The fourth installment ($37.5M) is due “thirty-six (36) months after the Execution Date” — February 1, 2028 — one day after the Term expires on January 31, 2028. Section 3.3 conditions the motion to dismiss on payment of all monetary penalties “upon successful completion” of the Term.</w:t>
      </w:r>
    </w:p>
    <w:p>
      <w:r>
        <w:rPr>
          <w:b/>
          <w:i w:val="0"/>
        </w:rPr>
        <w:t>Why it matters / support in the record.</w:t>
      </w:r>
      <w:r>
        <w:rPr>
          <w:b w:val="0"/>
          <w:i w:val="0"/>
        </w:rPr>
        <w:t xml:space="preserve"> As drafted, the Company cannot satisfy the dismissal condition on time; the defect invites a unilateral extension under § 3.5 (with continued Monitor fees of ~$4.5M per year) or an argument that the Term has not been “successfully completed.” The scheduled dates also fall on weekends (February 1, 2025 is a Saturday; February 1, 2026 is a Sunday), and § 8.5 makes payment more than 15 days late a breach. The Company’s cash model compounds the confusion by placing the 12-month installment in Year 1 and the 36-month installment in Year 3 of the Term.</w:t>
      </w:r>
    </w:p>
    <w:p>
      <w:r>
        <w:rPr>
          <w:b/>
          <w:i w:val="0"/>
        </w:rPr>
        <w:t>Recommendation.</w:t>
      </w:r>
      <w:r>
        <w:rPr>
          <w:b w:val="0"/>
          <w:i w:val="0"/>
        </w:rPr>
        <w:t xml:space="preserve"> </w:t>
      </w:r>
    </w:p>
    <w:p>
      <w:pPr>
        <w:pStyle w:val="ListBullet"/>
        <w:spacing w:after="60"/>
      </w:pPr>
      <w:r>
        <w:rPr>
          <w:b w:val="0"/>
          <w:i w:val="0"/>
        </w:rPr>
        <w:t>Make the final installment due on or before the last Business Day before the end of the Term (e.g., November 1, 2027 or January 31, 2028), or provide that dismissal requires payment of all amounts “due on or before the expiration of the Term.”</w:t>
      </w:r>
    </w:p>
    <w:p>
      <w:pPr>
        <w:pStyle w:val="ListBullet"/>
        <w:spacing w:after="60"/>
      </w:pPr>
      <w:r>
        <w:rPr>
          <w:b w:val="0"/>
          <w:i w:val="0"/>
        </w:rPr>
        <w:t>Add a business-day convention and an express right to prepay without penalty.</w:t>
      </w:r>
    </w:p>
    <w:p>
      <w:r>
        <w:rPr>
          <w:b/>
          <w:i w:val="0"/>
        </w:rPr>
        <w:t>Proposed language:</w:t>
      </w:r>
    </w:p>
    <w:p>
      <w:pPr>
        <w:ind w:left="720" w:right="576"/>
        <w:shd w:val="clear" w:color="auto" w:fill="F2F2F2"/>
      </w:pPr>
      <w:r>
        <w:rPr>
          <w:b w:val="0"/>
          <w:i w:val="0"/>
          <w:sz w:val="20"/>
        </w:rPr>
        <w:t>8.4(d) Fourth Installment: $[•], due and payable on or before the earlier of (i) thirty-three (33) months after the Effective Date and (ii) the last Business Day preceding the expiration of the Term. If any payment date falls on a day that is not a Business Day, payment shall be due on the next Business Day. The Company may prepay any installment, in whole or in part, without penalty.</w:t>
      </w:r>
    </w:p>
    <w:p>
      <w:pPr>
        <w:pStyle w:val="Heading2"/>
      </w:pPr>
      <w:r>
        <w:t>B. High-Risk Issues</w:t>
      </w:r>
    </w:p>
    <w:p>
      <w:pPr>
        <w:pStyle w:val="Heading3"/>
      </w:pPr>
      <w:r>
        <w:t>Issue 7. Successor Liability Sweeps in Acquired Entities (BioNovus) and Divestiture Buyers</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11.1, 11.2; interaction with §§ 9.2 and 9.2(c)</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Section 11.1 binds “all of its successors, assigns, and any entity that acquires all or substantially all” of the Company, plus “any entity with which the Company merges or consolidates” and “any entity that acquires any business unit, division, or subsidiary … involved in the conduct.” It has no materiality threshold, no definition of “substantially all,” no Government consent mechanism and no carve-out for entities the Company acquires. Obligations “shall survive any change in corporate form … and shall not be … diminished.”</w:t>
      </w:r>
    </w:p>
    <w:p>
      <w:r>
        <w:rPr>
          <w:b/>
          <w:i w:val="0"/>
        </w:rPr>
        <w:t>Why it matters / support in the record.</w:t>
      </w:r>
      <w:r>
        <w:rPr>
          <w:b w:val="0"/>
          <w:i w:val="0"/>
        </w:rPr>
        <w:t xml:space="preserve"> As Ms. Lin and Ms. Huang recognize, the clause is drafted for a change of control of Greenvale but the open-ended “successors” and “merges or consolidates” language could reach BioNovus if it is merged into or integrated with Greenvale’s operations (the stated plan). Combined with the Monitor’s enterprise-wide access (§ 9.2) and the right to “review and comment upon any proposed transaction … prior to its implementation” (§ 9.2(c)), Thornfield would see the BioNovus deal deliberations before signing and BNV-401 clinical data after closing — which Meridian describes as a potential deal-breaker. The business-unit language would also burden any future divestiture of the Neurovan or Cardivex franchises, depressing their value. Post-closing, BioNovus would also likely become a Guarantor and part of the lenders’ collateral (Credit Summary § 8.1), so the DPA, the Credit Agreement and the deal documents must be aligned. DOJ’s October 2023 M&amp;A Safe Harbor policy supports giving acquirers an integration period for acquired entities rather than automatic coverage.</w:t>
      </w:r>
    </w:p>
    <w:p>
      <w:r>
        <w:rPr>
          <w:b/>
          <w:i w:val="0"/>
        </w:rPr>
        <w:t>Recommendation.</w:t>
      </w:r>
      <w:r>
        <w:rPr>
          <w:b w:val="0"/>
          <w:i w:val="0"/>
        </w:rPr>
        <w:t xml:space="preserve"> </w:t>
      </w:r>
    </w:p>
    <w:p>
      <w:pPr>
        <w:pStyle w:val="ListBullet"/>
        <w:spacing w:after="60"/>
      </w:pPr>
      <w:r>
        <w:rPr>
          <w:b w:val="0"/>
          <w:i w:val="0"/>
        </w:rPr>
        <w:t>Bind the Company and its subsidiaries as of the Effective Date; exclude entities acquired after the Effective Date from Monitor review and the specific Section 7 mandates, subject to an obligation to integrate their HCP-engagement activities into the Company’s compliance program within 12 months of closing.</w:t>
      </w:r>
    </w:p>
    <w:p>
      <w:pPr>
        <w:pStyle w:val="ListBullet"/>
        <w:spacing w:after="60"/>
      </w:pPr>
      <w:r>
        <w:rPr>
          <w:b w:val="0"/>
          <w:i w:val="0"/>
        </w:rPr>
        <w:t>For a sale of the Company, use the DOJ-standard approach: the Company must include in the transaction documents a provision binding the acquirer to the DPA, with 30 days’ advance notice to the Government.</w:t>
      </w:r>
    </w:p>
    <w:p>
      <w:pPr>
        <w:pStyle w:val="ListBullet"/>
        <w:spacing w:after="60"/>
      </w:pPr>
      <w:r>
        <w:rPr>
          <w:b w:val="0"/>
          <w:i w:val="0"/>
        </w:rPr>
        <w:t>For divestiture of a product line or business unit, bind the purchaser only to document-preservation and cooperation obligations relating to the transferred business.</w:t>
      </w:r>
    </w:p>
    <w:p>
      <w:pPr>
        <w:pStyle w:val="ListBullet"/>
        <w:spacing w:after="60"/>
      </w:pPr>
      <w:r>
        <w:rPr>
          <w:b w:val="0"/>
          <w:i w:val="0"/>
        </w:rPr>
        <w:t>Delete § 9.2(c) or limit it to transactions that would materially reduce the compliance program’s resources, with strict confidentiality and no approval right.</w:t>
      </w:r>
    </w:p>
    <w:p>
      <w:pPr>
        <w:pStyle w:val="ListBullet"/>
        <w:spacing w:after="60"/>
      </w:pPr>
      <w:r>
        <w:rPr>
          <w:b w:val="0"/>
          <w:i w:val="0"/>
        </w:rPr>
        <w:t>Agree the language before the March 15, 2025 LOI so the deal team can draft around it.</w:t>
      </w:r>
    </w:p>
    <w:p>
      <w:r>
        <w:rPr>
          <w:b/>
          <w:i w:val="0"/>
        </w:rPr>
        <w:t>Proposed language:</w:t>
      </w:r>
    </w:p>
    <w:p>
      <w:pPr>
        <w:ind w:left="720" w:right="576"/>
        <w:shd w:val="clear" w:color="auto" w:fill="F2F2F2"/>
      </w:pPr>
      <w:r>
        <w:rPr>
          <w:b w:val="0"/>
          <w:i w:val="0"/>
          <w:sz w:val="20"/>
        </w:rPr>
        <w:t>11.1 This Agreement shall bind the Company and its subsidiaries as of the Effective Date. In the event the Company sells, merges or transfers all or substantially all of its business operations during the Term, the Company shall include in any contract for such transaction a provision binding the purchaser or successor to the obligations of this Agreement, and shall provide the Government at least thirty (30) days’ notice. Entities acquired by the Company after the Effective Date shall not be subject to Section 9 or to the specific requirements of Section 7, provided that the Company integrates any healthcare-provider engagement activities of such entities into its compliance program within twelve (12) months after closing. The purchaser of any product line or business unit shall be bound only by Sections 6.2 and 6.5 with respect to records of the transferred business.</w:t>
      </w:r>
    </w:p>
    <w:p>
      <w:r>
        <w:rPr>
          <w:b/>
          <w:i w:val="0"/>
        </w:rPr>
        <w:t>Fallback position.</w:t>
      </w:r>
      <w:r>
        <w:rPr>
          <w:b w:val="0"/>
          <w:i w:val="0"/>
        </w:rPr>
        <w:t xml:space="preserve"> At minimum, require the Government’s written consent before any DPA obligation extends to a post-Effective Date acquisition, and ring-fence clinical and R&amp;D data from the Monitor.</w:t>
      </w:r>
    </w:p>
    <w:p>
      <w:pPr>
        <w:pStyle w:val="Heading3"/>
      </w:pPr>
      <w:r>
        <w:t>Issue 8. Monitor Scope and Access Are Unlimited</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9.2 (all records, personnel, Board and committee meetings; interviews without counsel; transaction review; consultants); § 9.3 (quarterly reports; Government redaction)</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The Monitor would have access to “all Company records … personnel, and Board of Directors meetings … without limitation as to business unit, function, or subject matter,” including the Compensation and Nominating Committees and “any special committee”; could interview employees “with or without the presence of Company counsel”; and would report quarterly to the Government, which may redact what the Company receives “in its sole discretion.”</w:t>
      </w:r>
    </w:p>
    <w:p>
      <w:r>
        <w:rPr>
          <w:b/>
          <w:i w:val="0"/>
        </w:rPr>
        <w:t>Why it matters / support in the record.</w:t>
      </w:r>
      <w:r>
        <w:rPr>
          <w:b w:val="0"/>
          <w:i w:val="0"/>
        </w:rPr>
        <w:t xml:space="preserve"> The misconduct was confined to Neurovan and Cardivex speaker and consulting activity, medical affairs approvals and the compliance function. Alderman’s benchmarking (App. B) shows comparable pharmaceutical monitorships limited to the products and functions involved (Companies C, D, G, H), with explicit M&amp;A, R&amp;D and treasury carve-outs (Company H). Unlimited access would expose R&amp;D and BNV-401 data, M&amp;A and financing deliberations, privileged Board sessions and HR records, and — given the Thornfield/Vantage concern (Issue 9) — competitively sensitive information. Quarterly reporting is heavier than the usual initial review plus follow-up reviews, and the Company has no right to see or respond to draft findings.</w:t>
      </w:r>
    </w:p>
    <w:p>
      <w:r>
        <w:rPr>
          <w:b/>
          <w:i w:val="0"/>
        </w:rPr>
        <w:t>Recommendation.</w:t>
      </w:r>
      <w:r>
        <w:rPr>
          <w:b w:val="0"/>
          <w:i w:val="0"/>
        </w:rPr>
        <w:t xml:space="preserve"> </w:t>
      </w:r>
    </w:p>
    <w:p>
      <w:pPr>
        <w:pStyle w:val="ListBullet"/>
        <w:spacing w:after="60"/>
      </w:pPr>
      <w:r>
        <w:rPr>
          <w:b w:val="0"/>
          <w:i w:val="0"/>
        </w:rPr>
        <w:t>Limit scope to: the U.S. commercial operations for Neurovan and Cardivex (and successor products); HCP-engagement functions company-wide (speaker programs, consulting, advisory boards); the compliance department; and compliance-related reporting to the Audit Committee. Exclude R&amp;D, clinical data, M&amp;A, treasury and privileged materials.</w:t>
      </w:r>
    </w:p>
    <w:p>
      <w:pPr>
        <w:pStyle w:val="ListBullet"/>
        <w:spacing w:after="60"/>
      </w:pPr>
      <w:r>
        <w:rPr>
          <w:b w:val="0"/>
          <w:i w:val="0"/>
        </w:rPr>
        <w:t>Employees may have counsel present at their election; Company counsel may attend unless the Monitor reasonably determines otherwise for a specific interview.</w:t>
      </w:r>
    </w:p>
    <w:p>
      <w:pPr>
        <w:pStyle w:val="ListBullet"/>
        <w:spacing w:after="60"/>
      </w:pPr>
      <w:r>
        <w:rPr>
          <w:b w:val="0"/>
          <w:i w:val="0"/>
        </w:rPr>
        <w:t>Require a written work plan within 60 days (Company comment rights); an initial review and two follow-up reviews with annual reports; delivery of draft reports to the Company 15 Business Days before finalization; reports to be non-public and treated as confidential commercial information.</w:t>
      </w:r>
    </w:p>
    <w:p>
      <w:r>
        <w:rPr>
          <w:b/>
          <w:i w:val="0"/>
        </w:rPr>
        <w:t>Proposed language:</w:t>
      </w:r>
    </w:p>
    <w:p>
      <w:pPr>
        <w:ind w:left="720" w:right="576"/>
        <w:shd w:val="clear" w:color="auto" w:fill="F2F2F2"/>
      </w:pPr>
      <w:r>
        <w:rPr>
          <w:b w:val="0"/>
          <w:i w:val="0"/>
          <w:sz w:val="20"/>
        </w:rPr>
        <w:t>9.2 The Monitor’s mandate is to evaluate the effectiveness of the Company’s compliance program in preventing and detecting violations of the Anti-Kickback Statute and related laws in connection with the Company’s interactions with healthcare providers, and the Company’s compliance with Section 7. The Monitor shall have access to non-privileged documents, personnel and Audit Committee materials reasonably necessary for that mandate. The Monitor’s mandate does not extend to the Company’s research and development, clinical, business-development, treasury or financing activities, except to the extent they involve remuneration to healthcare providers.</w:t>
      </w:r>
    </w:p>
    <w:p>
      <w:r>
        <w:rPr>
          <w:b/>
          <w:i w:val="0"/>
        </w:rPr>
        <w:t>Fallback position.</w:t>
      </w:r>
      <w:r>
        <w:rPr>
          <w:b w:val="0"/>
          <w:i w:val="0"/>
        </w:rPr>
        <w:t xml:space="preserve"> If enterprise-wide access is retained, add a confidentiality agreement, a clean-team protocol for R&amp;D and transaction information, and Company notice of any request outside the core functions.</w:t>
      </w:r>
    </w:p>
    <w:p>
      <w:pPr>
        <w:pStyle w:val="Heading3"/>
      </w:pPr>
      <w:r>
        <w:t>Issue 9. Monitor Selection Without Company Input; Thornfield/Vantage BioPharma Conflict</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9.1</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The Government has pre-selected Thornfield Consulting Group (Dr. Raymond Okafor) and the Company “shall have no right to approve, reject, or provide input into the selection of the Monitor or any of the Monitor’s staff.”</w:t>
      </w:r>
    </w:p>
    <w:p>
      <w:r>
        <w:rPr>
          <w:b/>
          <w:i w:val="0"/>
        </w:rPr>
        <w:t>Why it matters / support in the record.</w:t>
      </w:r>
      <w:r>
        <w:rPr>
          <w:b w:val="0"/>
          <w:i w:val="0"/>
        </w:rPr>
        <w:t xml:space="preserve"> Thornfield previously advised Vantage BioPharma — a direct competitor in neurology and cardiovascular markets — on compliance assessment and remediation in a healthcare fraud matter prosecuted by the same USAO (Thornfield press release June 2018; United States v. Vantage BioPharma, Inc., No. 3:19-cv-04127 (D.N.J.); trade press September 2019). Dr. Okafor is a former Associate Deputy Attorney General who worked on monitor-selection policy. The core risk is competitive: Thornfield personnel would hold confidential information of a direct competitor while receiving Greenvale’s (and post-closing, BioNovus’s) pricing, targeting, pipeline and deal information. The prosecutorial-relationship concern is real but should be framed carefully — Thornfield was the company-side advisor in Vantage. Our sources also disagree on when Vantage was resolved (consent decree in 2021 per our investigation report; settlement reported in September 2019 per Alderman’s sources), which we should pin down before raising it. DOJ monitor guidance (Morford Memorandum, Mar. 7, 2008; Benczkowski Memorandum, Oct. 11, 2018; Deputy Attorney General Monaco Memorandum, Sept. 15, 2022) contemplates conflict screening, a documented selection process and, in practice, a Company-proposed slate of candidates.</w:t>
      </w:r>
    </w:p>
    <w:p>
      <w:r>
        <w:rPr>
          <w:b/>
          <w:i w:val="0"/>
        </w:rPr>
        <w:t>Recommendation.</w:t>
      </w:r>
      <w:r>
        <w:rPr>
          <w:b w:val="0"/>
          <w:i w:val="0"/>
        </w:rPr>
        <w:t xml:space="preserve"> </w:t>
      </w:r>
    </w:p>
    <w:p>
      <w:pPr>
        <w:pStyle w:val="ListBullet"/>
        <w:spacing w:after="60"/>
      </w:pPr>
      <w:r>
        <w:rPr>
          <w:b w:val="0"/>
          <w:i w:val="0"/>
        </w:rPr>
        <w:t>Propose the DOJ-customary process: the Company nominates three qualified, conflict-free candidates within 30 days of the Effective Date; the Government selects; the Monitor certifies the absence of conflicts and agrees not to be employed by or affiliated with the Company for two years after the monitorship.</w:t>
      </w:r>
    </w:p>
    <w:p>
      <w:pPr>
        <w:pStyle w:val="ListBullet"/>
        <w:spacing w:after="60"/>
      </w:pPr>
      <w:r>
        <w:rPr>
          <w:b w:val="0"/>
          <w:i w:val="0"/>
        </w:rPr>
        <w:t>Identify and conflict-check alternative candidates now (with Alderman’s assistance) so we can offer names on January 15.</w:t>
      </w:r>
    </w:p>
    <w:p>
      <w:pPr>
        <w:pStyle w:val="ListBullet"/>
        <w:spacing w:after="60"/>
      </w:pPr>
      <w:r>
        <w:rPr>
          <w:b w:val="0"/>
          <w:i w:val="0"/>
        </w:rPr>
        <w:t>If the Government insists on Thornfield: written disclosure of the scope, dates and personnel of the Vantage engagement; exclusion of Vantage-engagement personnel; a documented ethical wall; a Company right to object to individual team members; and a Monitor-Company confidentiality agreement covering competitively sensitive information, with a three-year restriction on advising Greenvale competitors in the same therapeutic areas.</w:t>
      </w:r>
    </w:p>
    <w:p>
      <w:pPr>
        <w:pStyle w:val="Heading3"/>
      </w:pPr>
      <w:r>
        <w:t>Issue 10. Monitor Fees Uncapped; Full-Term Monitorship; Unilateral Extension</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9.1, 9.2(e), 9.4</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The Monitor’s fees and those of any consultants it retains are borne “exclusively” by the Company, payable within 30 days, with no cap, budget or work-plan control; the Company “agrees to pay all reasonable and actual fees” even if they exceed the $4.5M per year estimate. The monitorship runs for the full Term and may be extended in the Government’s “sole discretion.”</w:t>
      </w:r>
    </w:p>
    <w:p>
      <w:r>
        <w:rPr>
          <w:b/>
          <w:i w:val="0"/>
        </w:rPr>
        <w:t>Why it matters / support in the record.</w:t>
      </w:r>
      <w:r>
        <w:rPr>
          <w:b w:val="0"/>
          <w:i w:val="0"/>
        </w:rPr>
        <w:t xml:space="preserve"> The $13.5M estimate already equals nearly three years of the FY2019 compliance budget ($14.4M) and sits at the high end of pharmaceutical monitorships (Alderman § V.C). Uncapped consultant retention under § 9.2(e) is the usual source of overruns. Because § 9.5 makes any failure to cooperate with the Monitor a breach, the Company has no practical ability to dispute invoices. The Company’s remediation since 2022 (dotted-line CCO reporting since early 2023, increased staffing, FY2023 budget of $5.2M, enhanced speaker vetting) supports a shorter or hybrid monitorship under the Benczkowski factors.</w:t>
      </w:r>
    </w:p>
    <w:p>
      <w:r>
        <w:rPr>
          <w:b/>
          <w:i w:val="0"/>
        </w:rPr>
        <w:t>Recommendation.</w:t>
      </w:r>
      <w:r>
        <w:rPr>
          <w:b w:val="0"/>
          <w:i w:val="0"/>
        </w:rPr>
        <w:t xml:space="preserve"> </w:t>
      </w:r>
    </w:p>
    <w:p>
      <w:pPr>
        <w:pStyle w:val="ListBullet"/>
        <w:spacing w:after="60"/>
      </w:pPr>
      <w:r>
        <w:rPr>
          <w:b w:val="0"/>
          <w:i w:val="0"/>
        </w:rPr>
        <w:t>Annual budget cap of $4.5M or lower, inclusive of consultants; annual work plan and budget for Company comment; discounted rates; fee disputes to the USAO and then the Court, without breach consequences.</w:t>
      </w:r>
    </w:p>
    <w:p>
      <w:pPr>
        <w:pStyle w:val="ListBullet"/>
        <w:spacing w:after="60"/>
      </w:pPr>
      <w:r>
        <w:rPr>
          <w:b w:val="0"/>
          <w:i w:val="0"/>
        </w:rPr>
        <w:t>Hybrid structure: Monitor for 24 months followed by 12 months of Company self-reporting, with early termination if the Monitor certifies the program is reasonably designed and implemented.</w:t>
      </w:r>
    </w:p>
    <w:p>
      <w:pPr>
        <w:pStyle w:val="ListBullet"/>
        <w:spacing w:after="60"/>
      </w:pPr>
      <w:r>
        <w:rPr>
          <w:b w:val="0"/>
          <w:i w:val="0"/>
        </w:rPr>
        <w:t>Monitor extension only coterminous with a Term extension made after a breach determination (Issue 25).</w:t>
      </w:r>
    </w:p>
    <w:p>
      <w:r>
        <w:rPr>
          <w:b/>
          <w:i w:val="0"/>
        </w:rPr>
        <w:t>Fallback position.</w:t>
      </w:r>
      <w:r>
        <w:rPr>
          <w:b w:val="0"/>
          <w:i w:val="0"/>
        </w:rPr>
        <w:t xml:space="preserve"> If a full-term monitor is required, insist on the cap, work plan and early-termination mechanics.</w:t>
      </w:r>
    </w:p>
    <w:p>
      <w:pPr>
        <w:pStyle w:val="Heading3"/>
      </w:pPr>
      <w:r>
        <w:t>Issue 11. No Global Resolution: FCA Release, OIG Exclusion, State Medicaid and Relator Claims</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8.2, 8.3; no release, dismissal or agency provisions</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Section 8.2 requires a $52.0M payment “to resolve the Company’s civil liability under the False Claims Act,” but the DPA contains no release, no dismissal of the qui tam with prejudice, no HHS-OIG release of permissive exclusion authority (42 U.S.C. § 1320a-7(b)(7)) or Civil Monetary Penalties Law claims, no release by the other affected programs (TRICARE, FEHBP, VA), and nothing on the states’ share of Medicaid claims. Dr. Patel’s individual retaliation claim under 31 U.S.C. § 3730(h) and her statutory attorney’s fees under § 3730(d) are not addressed.</w:t>
      </w:r>
    </w:p>
    <w:p>
      <w:r>
        <w:rPr>
          <w:b/>
          <w:i w:val="0"/>
        </w:rPr>
        <w:t>Why it matters / support in the record.</w:t>
      </w:r>
      <w:r>
        <w:rPr>
          <w:b w:val="0"/>
          <w:i w:val="0"/>
        </w:rPr>
        <w:t xml:space="preserve"> Without these pieces the Company would pay $52.0M and remain exposed to OIG exclusion proceedings, state Medicaid fraud actions, and the relator’s personal claims. Our investigation could not rule out retaliation: an August 14, 2020 compliance email references concerns raised by an MSL, and Dr. Patel was terminated in November 2020 (Inv. Rpt. § VIII.B). OIG will likely require a CIA as the price of an exclusion release; without coordination, the Company could face a DPA Monitor and a CIA Independent Review Organization covering the same activities. Justice Manual § 1-12.100 directs coordination and crediting of penalties among DOJ components and agencies to avoid “piling on.”</w:t>
      </w:r>
    </w:p>
    <w:p>
      <w:r>
        <w:rPr>
          <w:b/>
          <w:i w:val="0"/>
        </w:rPr>
        <w:t>Recommendation.</w:t>
      </w:r>
      <w:r>
        <w:rPr>
          <w:b w:val="0"/>
          <w:i w:val="0"/>
        </w:rPr>
        <w:t xml:space="preserve"> </w:t>
      </w:r>
    </w:p>
    <w:p>
      <w:pPr>
        <w:pStyle w:val="ListBullet"/>
        <w:spacing w:after="60"/>
      </w:pPr>
      <w:r>
        <w:rPr>
          <w:b w:val="0"/>
          <w:i w:val="0"/>
        </w:rPr>
        <w:t>Execute a separate civil Settlement Agreement simultaneously with the DPA, cross-referenced in § 15.1, containing FCA, CMPL, Program Fraud Civil Remedies Act and common-law releases, a stipulated dismissal of the qui tam with prejudice, and an identified restitution amount (Issue 24).</w:t>
      </w:r>
    </w:p>
    <w:p>
      <w:pPr>
        <w:pStyle w:val="ListBullet"/>
        <w:spacing w:after="60"/>
      </w:pPr>
      <w:r>
        <w:rPr>
          <w:b w:val="0"/>
          <w:i w:val="0"/>
        </w:rPr>
        <w:t>Open discussions now with HHS-OIG on a release of permissive exclusion in exchange for a CIA that is coordinated with, or deferred during, the monitorship; and with NAMFCU on state settlements, making clear whether the Medicaid state share is inside or on top of the $52.0M.</w:t>
      </w:r>
    </w:p>
    <w:p>
      <w:pPr>
        <w:pStyle w:val="ListBullet"/>
        <w:spacing w:after="60"/>
      </w:pPr>
      <w:r>
        <w:rPr>
          <w:b w:val="0"/>
          <w:i w:val="0"/>
        </w:rPr>
        <w:t>Negotiate the relator’s § 3730(h) claim and fees with her counsel (Michael Greenberg, Stonebridge Hawkins LLP) in parallel, so the civil resolution includes a general release.</w:t>
      </w:r>
    </w:p>
    <w:p>
      <w:pPr>
        <w:pStyle w:val="ListBullet"/>
        <w:spacing w:after="60"/>
      </w:pPr>
      <w:r>
        <w:rPr>
          <w:b w:val="0"/>
          <w:i w:val="0"/>
        </w:rPr>
        <w:t>Section 8.3 (relator’s share) is a matter between the Government and the relator; confirm that it is paid out of the $52.0M and imposes no additional obligation on the Company.</w:t>
      </w:r>
    </w:p>
    <w:p>
      <w:pPr>
        <w:pStyle w:val="Heading3"/>
      </w:pPr>
      <w:r>
        <w:t>Issue 12. No Government Covenants: Non-Prosecution of SOF Conduct, Referral, Crediting</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3.2; § 13.5; absent provisions</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The Government’s only commitments are to defer prosecution of the Information and to “act in good faith.” There is no agreement not to prosecute the Company further for the SOF conduct, no commitment to bring the Company’s cooperation and remediation to the attention of other authorities, and no crediting of the civil payment or of payments to other agencies.</w:t>
      </w:r>
    </w:p>
    <w:p>
      <w:r>
        <w:rPr>
          <w:b/>
          <w:i w:val="0"/>
        </w:rPr>
        <w:t>Why it matters / support in the record.</w:t>
      </w:r>
      <w:r>
        <w:rPr>
          <w:b w:val="0"/>
          <w:i w:val="0"/>
        </w:rPr>
        <w:t xml:space="preserve"> DOJ-form DPAs customarily include a covenant that the Government will not bring further criminal (and, where civil is resolved together, civil) charges against the Company for the conduct in the statement of facts, and a commitment to inform other authorities of the Company’s cooperation on request. Without them, the Company receives less than the market bargain for a $239.5M resolution with a monitor.</w:t>
      </w:r>
    </w:p>
    <w:p>
      <w:r>
        <w:rPr>
          <w:b/>
          <w:i w:val="0"/>
        </w:rPr>
        <w:t>Recommendation.</w:t>
      </w:r>
      <w:r>
        <w:rPr>
          <w:b w:val="0"/>
          <w:i w:val="0"/>
        </w:rPr>
        <w:t xml:space="preserve"> </w:t>
      </w:r>
    </w:p>
    <w:p>
      <w:pPr>
        <w:pStyle w:val="ListBullet"/>
        <w:spacing w:after="60"/>
      </w:pPr>
      <w:r>
        <w:rPr>
          <w:b w:val="0"/>
          <w:i w:val="0"/>
        </w:rPr>
        <w:t>Add: “Except as provided in this Agreement, the Government agrees that it will not bring any criminal case against the Company relating to any of the conduct described in the Statement of Facts or the Information.”</w:t>
      </w:r>
    </w:p>
    <w:p>
      <w:pPr>
        <w:pStyle w:val="ListBullet"/>
        <w:spacing w:after="60"/>
      </w:pPr>
      <w:r>
        <w:rPr>
          <w:b w:val="0"/>
          <w:i w:val="0"/>
        </w:rPr>
        <w:t>Add: “If requested by the Company, the Government will bring to the attention of other governmental authorities the facts and circumstances relating to the nature of the conduct and the Company’s cooperation and remediation.”</w:t>
      </w:r>
    </w:p>
    <w:p>
      <w:pPr>
        <w:pStyle w:val="ListBullet"/>
        <w:spacing w:after="60"/>
      </w:pPr>
      <w:r>
        <w:rPr>
          <w:b w:val="0"/>
          <w:i w:val="0"/>
        </w:rPr>
        <w:t>Add crediting language consistent with Justice Manual § 1-12.100 for amounts paid to state Medicaid programs and other agencies.</w:t>
      </w:r>
    </w:p>
    <w:p>
      <w:pPr>
        <w:pStyle w:val="Heading3"/>
      </w:pPr>
      <w:r>
        <w:t>Issue 13. Gag Clauses Bar Contrary Statements and Litigation Positions</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5.2, 5.3, 14.1–14.3</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Section 5.2 bars the Company from disputing the SOF “in any proceeding before any court, agency, or tribunal.” Sections 5.3 and 14.1 bar public statements contradicting the SOF but are inconsistent: § 5.3 reaches only statements made “after consultation and authorization by the Company’s senior management,” while § 14.1 reaches statements by “any present or future attorney, officer, director, employee, agent” that contradict “the Government’s description of the facts and circumstances of the Relevant Conduct” (an undefined term broader than the SOF). Any violation is a breach (§ 14.3), with no repudiation mechanism.</w:t>
      </w:r>
    </w:p>
    <w:p>
      <w:r>
        <w:rPr>
          <w:b/>
          <w:i w:val="0"/>
        </w:rPr>
        <w:t>Why it matters / support in the record.</w:t>
      </w:r>
      <w:r>
        <w:rPr>
          <w:b w:val="0"/>
          <w:i w:val="0"/>
        </w:rPr>
        <w:t xml:space="preserve"> The Company must defend securities, derivative, product-liability and state-law actions in which the United States is not a party; § 5.2 would preclude it from contesting overlapping facts. Employees and former employees who are individually charged or sued must be free to defend themselves. Standard DOJ language permits the Company to cure by repudiating an unauthorized statement within five business days and carves out individual defenses and the Company’s litigation positions in matters where the United States is not a party (provided they do not contradict the Company’s acceptance of responsibility).</w:t>
      </w:r>
    </w:p>
    <w:p>
      <w:r>
        <w:rPr>
          <w:b/>
          <w:i w:val="0"/>
        </w:rPr>
        <w:t>Recommendation.</w:t>
      </w:r>
      <w:r>
        <w:rPr>
          <w:b w:val="0"/>
          <w:i w:val="0"/>
        </w:rPr>
        <w:t xml:space="preserve"> </w:t>
      </w:r>
    </w:p>
    <w:p>
      <w:pPr>
        <w:pStyle w:val="ListBullet"/>
        <w:spacing w:after="60"/>
      </w:pPr>
      <w:r>
        <w:rPr>
          <w:b w:val="0"/>
          <w:i w:val="0"/>
        </w:rPr>
        <w:t>Limit § 5.2 to proceedings brought by the United States.</w:t>
      </w:r>
    </w:p>
    <w:p>
      <w:pPr>
        <w:pStyle w:val="ListBullet"/>
        <w:spacing w:after="60"/>
      </w:pPr>
      <w:r>
        <w:rPr>
          <w:b w:val="0"/>
          <w:i w:val="0"/>
        </w:rPr>
        <w:t>Conform §§ 5.3 and 14.1 to one standard covering only statements authorized by the Company; replace “Government’s description … of the Relevant Conduct” with “the Statement of Facts”; add the repudiation cure and carve-outs; delete § 14.3’s automatic breach.</w:t>
      </w:r>
    </w:p>
    <w:p>
      <w:pPr>
        <w:pStyle w:val="ListBullet"/>
        <w:spacing w:after="60"/>
      </w:pPr>
      <w:r>
        <w:rPr>
          <w:b w:val="0"/>
          <w:i w:val="0"/>
        </w:rPr>
        <w:t>Pre-clear a public-statement and SEC disclosure script with the USAO under § 14.2.</w:t>
      </w:r>
    </w:p>
    <w:p>
      <w:r>
        <w:rPr>
          <w:b/>
          <w:i w:val="0"/>
        </w:rPr>
        <w:t>Proposed language:</w:t>
      </w:r>
    </w:p>
    <w:p>
      <w:pPr>
        <w:ind w:left="720" w:right="576"/>
        <w:shd w:val="clear" w:color="auto" w:fill="F2F2F2"/>
      </w:pPr>
      <w:r>
        <w:rPr>
          <w:b w:val="0"/>
          <w:i w:val="0"/>
          <w:sz w:val="20"/>
        </w:rPr>
        <w:t>14.1 The Company shall not, through its present or future attorneys, officers, directors, employees, agents or any other person authorized to speak for the Company, make any public statement contradicting the acceptance of responsibility by the Company or the facts in the Statement of Facts. If the Government determines that such a statement has been made, it shall so notify the Company, and the Company may avoid a breach by publicly repudiating the statement within five (5) business days. This Section does not apply to any statement made by any present or former officer, director, employee or agent of the Company in the course of any criminal, regulatory or civil proceeding against such individual, unless the individual is speaking on behalf of the Company. Consistent with this Section, the Company may avail itself of any legal or factual arguments available to it in defending litigation brought by a party other than the United States.</w:t>
      </w:r>
    </w:p>
    <w:p>
      <w:pPr>
        <w:pStyle w:val="Heading3"/>
      </w:pPr>
      <w:r>
        <w:t>Issue 14. Statute of Limitations and Time-Based Waivers Are Overbroad</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5.4; § 12.2(d)</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Section 5.4 waives “any and all defenses based upon the statute of limitations for any prosecution … arising from or relating to” the SOF conduct for the Term plus one year, without limiting the waiver to claims not already time-barred at signing. Section 12.2(d) goes further, waiving limitations, pre-indictment delay and Speedy Trial defenses with no time limit for any prosecution “arising from or relating to” the conduct.</w:t>
      </w:r>
    </w:p>
    <w:p>
      <w:r>
        <w:rPr>
          <w:b/>
          <w:i w:val="0"/>
        </w:rPr>
        <w:t>Why it matters / support in the record.</w:t>
      </w:r>
      <w:r>
        <w:rPr>
          <w:b w:val="0"/>
          <w:i w:val="0"/>
        </w:rPr>
        <w:t xml:space="preserve"> The general federal limitations period is five years (18 U.S.C. § 3282). Substantive AKS offenses completed in January 2019 – January 2020 would already be outside the period by February 2025 (the conspiracy count, continuing through 2022, would not). As drafted, the waivers could be read to revive time-barred substantive counts and to extend exposure indefinitely. The record we reviewed does not show whether any tolling agreements exist; we should confirm.</w:t>
      </w:r>
    </w:p>
    <w:p>
      <w:r>
        <w:rPr>
          <w:b/>
          <w:i w:val="0"/>
        </w:rPr>
        <w:t>Recommendation.</w:t>
      </w:r>
      <w:r>
        <w:rPr>
          <w:b w:val="0"/>
          <w:i w:val="0"/>
        </w:rPr>
        <w:t xml:space="preserve"> </w:t>
      </w:r>
    </w:p>
    <w:p>
      <w:pPr>
        <w:pStyle w:val="ListBullet"/>
        <w:spacing w:after="60"/>
      </w:pPr>
      <w:r>
        <w:rPr>
          <w:b w:val="0"/>
          <w:i w:val="0"/>
        </w:rPr>
        <w:t>Conform to DOJ-standard language: the waiver applies only to prosecutions not time-barred on the date of signing and runs for the Term plus one year.</w:t>
      </w:r>
    </w:p>
    <w:p>
      <w:pPr>
        <w:pStyle w:val="ListBullet"/>
        <w:spacing w:after="60"/>
      </w:pPr>
      <w:r>
        <w:rPr>
          <w:b w:val="0"/>
          <w:i w:val="0"/>
        </w:rPr>
        <w:t>Delete § 12.2(d) or conform it to § 5.4; limit both to the conduct described in the SOF and the Information.</w:t>
      </w:r>
    </w:p>
    <w:p>
      <w:pPr>
        <w:pStyle w:val="ListBullet"/>
        <w:spacing w:after="60"/>
      </w:pPr>
      <w:r>
        <w:rPr>
          <w:b w:val="0"/>
          <w:i w:val="0"/>
        </w:rPr>
        <w:t>Confirm whether tolling agreements were signed and reflect them accurately.</w:t>
      </w:r>
    </w:p>
    <w:p>
      <w:r>
        <w:rPr>
          <w:b/>
          <w:i w:val="0"/>
        </w:rPr>
        <w:t>Proposed language:</w:t>
      </w:r>
    </w:p>
    <w:p>
      <w:pPr>
        <w:ind w:left="720" w:right="576"/>
        <w:shd w:val="clear" w:color="auto" w:fill="F2F2F2"/>
      </w:pPr>
      <w:r>
        <w:rPr>
          <w:b w:val="0"/>
          <w:i w:val="0"/>
          <w:sz w:val="20"/>
        </w:rPr>
        <w:t>5.4 With respect to any prosecution relating to the conduct described in the Statement of Facts and the Information that is not time-barred by the applicable statute of limitations on the date of the signing of this Agreement, the Company agrees that the statute of limitations is tolled for the Term plus one (1) year. The Company does not waive any defense that was available to it on the date of the signing of this Agreement.</w:t>
      </w:r>
    </w:p>
    <w:p>
      <w:pPr>
        <w:pStyle w:val="Heading3"/>
      </w:pPr>
      <w:r>
        <w:t>Issue 15. 72-Hour Self-Reporting of Any “Potential” Federal Crime</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6.4</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Section 6.4 requires a written report to the USAO, with copies to the Monitor, of “any new potential violation of federal criminal law” by the Company or “any of its officers, directors, employees, or agents” within 72 hours of when “any member of the Company’s legal, compliance, or executive management team” receives information that “would cause a reasonable compliance professional to believe that a potential violation may have occurred,” regardless of whether any assessment has been done.</w:t>
      </w:r>
    </w:p>
    <w:p>
      <w:r>
        <w:rPr>
          <w:b/>
          <w:i w:val="0"/>
        </w:rPr>
        <w:t>Why it matters / support in the record.</w:t>
      </w:r>
      <w:r>
        <w:rPr>
          <w:b w:val="0"/>
          <w:i w:val="0"/>
        </w:rPr>
        <w:t xml:space="preserve"> The provision is unlimited by statute (any federal crime), by actor (any agent, including vendors) and by credibility, and the 72-hour clock begins with any member of three departments. A good-faith decision to investigate before reporting would itself be a breach under § 12. Copies to the Monitor of preliminary, privileged assessments create additional waiver risk. Standard DPA reporting obligations are limited to evidence or allegations of conduct that may violate the statutes at issue and are made “promptly.”</w:t>
      </w:r>
    </w:p>
    <w:p>
      <w:r>
        <w:rPr>
          <w:b/>
          <w:i w:val="0"/>
        </w:rPr>
        <w:t>Recommendation.</w:t>
      </w:r>
      <w:r>
        <w:rPr>
          <w:b w:val="0"/>
          <w:i w:val="0"/>
        </w:rPr>
        <w:t xml:space="preserve"> </w:t>
      </w:r>
    </w:p>
    <w:p>
      <w:pPr>
        <w:pStyle w:val="ListBullet"/>
        <w:spacing w:after="60"/>
      </w:pPr>
      <w:r>
        <w:rPr>
          <w:b w:val="0"/>
          <w:i w:val="0"/>
        </w:rPr>
        <w:t>Limit to credible evidence or allegations of violations of the AKS, the FCA, and federal health care fraud statutes (e.g., 18 U.S.C. §§ 1347, 1035) by the Company or its employees acting within the scope of employment.</w:t>
      </w:r>
    </w:p>
    <w:p>
      <w:pPr>
        <w:pStyle w:val="ListBullet"/>
        <w:spacing w:after="60"/>
      </w:pPr>
      <w:r>
        <w:rPr>
          <w:b w:val="0"/>
          <w:i w:val="0"/>
        </w:rPr>
        <w:t>Trigger the obligation upon a determination after a reasonable preliminary assessment, with reporting within 30 days (or promptly in urgent cases).</w:t>
      </w:r>
    </w:p>
    <w:p>
      <w:pPr>
        <w:pStyle w:val="ListBullet"/>
        <w:spacing w:after="60"/>
      </w:pPr>
      <w:r>
        <w:rPr>
          <w:b w:val="0"/>
          <w:i w:val="0"/>
        </w:rPr>
        <w:t>Make the Monitor copy subject to privilege protections; provide that a good-faith failure to report is not a breach.</w:t>
      </w:r>
    </w:p>
    <w:p>
      <w:r>
        <w:rPr>
          <w:b/>
          <w:i w:val="0"/>
        </w:rPr>
        <w:t>Fallback position.</w:t>
      </w:r>
      <w:r>
        <w:rPr>
          <w:b w:val="0"/>
          <w:i w:val="0"/>
        </w:rPr>
        <w:t xml:space="preserve"> If the Government insists on a short clock, accept 10 business days after the CCO or General Counsel determines the evidence is credible, limited to health care offenses.</w:t>
      </w:r>
    </w:p>
    <w:p>
      <w:pPr>
        <w:pStyle w:val="Heading3"/>
      </w:pPr>
      <w:r>
        <w:t>Issue 16. Unqualified Representations; Board Approval Predates Negotiation; Unreconciled Financial Data</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13.1–13.4</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Section 13.1 represents Board approval “at a meeting duly called and held on January 14, 2025” — the day before the January 15 negotiation session — so the Board would be approving terms not yet negotiated. Section 13.2 represents, without a knowledge qualifier, that the Company has disclosed “all material information known to it.” Section 13.3 represents that no officer, director or employee engaged in any obstructive conduct. Section 13.4 represents that all financial information provided is “true, accurate, and complete in all material respects.” An inaccurate representation is a breach.</w:t>
      </w:r>
    </w:p>
    <w:p>
      <w:r>
        <w:rPr>
          <w:b/>
          <w:i w:val="0"/>
        </w:rPr>
        <w:t>Why it matters / support in the record.</w:t>
      </w:r>
      <w:r>
        <w:rPr>
          <w:b w:val="0"/>
          <w:i w:val="0"/>
        </w:rPr>
        <w:t xml:space="preserve"> Our email collection covered January 2018 – June 2022, but the Relevant Period runs through December 2022 (Inv. Rpt. App. B); Dr. Kwan’s interview was restricted by his counsel; and other RSDs were aware of similar practices but are not identified (§ VI.A). New information would expose the Company to a § 13.2 breach claim. On § 13.4, the Company’s own financial summary does not reconcile: FY2023 revenue by product sums to $1,610M (Neurovan $680M + Cardivex $590M + Osteorin $255M + other $85M) against a stated total of $2,840M (also recited in the DPA Recitals); TTM Q3 2024 EBITDA is shown as $612M although EBIT ($640M) plus D&amp;A ($160M) equals $800M; and the revolver maturity and leverage covenant differ between our credit summary and the 10-K. These figures underlie covenant compliance certificates and any financial information given to the Government.</w:t>
      </w:r>
    </w:p>
    <w:p>
      <w:r>
        <w:rPr>
          <w:b/>
          <w:i w:val="0"/>
        </w:rPr>
        <w:t>Recommendation.</w:t>
      </w:r>
      <w:r>
        <w:rPr>
          <w:b w:val="0"/>
          <w:i w:val="0"/>
        </w:rPr>
        <w:t xml:space="preserve"> </w:t>
      </w:r>
    </w:p>
    <w:p>
      <w:pPr>
        <w:pStyle w:val="ListBullet"/>
        <w:spacing w:after="60"/>
      </w:pPr>
      <w:r>
        <w:rPr>
          <w:b w:val="0"/>
          <w:i w:val="0"/>
        </w:rPr>
        <w:t>Re-schedule Board approval after the terms are final (or adopt a resolution delegating authority within defined parameters) and conform § 13.1.</w:t>
      </w:r>
    </w:p>
    <w:p>
      <w:pPr>
        <w:pStyle w:val="ListBullet"/>
        <w:spacing w:after="60"/>
      </w:pPr>
      <w:r>
        <w:rPr>
          <w:b w:val="0"/>
          <w:i w:val="0"/>
        </w:rPr>
        <w:t>Qualify §§ 13.2–13.3 “to the Company’s knowledge after reasonable inquiry” and tie § 13.2 to facts learned in the internal investigation; consider supplemental collection for July–December 2022 before signing.</w:t>
      </w:r>
    </w:p>
    <w:p>
      <w:pPr>
        <w:pStyle w:val="ListBullet"/>
        <w:spacing w:after="60"/>
      </w:pPr>
      <w:r>
        <w:rPr>
          <w:b w:val="0"/>
          <w:i w:val="0"/>
        </w:rPr>
        <w:t>Limit § 13.4 to the financial information listed on a schedule, as of the dates provided; have the CFO and Hargrove &amp; Whitley reconcile the revenue and EBITDA figures before any further submission to the Government or the lenders.</w:t>
      </w:r>
    </w:p>
    <w:p>
      <w:pPr>
        <w:pStyle w:val="Heading3"/>
      </w:pPr>
      <w:r>
        <w:t>Issue 17. Payment Schedule Clusters with BioNovus; 15-Day Late Payment Is a Breach</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8.4, 8.5</w:t>
            </w:r>
          </w:p>
        </w:tc>
        <w:tc>
          <w:tcPr>
            <w:tcW w:type="dxa" w:w="2736"/>
            <w:shd w:val="clear" w:color="auto" w:fill="E26B0A"/>
          </w:tcPr>
          <w:p>
            <w:r>
              <w:rPr>
                <w:color w:val="FFFFFF"/>
              </w:rPr>
            </w:r>
            <w:r>
              <w:rPr>
                <w:b/>
                <w:i w:val="0"/>
                <w:color w:val="FFFFFF"/>
                <w:sz w:val="19"/>
              </w:rPr>
              <w:t>Risk rating: High</w:t>
            </w:r>
          </w:p>
        </w:tc>
      </w:tr>
    </w:tbl>
    <w:p>
      <w:r>
        <w:rPr>
          <w:b/>
          <w:i w:val="0"/>
        </w:rPr>
        <w:t>The problem.</w:t>
      </w:r>
      <w:r>
        <w:rPr>
          <w:b w:val="0"/>
          <w:i w:val="0"/>
        </w:rPr>
        <w:t xml:space="preserve"> $102.0M is due at execution ($50.0M criminal + $52.0M civil), followed by $50.0M installments at 12 and 24 months and $37.5M at 36 months. Payment more than 15 calendar days late is a breach with no notice or cure.</w:t>
      </w:r>
    </w:p>
    <w:p>
      <w:r>
        <w:rPr>
          <w:b/>
          <w:i w:val="0"/>
        </w:rPr>
        <w:t>Why it matters / support in the record.</w:t>
      </w:r>
      <w:r>
        <w:rPr>
          <w:b w:val="0"/>
          <w:i w:val="0"/>
        </w:rPr>
        <w:t xml:space="preserve"> Cash of $420M less the $102.0M signing payment leaves $318M; the $340M BioNovus price would leave a $22M deficit before the $100M continuous minimum-liquidity covenant, so roughly $122M of additional funding is needed at closing and about $172M once the $50M second installment is added — against $180M of undrawn revolver capacity ($8M headroom) before operating cash flow, Monitor fees and capital spending. (Our credit summary’s “at least $72M” figure omits the $100M minimum.) The Company’s model shows ending Year 1 cash of $343.5M only by assuming $540M of operating cash flow and continued revolver access, which an Event of Default would cut off. See Appendix B.</w:t>
      </w:r>
    </w:p>
    <w:p>
      <w:r>
        <w:rPr>
          <w:b/>
          <w:i w:val="0"/>
        </w:rPr>
        <w:t>Recommendation.</w:t>
      </w:r>
      <w:r>
        <w:rPr>
          <w:b w:val="0"/>
          <w:i w:val="0"/>
        </w:rPr>
        <w:t xml:space="preserve"> </w:t>
      </w:r>
    </w:p>
    <w:p>
      <w:pPr>
        <w:pStyle w:val="ListBullet"/>
        <w:spacing w:after="60"/>
      </w:pPr>
      <w:r>
        <w:rPr>
          <w:b w:val="0"/>
          <w:i w:val="0"/>
        </w:rPr>
        <w:t>Pay the civil settlement in installments with interest, or make the signing-day payments due 30 days after the Effective Date.</w:t>
      </w:r>
    </w:p>
    <w:p>
      <w:pPr>
        <w:pStyle w:val="ListBullet"/>
        <w:spacing w:after="60"/>
      </w:pPr>
      <w:r>
        <w:rPr>
          <w:b w:val="0"/>
          <w:i w:val="0"/>
        </w:rPr>
        <w:t>Reshape the criminal installments to avoid the Q3 2025 BioNovus closing window (e.g., smaller first installment, larger later ones), with a prepayment right.</w:t>
      </w:r>
    </w:p>
    <w:p>
      <w:pPr>
        <w:pStyle w:val="ListBullet"/>
        <w:spacing w:after="60"/>
      </w:pPr>
      <w:r>
        <w:rPr>
          <w:b w:val="0"/>
          <w:i w:val="0"/>
        </w:rPr>
        <w:t>Add written notice and a 10-Business-Day cure period before late payment can constitute a breach.</w:t>
      </w:r>
    </w:p>
    <w:p>
      <w:pPr>
        <w:pStyle w:val="Heading2"/>
      </w:pPr>
      <w:r>
        <w:t>C. Medium-Risk Issues</w:t>
      </w:r>
    </w:p>
    <w:p>
      <w:pPr>
        <w:pStyle w:val="Heading3"/>
      </w:pPr>
      <w:r>
        <w:t>Issue 18. Cooperation Scope Is Open-Ended</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6.1, 6.3, 6.5, 12.2(f)</w:t>
            </w:r>
          </w:p>
        </w:tc>
        <w:tc>
          <w:tcPr>
            <w:tcW w:type="dxa" w:w="2736"/>
            <w:shd w:val="clear" w:color="auto" w:fill="BF9000"/>
          </w:tcPr>
          <w:p>
            <w:r>
              <w:rPr>
                <w:color w:val="FFFFFF"/>
              </w:rPr>
            </w:r>
            <w:r>
              <w:rPr>
                <w:b/>
                <w:i w:val="0"/>
                <w:color w:val="FFFFFF"/>
                <w:sz w:val="19"/>
              </w:rPr>
              <w:t>Risk rating: Medium</w:t>
            </w:r>
          </w:p>
        </w:tc>
      </w:tr>
    </w:tbl>
    <w:p>
      <w:r>
        <w:rPr>
          <w:b/>
          <w:i w:val="0"/>
        </w:rPr>
        <w:t>The problem.</w:t>
      </w:r>
      <w:r>
        <w:rPr>
          <w:b w:val="0"/>
          <w:i w:val="0"/>
        </w:rPr>
        <w:t xml:space="preserve"> Cooperation runs to the USAO, FBI, HHS-OIG and “any other federal, state, or local law enforcement agency” in “any related investigation,” including prosecutions of individuals; the Company must use “best efforts” to make former employees and consultants available at locations the Government designates; and preservation runs for the Term plus three years.</w:t>
      </w:r>
    </w:p>
    <w:p>
      <w:r>
        <w:rPr>
          <w:b/>
          <w:i w:val="0"/>
        </w:rPr>
        <w:t>Why it matters / support in the record.</w:t>
      </w:r>
      <w:r>
        <w:rPr>
          <w:b w:val="0"/>
          <w:i w:val="0"/>
        </w:rPr>
        <w:t xml:space="preserve"> These obligations are unlimited in scope and, combined with § 12, a source of breach risk. The Company must also remain free to advise employees of their right to counsel and to advance fees where required by its bylaws and 8 Del. C. § 145; § 6.3’s bar on “discouraging” cooperation should say so expressly.</w:t>
      </w:r>
    </w:p>
    <w:p>
      <w:r>
        <w:rPr>
          <w:b/>
          <w:i w:val="0"/>
        </w:rPr>
        <w:t>Recommendation.</w:t>
      </w:r>
      <w:r>
        <w:rPr>
          <w:b w:val="0"/>
          <w:i w:val="0"/>
        </w:rPr>
        <w:t xml:space="preserve"> </w:t>
      </w:r>
    </w:p>
    <w:p>
      <w:pPr>
        <w:pStyle w:val="ListBullet"/>
        <w:spacing w:after="60"/>
      </w:pPr>
      <w:r>
        <w:rPr>
          <w:b w:val="0"/>
          <w:i w:val="0"/>
        </w:rPr>
        <w:t>Cooperation with the USAO and, at its direction, other federal agencies, subject to applicable law (including data-privacy and labor law) and privilege.</w:t>
      </w:r>
    </w:p>
    <w:p>
      <w:pPr>
        <w:pStyle w:val="ListBullet"/>
        <w:spacing w:after="60"/>
      </w:pPr>
      <w:r>
        <w:rPr>
          <w:b w:val="0"/>
          <w:i w:val="0"/>
        </w:rPr>
        <w:t>“Reasonable efforts” for former employees and third parties; Company-reimbursed travel; reasonable notice.</w:t>
      </w:r>
    </w:p>
    <w:p>
      <w:pPr>
        <w:pStyle w:val="ListBullet"/>
        <w:spacing w:after="60"/>
      </w:pPr>
      <w:r>
        <w:rPr>
          <w:b w:val="0"/>
          <w:i w:val="0"/>
        </w:rPr>
        <w:t>Preservation for the Term plus one year, without prejudice to existing litigation holds; cooperation obligations end with the Term except for prosecutions commenced during it.</w:t>
      </w:r>
    </w:p>
    <w:p>
      <w:pPr>
        <w:pStyle w:val="Heading3"/>
      </w:pPr>
      <w:r>
        <w:t>Issue 19. Quarterly Training for All ~2,800 Commercial Personnel</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7.6</w:t>
            </w:r>
          </w:p>
        </w:tc>
        <w:tc>
          <w:tcPr>
            <w:tcW w:type="dxa" w:w="2736"/>
            <w:shd w:val="clear" w:color="auto" w:fill="BF9000"/>
          </w:tcPr>
          <w:p>
            <w:r>
              <w:rPr>
                <w:color w:val="FFFFFF"/>
              </w:rPr>
            </w:r>
            <w:r>
              <w:rPr>
                <w:b/>
                <w:i w:val="0"/>
                <w:color w:val="FFFFFF"/>
                <w:sz w:val="19"/>
              </w:rPr>
              <w:t>Risk rating: Medium</w:t>
            </w:r>
          </w:p>
        </w:tc>
      </w:tr>
    </w:tbl>
    <w:p>
      <w:r>
        <w:rPr>
          <w:b/>
          <w:i w:val="0"/>
        </w:rPr>
        <w:t>The problem.</w:t>
      </w:r>
      <w:r>
        <w:rPr>
          <w:b w:val="0"/>
          <w:i w:val="0"/>
        </w:rPr>
        <w:t xml:space="preserve"> Every commercial employee must be trained “no less frequently than every ninety (90) days” on six topics for three years.</w:t>
      </w:r>
    </w:p>
    <w:p>
      <w:r>
        <w:rPr>
          <w:b/>
          <w:i w:val="0"/>
        </w:rPr>
        <w:t>Why it matters / support in the record.</w:t>
      </w:r>
      <w:r>
        <w:rPr>
          <w:b w:val="0"/>
          <w:i w:val="0"/>
        </w:rPr>
        <w:t xml:space="preserve"> That is ~11,200 training instances and 22,400–33,600 person-hours a year at an estimated $0.84M–$1.12M (Alderman § V.B), or about 14%–19% of the $6.0M budget floor in § 7.8. No comparable resolution in Alderman’s benchmark set requires blanket 90-day training (App. A), and Greenvale’s own 2014 CIA required annual plus semi-annual targeted training. Misconduct was concentrated among the ~600 speaker-program representatives, their managers and medical affairs consulting personnel (Inv. Rpt. § VII.D). The record shows the real gap was completion (85% annual; 70% speaker-program), not frequency — and under § 12 a single missed session is a breach. Note the high-risk population estimates differ (400–600 per Alderman; 600–800 per our report).</w:t>
      </w:r>
    </w:p>
    <w:p>
      <w:r>
        <w:rPr>
          <w:b/>
          <w:i w:val="0"/>
        </w:rPr>
        <w:t>Recommendation.</w:t>
      </w:r>
      <w:r>
        <w:rPr>
          <w:b w:val="0"/>
          <w:i w:val="0"/>
        </w:rPr>
        <w:t xml:space="preserve"> </w:t>
      </w:r>
    </w:p>
    <w:p>
      <w:pPr>
        <w:pStyle w:val="ListBullet"/>
        <w:spacing w:after="60"/>
      </w:pPr>
      <w:r>
        <w:rPr>
          <w:b w:val="0"/>
          <w:i w:val="0"/>
        </w:rPr>
        <w:t>Annual comprehensive training for all commercial personnel; quarterly targeted training for designated high-risk roles (field sales with HCP engagement, speaker-program coordinators, MSLs and medical affairs consulting personnel, and their managers, ~600–800 people, defined by the annual risk assessment); annual supervisory training.</w:t>
      </w:r>
    </w:p>
    <w:p>
      <w:pPr>
        <w:pStyle w:val="ListBullet"/>
        <w:spacing w:after="60"/>
      </w:pPr>
      <w:r>
        <w:rPr>
          <w:b w:val="0"/>
          <w:i w:val="0"/>
        </w:rPr>
        <w:t>Replace per-employee strict compliance with a completion-rate target (e.g., 95% within 30 days of each cycle) and a remediation protocol.</w:t>
      </w:r>
    </w:p>
    <w:p>
      <w:r>
        <w:rPr>
          <w:b/>
          <w:i w:val="0"/>
        </w:rPr>
        <w:t>Fallback position.</w:t>
      </w:r>
      <w:r>
        <w:rPr>
          <w:b w:val="0"/>
          <w:i w:val="0"/>
        </w:rPr>
        <w:t xml:space="preserve"> Semi-annual for high-risk roles if the Government resists quarterly targeting.</w:t>
      </w:r>
    </w:p>
    <w:p>
      <w:pPr>
        <w:pStyle w:val="Heading3"/>
      </w:pPr>
      <w:r>
        <w:t>Issue 20. Speaker Program Mandates: 100% Attendance and a Top-Decile Ban That Conflicts with Vetting</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7.3(a)–(e); § 7.4</w:t>
            </w:r>
          </w:p>
        </w:tc>
        <w:tc>
          <w:tcPr>
            <w:tcW w:type="dxa" w:w="2736"/>
            <w:shd w:val="clear" w:color="auto" w:fill="BF9000"/>
          </w:tcPr>
          <w:p>
            <w:r>
              <w:rPr>
                <w:color w:val="FFFFFF"/>
              </w:rPr>
            </w:r>
            <w:r>
              <w:rPr>
                <w:b/>
                <w:i w:val="0"/>
                <w:color w:val="FFFFFF"/>
                <w:sz w:val="19"/>
              </w:rPr>
              <w:t>Risk rating: Medium</w:t>
            </w:r>
          </w:p>
        </w:tc>
      </w:tr>
    </w:tbl>
    <w:p>
      <w:r>
        <w:rPr>
          <w:b/>
          <w:i w:val="0"/>
        </w:rPr>
        <w:t>The problem.</w:t>
      </w:r>
      <w:r>
        <w:rPr>
          <w:b w:val="0"/>
          <w:i w:val="0"/>
        </w:rPr>
        <w:t xml:space="preserve"> Within 90 days, every speaker event (for all branded products, including Osteorin) must be attended by compliance or recorded (§ 7.3(c)); no top-decile prescriber of Neurovan or Cardivex in the prior 12 months may be engaged as a speaker (§ 7.3(e)); per-attendee food, beverage and venue costs are capped at $150 (§ 7.3(b)); and honoraria are capped at $15,000 per HCP per year (§ 7.3(d)).</w:t>
      </w:r>
    </w:p>
    <w:p>
      <w:r>
        <w:rPr>
          <w:b/>
          <w:i w:val="0"/>
        </w:rPr>
        <w:t>Why it matters / support in the record.</w:t>
      </w:r>
      <w:r>
        <w:rPr>
          <w:b w:val="0"/>
          <w:i w:val="0"/>
        </w:rPr>
        <w:t xml:space="preserve"> Our report and Alderman evaluated a “random sample” audit requirement and a “prohibition on use of prescribing data in speaker selection,” not the 100% attendance requirement and top-decile ban in this draft (Inv. Rpt. § XII.B; Alderman §§ IV.C, V.A) — which suggests the draft has changed and the consultant’s “accept” recommendations need to be refreshed. With ~3,800–4,200 events a year, 100% live attendance is operationally heavy. The top-decile ban is in tension with § 7.3(a), which requires compliance to review prescribing patterns as part of vetting, and may exclude many of the most experienced epileptologists and electrophysiologists; “available claims data or prescription tracking data” is undefined. The $150 cap includes venue rental, a bright line that will be crossed inadvertently. The $15,000 cap and $25,000 aggregate alert (§ 7.4) are consistent and acceptable.</w:t>
      </w:r>
    </w:p>
    <w:p>
      <w:r>
        <w:rPr>
          <w:b/>
          <w:i w:val="0"/>
        </w:rPr>
        <w:t>Recommendation.</w:t>
      </w:r>
      <w:r>
        <w:rPr>
          <w:b w:val="0"/>
          <w:i w:val="0"/>
        </w:rPr>
        <w:t xml:space="preserve"> </w:t>
      </w:r>
    </w:p>
    <w:p>
      <w:pPr>
        <w:pStyle w:val="ListBullet"/>
        <w:spacing w:after="60"/>
      </w:pPr>
      <w:r>
        <w:rPr>
          <w:b w:val="0"/>
          <w:i w:val="0"/>
        </w:rPr>
        <w:t>Risk-based live monitoring: 100% for new speakers, flagged events and high-cost venues; a statistically valid random sample (e.g., at least 10%–15%) for others; recordings where feasible.</w:t>
      </w:r>
    </w:p>
    <w:p>
      <w:pPr>
        <w:pStyle w:val="ListBullet"/>
        <w:spacing w:after="60"/>
      </w:pPr>
      <w:r>
        <w:rPr>
          <w:b w:val="0"/>
          <w:i w:val="0"/>
        </w:rPr>
        <w:t>Replace § 7.3(e) with a prohibition on using prescribing volume or value as a selection criterion, plus documented compliance review of any high-prescriber engagement for need and FMV.</w:t>
      </w:r>
    </w:p>
    <w:p>
      <w:pPr>
        <w:pStyle w:val="ListBullet"/>
        <w:spacing w:after="60"/>
      </w:pPr>
      <w:r>
        <w:rPr>
          <w:b w:val="0"/>
          <w:i w:val="0"/>
        </w:rPr>
        <w:t>Exclude venue rental from the $150 cap, allow documented compliance-approved exceptions, and extend implementation to 120–180 days.</w:t>
      </w:r>
    </w:p>
    <w:p>
      <w:pPr>
        <w:pStyle w:val="Heading3"/>
      </w:pPr>
      <w:r>
        <w:t>Issue 21. Scope Creep: Government Pricing Review; Compensation and Certification Mechanics</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7.5, 7.9(c), 7.9(d), 7.9(e)</w:t>
            </w:r>
          </w:p>
        </w:tc>
        <w:tc>
          <w:tcPr>
            <w:tcW w:type="dxa" w:w="2736"/>
            <w:shd w:val="clear" w:color="auto" w:fill="BF9000"/>
          </w:tcPr>
          <w:p>
            <w:r>
              <w:rPr>
                <w:color w:val="FFFFFF"/>
              </w:rPr>
            </w:r>
            <w:r>
              <w:rPr>
                <w:b/>
                <w:i w:val="0"/>
                <w:color w:val="FFFFFF"/>
                <w:sz w:val="19"/>
              </w:rPr>
              <w:t>Risk rating: Medium</w:t>
            </w:r>
          </w:p>
        </w:tc>
      </w:tr>
    </w:tbl>
    <w:p>
      <w:r>
        <w:rPr>
          <w:b/>
          <w:i w:val="0"/>
        </w:rPr>
        <w:t>The problem.</w:t>
      </w:r>
      <w:r>
        <w:rPr>
          <w:b w:val="0"/>
          <w:i w:val="0"/>
        </w:rPr>
        <w:t xml:space="preserve"> Section 7.9(e) requires a review of AMP, Best Price and FSS calculations; § 7.9(c) ties at least 15% of sales and marketing variable compensation to compliance objectives; § 7.9(d) requires annual certifications by every SVP and above.</w:t>
      </w:r>
    </w:p>
    <w:p>
      <w:r>
        <w:rPr>
          <w:b/>
          <w:i w:val="0"/>
        </w:rPr>
        <w:t>Why it matters / support in the record.</w:t>
      </w:r>
      <w:r>
        <w:rPr>
          <w:b w:val="0"/>
          <w:i w:val="0"/>
        </w:rPr>
        <w:t xml:space="preserve"> No government pricing misconduct is alleged. A mandated pricing review, combined with the 72-hour self-reporting rule (Issue 15), could generate new reportable “potential violations” and Medicaid rebate liabilities outside the scope of this matter. The compensation and certification requirements are reasonable in concept, but each failure would be a breach under § 12.</w:t>
      </w:r>
    </w:p>
    <w:p>
      <w:r>
        <w:rPr>
          <w:b/>
          <w:i w:val="0"/>
        </w:rPr>
        <w:t>Recommendation.</w:t>
      </w:r>
      <w:r>
        <w:rPr>
          <w:b w:val="0"/>
          <w:i w:val="0"/>
        </w:rPr>
        <w:t xml:space="preserve"> </w:t>
      </w:r>
    </w:p>
    <w:p>
      <w:pPr>
        <w:pStyle w:val="ListBullet"/>
        <w:spacing w:after="60"/>
      </w:pPr>
      <w:r>
        <w:rPr>
          <w:b w:val="0"/>
          <w:i w:val="0"/>
        </w:rPr>
        <w:t>Delete § 7.9(e), or fold government pricing into the § 7.5 risk assessment without a separate mandated review.</w:t>
      </w:r>
    </w:p>
    <w:p>
      <w:pPr>
        <w:pStyle w:val="ListBullet"/>
        <w:spacing w:after="60"/>
      </w:pPr>
      <w:r>
        <w:rPr>
          <w:b w:val="0"/>
          <w:i w:val="0"/>
        </w:rPr>
        <w:t>Accept § 7.9(c) with flexibility on the measurement method; accept § 7.9(d) (already knowledge-qualified) with a procedure for good-faith exceptions.</w:t>
      </w:r>
    </w:p>
    <w:p>
      <w:pPr>
        <w:pStyle w:val="Heading3"/>
      </w:pPr>
      <w:r>
        <w:t>Issue 22. Mandated Terminations and Naming of Uncharged Individuals</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4.5, 4.6, 10.1; Ex. A ¶¶ 3, 7, 10, 14, 20</w:t>
            </w:r>
          </w:p>
        </w:tc>
        <w:tc>
          <w:tcPr>
            <w:tcW w:type="dxa" w:w="2736"/>
            <w:shd w:val="clear" w:color="auto" w:fill="BF9000"/>
          </w:tcPr>
          <w:p>
            <w:r>
              <w:rPr>
                <w:color w:val="FFFFFF"/>
              </w:rPr>
            </w:r>
            <w:r>
              <w:rPr>
                <w:b/>
                <w:i w:val="0"/>
                <w:color w:val="FFFFFF"/>
                <w:sz w:val="19"/>
              </w:rPr>
              <w:t>Risk rating: Medium</w:t>
            </w:r>
          </w:p>
        </w:tc>
      </w:tr>
    </w:tbl>
    <w:p>
      <w:r>
        <w:rPr>
          <w:b/>
          <w:i w:val="0"/>
        </w:rPr>
        <w:t>The problem.</w:t>
      </w:r>
      <w:r>
        <w:rPr>
          <w:b w:val="0"/>
          <w:i w:val="0"/>
        </w:rPr>
        <w:t xml:space="preserve"> The DPA and SOF name Kevin Driscoll, Maria Santos and Dr. Leonard Kwan as wrongdoers, name Ms. Knowles and Ms. Huang in describing compliance deficiencies, and require for-cause terminations of Mr. Driscoll and Ms. Santos within 30 days, while noting the Government’s investigation of individuals is ongoing.</w:t>
      </w:r>
    </w:p>
    <w:p>
      <w:r>
        <w:rPr>
          <w:b/>
          <w:i w:val="0"/>
        </w:rPr>
        <w:t>Why it matters / support in the record.</w:t>
      </w:r>
      <w:r>
        <w:rPr>
          <w:b w:val="0"/>
          <w:i w:val="0"/>
        </w:rPr>
        <w:t xml:space="preserve"> Justice Manual § 9-27.760 cautions against identifying uncharged third parties in public filings, and DOJ resolution documents ordinarily use descriptors (e.g., “Regional Sales Director 1”). The record supports discipline: Mr. Driscoll’s November 12, 2019 and Ms. Santos’s January 8, 2020 emails are direct evidence (Inv. Rpt. § IV.C). But a Government-mandated for-cause termination raises employment-claim, compensation-forfeiture and advancement issues; other RSDs engaged in similar practices (§ VI.A), inviting disparate-treatment claims; and terminating two central witnesses during an ongoing investigation may affect their availability under § 6.3.</w:t>
      </w:r>
    </w:p>
    <w:p>
      <w:r>
        <w:rPr>
          <w:b/>
          <w:i w:val="0"/>
        </w:rPr>
        <w:t>Recommendation.</w:t>
      </w:r>
      <w:r>
        <w:rPr>
          <w:b w:val="0"/>
          <w:i w:val="0"/>
        </w:rPr>
        <w:t xml:space="preserve"> </w:t>
      </w:r>
    </w:p>
    <w:p>
      <w:pPr>
        <w:pStyle w:val="ListBullet"/>
        <w:spacing w:after="60"/>
      </w:pPr>
      <w:r>
        <w:rPr>
          <w:b w:val="0"/>
          <w:i w:val="0"/>
        </w:rPr>
        <w:t>Anonymize all individuals in the DPA and SOF.</w:t>
      </w:r>
    </w:p>
    <w:p>
      <w:pPr>
        <w:pStyle w:val="ListBullet"/>
        <w:spacing w:after="60"/>
      </w:pPr>
      <w:r>
        <w:rPr>
          <w:b w:val="0"/>
          <w:i w:val="0"/>
        </w:rPr>
        <w:t>Replace § 10.1 with a Company representation that it has taken or will take appropriate disciplinary action, including separation of RSD-1 and RSD-2. Consider acting before signing so the step counts as remediation credit.</w:t>
      </w:r>
    </w:p>
    <w:p>
      <w:pPr>
        <w:pStyle w:val="ListBullet"/>
        <w:spacing w:after="60"/>
      </w:pPr>
      <w:r>
        <w:rPr>
          <w:b w:val="0"/>
          <w:i w:val="0"/>
        </w:rPr>
        <w:t>Coordinate with employment counsel on separation terms, including cooperation clauses, clawback and advancement.</w:t>
      </w:r>
    </w:p>
    <w:p>
      <w:pPr>
        <w:pStyle w:val="Heading3"/>
      </w:pPr>
      <w:r>
        <w:t>Issue 23. Charging Instrument: Civil FCA Statute Cited as a Criminal Count</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Preamble/§ 1 (description of the Information)</w:t>
            </w:r>
          </w:p>
        </w:tc>
        <w:tc>
          <w:tcPr>
            <w:tcW w:type="dxa" w:w="2736"/>
            <w:shd w:val="clear" w:color="auto" w:fill="BF9000"/>
          </w:tcPr>
          <w:p>
            <w:r>
              <w:rPr>
                <w:color w:val="FFFFFF"/>
              </w:rPr>
            </w:r>
            <w:r>
              <w:rPr>
                <w:b/>
                <w:i w:val="0"/>
                <w:color w:val="FFFFFF"/>
                <w:sz w:val="19"/>
              </w:rPr>
              <w:t>Risk rating: Medium</w:t>
            </w:r>
          </w:p>
        </w:tc>
      </w:tr>
    </w:tbl>
    <w:p>
      <w:r>
        <w:rPr>
          <w:b/>
          <w:i w:val="0"/>
        </w:rPr>
        <w:t>The problem.</w:t>
      </w:r>
      <w:r>
        <w:rPr>
          <w:b w:val="0"/>
          <w:i w:val="0"/>
        </w:rPr>
        <w:t xml:space="preserve"> The Information is described as charging conspiracy to violate the AKS under “42 U.S.C. § 1320a-7b” and “causing the submission of false or fraudulent claims in violation of the False Claims Act, 31 U.S.C. § 3729.”</w:t>
      </w:r>
    </w:p>
    <w:p>
      <w:r>
        <w:rPr>
          <w:b/>
          <w:i w:val="0"/>
        </w:rPr>
        <w:t>Why it matters / support in the record.</w:t>
      </w:r>
      <w:r>
        <w:rPr>
          <w:b w:val="0"/>
          <w:i w:val="0"/>
        </w:rPr>
        <w:t xml:space="preserve"> Section 3729 is a civil statute and does not define a crime; criminal false claims are charged under 18 U.S.C. § 287, and conspiracy under 18 U.S.C. § 371. We have not seen the draft Information. A defective second count is a principled basis to reduce the charge to a single count, which limits collateral consequences in a breach scenario.</w:t>
      </w:r>
    </w:p>
    <w:p>
      <w:r>
        <w:rPr>
          <w:b/>
          <w:i w:val="0"/>
        </w:rPr>
        <w:t>Recommendation.</w:t>
      </w:r>
      <w:r>
        <w:rPr>
          <w:b w:val="0"/>
          <w:i w:val="0"/>
        </w:rPr>
        <w:t xml:space="preserve"> </w:t>
      </w:r>
    </w:p>
    <w:p>
      <w:pPr>
        <w:pStyle w:val="ListBullet"/>
        <w:spacing w:after="60"/>
      </w:pPr>
      <w:r>
        <w:rPr>
          <w:b w:val="0"/>
          <w:i w:val="0"/>
        </w:rPr>
        <w:t>Request the draft Information now.</w:t>
      </w:r>
    </w:p>
    <w:p>
      <w:pPr>
        <w:pStyle w:val="ListBullet"/>
        <w:spacing w:after="60"/>
      </w:pPr>
      <w:r>
        <w:rPr>
          <w:b w:val="0"/>
          <w:i w:val="0"/>
        </w:rPr>
        <w:t>Propose a single count of conspiracy under 18 U.S.C. § 371 to violate 42 U.S.C. § 1320a-7b(b)(2); oppose any additional false-claims count.</w:t>
      </w:r>
    </w:p>
    <w:p>
      <w:pPr>
        <w:pStyle w:val="Heading3"/>
      </w:pPr>
      <w:r>
        <w:t>Issue 24. Tax Treatment: Restitution Identification Under IRC § 162(f)(2)(A)(ii)</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8.2</w:t>
            </w:r>
          </w:p>
        </w:tc>
        <w:tc>
          <w:tcPr>
            <w:tcW w:type="dxa" w:w="2736"/>
            <w:shd w:val="clear" w:color="auto" w:fill="BF9000"/>
          </w:tcPr>
          <w:p>
            <w:r>
              <w:rPr>
                <w:color w:val="FFFFFF"/>
              </w:rPr>
            </w:r>
            <w:r>
              <w:rPr>
                <w:b/>
                <w:i w:val="0"/>
                <w:color w:val="FFFFFF"/>
                <w:sz w:val="19"/>
              </w:rPr>
              <w:t>Risk rating: Medium</w:t>
            </w:r>
          </w:p>
        </w:tc>
      </w:tr>
    </w:tbl>
    <w:p>
      <w:r>
        <w:rPr>
          <w:b/>
          <w:i w:val="0"/>
        </w:rPr>
        <w:t>The problem.</w:t>
      </w:r>
      <w:r>
        <w:rPr>
          <w:b w:val="0"/>
          <w:i w:val="0"/>
        </w:rPr>
        <w:t xml:space="preserve"> Section 8.2 describes the $52.0M as “restitution” but does not contain the identification language and amount allocation that the deduction requires.</w:t>
      </w:r>
    </w:p>
    <w:p>
      <w:r>
        <w:rPr>
          <w:b/>
          <w:i w:val="0"/>
        </w:rPr>
        <w:t>Why it matters / support in the record.</w:t>
      </w:r>
      <w:r>
        <w:rPr>
          <w:b w:val="0"/>
          <w:i w:val="0"/>
        </w:rPr>
        <w:t xml:space="preserve"> The criminal penalty is non-deductible under § 162(f). The civil payment may be deductible only if the settlement agreement identifies it as restitution (and the Company establishes it). The Company’s workbook estimates the incremental tax cost if the civil payment is non-deductible at ~$11.4M ($52.0M x 22%). The relator-share portion ($13.0M) needs separate analysis by tax counsel.</w:t>
      </w:r>
    </w:p>
    <w:p>
      <w:r>
        <w:rPr>
          <w:b/>
          <w:i w:val="0"/>
        </w:rPr>
        <w:t>Recommendation.</w:t>
      </w:r>
      <w:r>
        <w:rPr>
          <w:b w:val="0"/>
          <w:i w:val="0"/>
        </w:rPr>
        <w:t xml:space="preserve"> </w:t>
      </w:r>
    </w:p>
    <w:p>
      <w:pPr>
        <w:pStyle w:val="ListBullet"/>
        <w:spacing w:after="60"/>
      </w:pPr>
      <w:r>
        <w:rPr>
          <w:b w:val="0"/>
          <w:i w:val="0"/>
        </w:rPr>
        <w:t>Include in the civil Settlement Agreement (and conform § 8.2) an express statement that a specified amount is restitution under § 162(f)(2)(A)(ii), and confirm the Government’s Form 1098-F reporting under § 6050X.</w:t>
      </w:r>
    </w:p>
    <w:p>
      <w:pPr>
        <w:pStyle w:val="ListBullet"/>
        <w:spacing w:after="60"/>
      </w:pPr>
      <w:r>
        <w:rPr>
          <w:b w:val="0"/>
          <w:i w:val="0"/>
        </w:rPr>
        <w:t>Engage outside tax counsel before January 15.</w:t>
      </w:r>
    </w:p>
    <w:p>
      <w:r>
        <w:rPr>
          <w:b/>
          <w:i w:val="0"/>
        </w:rPr>
        <w:t>Proposed language:</w:t>
      </w:r>
    </w:p>
    <w:p>
      <w:pPr>
        <w:ind w:left="720" w:right="576"/>
        <w:shd w:val="clear" w:color="auto" w:fill="F2F2F2"/>
      </w:pPr>
      <w:r>
        <w:rPr>
          <w:b w:val="0"/>
          <w:i w:val="0"/>
          <w:sz w:val="20"/>
        </w:rPr>
        <w:t>The Company’s payment of $[•] under Section 8.2 constitutes restitution to the United States for damage or harm caused by the conduct described in the Statement of Facts, within the meaning of 26 U.S.C. § 162(f)(2)(A)(ii).</w:t>
      </w:r>
    </w:p>
    <w:p>
      <w:pPr>
        <w:pStyle w:val="Heading3"/>
      </w:pPr>
      <w:r>
        <w:t>Issue 25. Subjective Dismissal Standard; Unilateral Term and Monitor Extensions</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 3.3, 3.5, 9.1</w:t>
            </w:r>
          </w:p>
        </w:tc>
        <w:tc>
          <w:tcPr>
            <w:tcW w:type="dxa" w:w="2736"/>
            <w:shd w:val="clear" w:color="auto" w:fill="BF9000"/>
          </w:tcPr>
          <w:p>
            <w:r>
              <w:rPr>
                <w:color w:val="FFFFFF"/>
              </w:rPr>
            </w:r>
            <w:r>
              <w:rPr>
                <w:b/>
                <w:i w:val="0"/>
                <w:color w:val="FFFFFF"/>
                <w:sz w:val="19"/>
              </w:rPr>
              <w:t>Risk rating: Medium</w:t>
            </w:r>
          </w:p>
        </w:tc>
      </w:tr>
    </w:tbl>
    <w:p>
      <w:r>
        <w:rPr>
          <w:b/>
          <w:i w:val="0"/>
        </w:rPr>
        <w:t>The problem.</w:t>
      </w:r>
      <w:r>
        <w:rPr>
          <w:b w:val="0"/>
          <w:i w:val="0"/>
        </w:rPr>
        <w:t xml:space="preserve"> Dismissal requires “satisfaction of all compliance program enhancement requirements” and the “satisfactory conclusion” of the Monitor’s mandate (§ 3.3). The Government may extend the Term by up to one year whenever it determines in good faith that more time is “reasonably necessary” (§ 3.5), and may extend the monitorship in its “sole discretion” (§ 9.1).</w:t>
      </w:r>
    </w:p>
    <w:p>
      <w:r>
        <w:rPr>
          <w:b/>
          <w:i w:val="0"/>
        </w:rPr>
        <w:t>Why it matters / support in the record.</w:t>
      </w:r>
      <w:r>
        <w:rPr>
          <w:b w:val="0"/>
          <w:i w:val="0"/>
        </w:rPr>
        <w:t xml:space="preserve"> These provisions make dismissal depend on the Monitor’s subjective judgment and allow extensions without any breach. Market practice limits extensions to cases of breach and allows early termination.</w:t>
      </w:r>
    </w:p>
    <w:p>
      <w:r>
        <w:rPr>
          <w:b/>
          <w:i w:val="0"/>
        </w:rPr>
        <w:t>Recommendation.</w:t>
      </w:r>
      <w:r>
        <w:rPr>
          <w:b w:val="0"/>
          <w:i w:val="0"/>
        </w:rPr>
        <w:t xml:space="preserve"> </w:t>
      </w:r>
    </w:p>
    <w:p>
      <w:pPr>
        <w:pStyle w:val="ListBullet"/>
        <w:spacing w:after="60"/>
      </w:pPr>
      <w:r>
        <w:rPr>
          <w:b w:val="0"/>
          <w:i w:val="0"/>
        </w:rPr>
        <w:t>Dismissal within 30 days after the Term ends unless a breach notice is pending under the revised § 12 procedure.</w:t>
      </w:r>
    </w:p>
    <w:p>
      <w:pPr>
        <w:pStyle w:val="ListBullet"/>
        <w:spacing w:after="60"/>
      </w:pPr>
      <w:r>
        <w:rPr>
          <w:b w:val="0"/>
          <w:i w:val="0"/>
        </w:rPr>
        <w:t>Extensions only after a breach determination following notice and response; Monitor extension coterminous; Government discretion to terminate early if all obligations are met.</w:t>
      </w:r>
    </w:p>
    <w:p>
      <w:pPr>
        <w:pStyle w:val="Heading3"/>
      </w:pPr>
      <w:r>
        <w:t>Issue 26. Meridian Email Chain Is Likely Not Privileged and Would Be Producible</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Collateral; § 6.2</w:t>
            </w:r>
          </w:p>
        </w:tc>
        <w:tc>
          <w:tcPr>
            <w:tcW w:type="dxa" w:w="2736"/>
            <w:shd w:val="clear" w:color="auto" w:fill="BF9000"/>
          </w:tcPr>
          <w:p>
            <w:r>
              <w:rPr>
                <w:color w:val="FFFFFF"/>
              </w:rPr>
            </w:r>
            <w:r>
              <w:rPr>
                <w:b/>
                <w:i w:val="0"/>
                <w:color w:val="FFFFFF"/>
                <w:sz w:val="19"/>
              </w:rPr>
              <w:t>Risk rating: Medium</w:t>
            </w:r>
          </w:p>
        </w:tc>
      </w:tr>
    </w:tbl>
    <w:p>
      <w:r>
        <w:rPr>
          <w:b/>
          <w:i w:val="0"/>
        </w:rPr>
        <w:t>The problem.</w:t>
      </w:r>
      <w:r>
        <w:rPr>
          <w:b w:val="0"/>
          <w:i w:val="0"/>
        </w:rPr>
        <w:t xml:space="preserve"> The December 16–19, 2024 emails between Ms. Huang and Sarah Lin of Meridian (with Mr. Bridwell) are marked attorney-client privileged under a “common interest agreement.” Ms. Vasquez was added only on December 19.</w:t>
      </w:r>
    </w:p>
    <w:p>
      <w:r>
        <w:rPr>
          <w:b/>
          <w:i w:val="0"/>
        </w:rPr>
        <w:t>Why it matters / support in the record.</w:t>
      </w:r>
      <w:r>
        <w:rPr>
          <w:b w:val="0"/>
          <w:i w:val="0"/>
        </w:rPr>
        <w:t xml:space="preserve"> The common-interest doctrine protects shared legal advice among parties with a common legal interest; communications with a company’s own investment bank about deal financing are primarily business advice and are unlikely to qualify. The emails admit that no lender waiver had been requested and discuss DPA negotiating strategy. Under § 6.2 as drafted they are producible in any event (they do not involve Whitfield &amp; Crane), and they could be sought by lenders or plaintiffs.</w:t>
      </w:r>
    </w:p>
    <w:p>
      <w:r>
        <w:rPr>
          <w:b/>
          <w:i w:val="0"/>
        </w:rPr>
        <w:t>Recommendation.</w:t>
      </w:r>
      <w:r>
        <w:rPr>
          <w:b w:val="0"/>
          <w:i w:val="0"/>
        </w:rPr>
        <w:t xml:space="preserve"> </w:t>
      </w:r>
    </w:p>
    <w:p>
      <w:pPr>
        <w:pStyle w:val="ListBullet"/>
        <w:spacing w:after="60"/>
      </w:pPr>
      <w:r>
        <w:rPr>
          <w:b w:val="0"/>
          <w:i w:val="0"/>
        </w:rPr>
        <w:t>Route all further DPA and financing analysis through Whitfield &amp; Crane, with Meridian engaged through counsel for the purpose of legal advice (Kovel-type) where appropriate; limit written commentary.</w:t>
      </w:r>
    </w:p>
    <w:p>
      <w:pPr>
        <w:pStyle w:val="ListBullet"/>
        <w:spacing w:after="60"/>
      </w:pPr>
      <w:r>
        <w:rPr>
          <w:b w:val="0"/>
          <w:i w:val="0"/>
        </w:rPr>
        <w:t>Have Whitfield &amp; Crane, not Meridian, prepare the requested survey of DPA successor-liability precedents.</w:t>
      </w:r>
    </w:p>
    <w:p>
      <w:pPr>
        <w:pStyle w:val="ListBullet"/>
        <w:spacing w:after="60"/>
      </w:pPr>
      <w:r>
        <w:rPr>
          <w:b w:val="0"/>
          <w:i w:val="0"/>
        </w:rPr>
        <w:t>Review the common-interest agreement and preserve the communications.</w:t>
      </w:r>
    </w:p>
    <w:p>
      <w:pPr>
        <w:pStyle w:val="Heading3"/>
      </w:pPr>
      <w:r>
        <w:t>Issue 27. Accounting and Disclosure Consistency (Accrual; BioNovus LOI)</w:t>
      </w:r>
    </w:p>
    <w:tbl>
      <w:tblPr>
        <w:tblStyle w:val="TableGrid"/>
        <w:tblW w:type="auto" w:w="0"/>
        <w:tblLook w:firstColumn="1" w:firstRow="1" w:lastColumn="0" w:lastRow="0" w:noHBand="0" w:noVBand="1" w:val="04A0"/>
      </w:tblPr>
      <w:tblGrid>
        <w:gridCol w:w="4680"/>
        <w:gridCol w:w="4680"/>
      </w:tblGrid>
      <w:tr>
        <w:tc>
          <w:tcPr>
            <w:tcW w:type="dxa" w:w="6624"/>
          </w:tcPr>
          <w:p>
            <w:r/>
            <w:r>
              <w:rPr>
                <w:b w:val="0"/>
                <w:i w:val="0"/>
                <w:sz w:val="19"/>
              </w:rPr>
              <w:t>DPA provision(s): Collateral; § 14.2</w:t>
            </w:r>
          </w:p>
        </w:tc>
        <w:tc>
          <w:tcPr>
            <w:tcW w:type="dxa" w:w="2736"/>
            <w:shd w:val="clear" w:color="auto" w:fill="BF9000"/>
          </w:tcPr>
          <w:p>
            <w:r>
              <w:rPr>
                <w:color w:val="FFFFFF"/>
              </w:rPr>
            </w:r>
            <w:r>
              <w:rPr>
                <w:b/>
                <w:i w:val="0"/>
                <w:color w:val="FFFFFF"/>
                <w:sz w:val="19"/>
              </w:rPr>
              <w:t>Risk rating: Medium</w:t>
            </w:r>
          </w:p>
        </w:tc>
      </w:tr>
    </w:tbl>
    <w:p>
      <w:r>
        <w:rPr>
          <w:b/>
          <w:i w:val="0"/>
        </w:rPr>
        <w:t>The problem.</w:t>
      </w:r>
      <w:r>
        <w:rPr>
          <w:b w:val="0"/>
          <w:i w:val="0"/>
        </w:rPr>
        <w:t xml:space="preserve"> The September 30, 2024 10-Q records no accrual, although the USAO presented a draft DPA with stated amounts in October 2024. FY2023 10-K Note 6 states the Company “has signed a letter of intent” to acquire BioNovus, while Meridian and Alderman describe LOI signing as expected on March 15, 2025.</w:t>
      </w:r>
    </w:p>
    <w:p>
      <w:r>
        <w:rPr>
          <w:b/>
          <w:i w:val="0"/>
        </w:rPr>
        <w:t>Why it matters / support in the record.</w:t>
      </w:r>
      <w:r>
        <w:rPr>
          <w:b w:val="0"/>
          <w:i w:val="0"/>
        </w:rPr>
        <w:t xml:space="preserve"> Under ASC 450-20, a loss that is probable and reasonably estimable (at least as to a minimum) must be accrued; the October draft bears on the FY2024 financial statements and possibly subsequent-event disclosure. The LOI inconsistency must be reconciled before any further SEC filing. All disclosures must also satisfy the no-contradiction rule in § 14.</w:t>
      </w:r>
    </w:p>
    <w:p>
      <w:r>
        <w:rPr>
          <w:b/>
          <w:i w:val="0"/>
        </w:rPr>
        <w:t>Recommendation.</w:t>
      </w:r>
      <w:r>
        <w:rPr>
          <w:b w:val="0"/>
          <w:i w:val="0"/>
        </w:rPr>
        <w:t xml:space="preserve"> </w:t>
      </w:r>
    </w:p>
    <w:p>
      <w:pPr>
        <w:pStyle w:val="ListBullet"/>
        <w:spacing w:after="60"/>
      </w:pPr>
      <w:r>
        <w:rPr>
          <w:b w:val="0"/>
          <w:i w:val="0"/>
        </w:rPr>
        <w:t>Coordinate with Hargrove &amp; Whitley and securities counsel on the FY2024 accrual and disclosure of the cross-default risk.</w:t>
      </w:r>
    </w:p>
    <w:p>
      <w:pPr>
        <w:pStyle w:val="ListBullet"/>
        <w:spacing w:after="60"/>
      </w:pPr>
      <w:r>
        <w:rPr>
          <w:b w:val="0"/>
          <w:i w:val="0"/>
        </w:rPr>
        <w:t>Confirm the BioNovus LOI status and correct any inaccurate disclosure.</w:t>
      </w:r>
    </w:p>
    <w:p>
      <w:pPr>
        <w:pStyle w:val="ListBullet"/>
        <w:spacing w:after="60"/>
      </w:pPr>
      <w:r>
        <w:rPr>
          <w:b w:val="0"/>
          <w:i w:val="0"/>
        </w:rPr>
        <w:t>Pre-clear DPA disclosure language with the USAO under § 14.2.</w:t>
      </w:r>
    </w:p>
    <w:p>
      <w:pPr>
        <w:pStyle w:val="Heading2"/>
      </w:pPr>
      <w:r>
        <w:t>D. Low-Risk Issues (Accept or Fix by Conforming Edit)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32"/>
            <w:shd w:val="clear" w:color="auto" w:fill="D9E2F3"/>
          </w:tcPr>
          <w:p>
            <w:r/>
            <w:r>
              <w:rPr>
                <w:b/>
                <w:i w:val="0"/>
                <w:sz w:val="17"/>
              </w:rPr>
              <w:t>#</w:t>
            </w:r>
          </w:p>
        </w:tc>
        <w:tc>
          <w:tcPr>
            <w:tcW w:type="dxa" w:w="2880"/>
            <w:shd w:val="clear" w:color="auto" w:fill="D9E2F3"/>
          </w:tcPr>
          <w:p>
            <w:r/>
            <w:r>
              <w:rPr>
                <w:b/>
                <w:i w:val="0"/>
                <w:sz w:val="17"/>
              </w:rPr>
              <w:t>Provision</w:t>
            </w:r>
          </w:p>
        </w:tc>
        <w:tc>
          <w:tcPr>
            <w:tcW w:type="dxa" w:w="864"/>
            <w:shd w:val="clear" w:color="auto" w:fill="D9E2F3"/>
          </w:tcPr>
          <w:p>
            <w:r/>
            <w:r>
              <w:rPr>
                <w:b/>
                <w:i w:val="0"/>
                <w:sz w:val="17"/>
              </w:rPr>
              <w:t>Rating</w:t>
            </w:r>
          </w:p>
        </w:tc>
        <w:tc>
          <w:tcPr>
            <w:tcW w:type="dxa" w:w="5184"/>
            <w:shd w:val="clear" w:color="auto" w:fill="D9E2F3"/>
          </w:tcPr>
          <w:p>
            <w:r/>
            <w:r>
              <w:rPr>
                <w:b/>
                <w:i w:val="0"/>
                <w:sz w:val="17"/>
              </w:rPr>
              <w:t>Assessment and recommendation</w:t>
            </w:r>
          </w:p>
        </w:tc>
      </w:tr>
      <w:tr>
        <w:tc>
          <w:tcPr>
            <w:tcW w:type="dxa" w:w="432"/>
          </w:tcPr>
          <w:p>
            <w:pPr>
              <w:spacing w:after="20"/>
            </w:pPr>
            <w:r/>
            <w:r>
              <w:rPr>
                <w:b w:val="0"/>
                <w:i w:val="0"/>
                <w:sz w:val="17"/>
              </w:rPr>
              <w:t>28</w:t>
            </w:r>
          </w:p>
        </w:tc>
        <w:tc>
          <w:tcPr>
            <w:tcW w:type="dxa" w:w="2880"/>
          </w:tcPr>
          <w:p>
            <w:pPr>
              <w:spacing w:after="20"/>
            </w:pPr>
            <w:r/>
            <w:r>
              <w:rPr>
                <w:b w:val="0"/>
                <w:i w:val="0"/>
                <w:sz w:val="17"/>
              </w:rPr>
              <w:t>§ 7.2 CCO reports directly to Audit Committee; dotted line to CEO; Audit Committee controls CCO hiring/compensation/termination; 60 days</w:t>
            </w:r>
          </w:p>
        </w:tc>
        <w:tc>
          <w:tcPr>
            <w:tcW w:type="dxa" w:w="864"/>
            <w:shd w:val="clear" w:color="auto" w:fill="548235"/>
          </w:tcPr>
          <w:p>
            <w:pPr>
              <w:spacing w:after="20"/>
            </w:pPr>
            <w:r>
              <w:rPr>
                <w:b/>
                <w:color w:val="FFFFFF"/>
              </w:rPr>
            </w:r>
            <w:r>
              <w:rPr>
                <w:b/>
                <w:i w:val="0"/>
                <w:color w:val="FFFFFF"/>
                <w:sz w:val="17"/>
              </w:rPr>
              <w:t>Low</w:t>
            </w:r>
          </w:p>
        </w:tc>
        <w:tc>
          <w:tcPr>
            <w:tcW w:type="dxa" w:w="5184"/>
          </w:tcPr>
          <w:p>
            <w:pPr>
              <w:spacing w:after="20"/>
            </w:pPr>
            <w:r/>
            <w:r>
              <w:rPr>
                <w:b w:val="0"/>
                <w:i w:val="0"/>
                <w:sz w:val="17"/>
              </w:rPr>
              <w:t>Accept. Consistent with our report (§ VII.A) and Alderman (§ IV.A). The Company has had a dotted-line Audit Committee relationship since early 2023; implement the solid line before signing to earn remediation credit. The DPA’s dotted line to the CEO (rather than an administrative line to the GC, as our report suggested) is the more independent structure.</w:t>
            </w:r>
          </w:p>
        </w:tc>
      </w:tr>
      <w:tr>
        <w:tc>
          <w:tcPr>
            <w:tcW w:type="dxa" w:w="432"/>
          </w:tcPr>
          <w:p>
            <w:pPr>
              <w:spacing w:after="20"/>
            </w:pPr>
            <w:r/>
            <w:r>
              <w:rPr>
                <w:b w:val="0"/>
                <w:i w:val="0"/>
                <w:sz w:val="17"/>
              </w:rPr>
              <w:t>29</w:t>
            </w:r>
          </w:p>
        </w:tc>
        <w:tc>
          <w:tcPr>
            <w:tcW w:type="dxa" w:w="2880"/>
          </w:tcPr>
          <w:p>
            <w:pPr>
              <w:spacing w:after="20"/>
            </w:pPr>
            <w:r/>
            <w:r>
              <w:rPr>
                <w:b w:val="0"/>
                <w:i w:val="0"/>
                <w:sz w:val="17"/>
              </w:rPr>
              <w:t>§ 7.8 compliance budget of at least $6.0M per year; reductions require Government and Monitor approval</w:t>
            </w:r>
          </w:p>
        </w:tc>
        <w:tc>
          <w:tcPr>
            <w:tcW w:type="dxa" w:w="864"/>
            <w:shd w:val="clear" w:color="auto" w:fill="548235"/>
          </w:tcPr>
          <w:p>
            <w:pPr>
              <w:spacing w:after="20"/>
            </w:pPr>
            <w:r>
              <w:rPr>
                <w:b/>
                <w:color w:val="FFFFFF"/>
              </w:rPr>
            </w:r>
            <w:r>
              <w:rPr>
                <w:b/>
                <w:i w:val="0"/>
                <w:color w:val="FFFFFF"/>
                <w:sz w:val="17"/>
              </w:rPr>
              <w:t>Low</w:t>
            </w:r>
          </w:p>
        </w:tc>
        <w:tc>
          <w:tcPr>
            <w:tcW w:type="dxa" w:w="5184"/>
          </w:tcPr>
          <w:p>
            <w:pPr>
              <w:spacing w:after="20"/>
            </w:pPr>
            <w:r/>
            <w:r>
              <w:rPr>
                <w:b w:val="0"/>
                <w:i w:val="0"/>
                <w:sz w:val="17"/>
              </w:rPr>
              <w:t>Accept. FY2023 budget was $5.2M (FY2019: $4.8M), so the floor is ~15% above current levels and supports our remediation narrative. Alderman states the draft has no budget floor, another sign its review was of an earlier draft. Clarify what counts toward the floor (personnel, systems, training, FMV and audit vendors; whether Monitor fees are excluded) and require Government approval only, after consulting the Monitor.</w:t>
            </w:r>
          </w:p>
        </w:tc>
      </w:tr>
      <w:tr>
        <w:tc>
          <w:tcPr>
            <w:tcW w:type="dxa" w:w="432"/>
          </w:tcPr>
          <w:p>
            <w:pPr>
              <w:spacing w:after="20"/>
            </w:pPr>
            <w:r/>
            <w:r>
              <w:rPr>
                <w:b w:val="0"/>
                <w:i w:val="0"/>
                <w:sz w:val="17"/>
              </w:rPr>
              <w:t>30</w:t>
            </w:r>
          </w:p>
        </w:tc>
        <w:tc>
          <w:tcPr>
            <w:tcW w:type="dxa" w:w="2880"/>
          </w:tcPr>
          <w:p>
            <w:pPr>
              <w:spacing w:after="20"/>
            </w:pPr>
            <w:r/>
            <w:r>
              <w:rPr>
                <w:b w:val="0"/>
                <w:i w:val="0"/>
                <w:sz w:val="17"/>
              </w:rPr>
              <w:t>§§ 7.4 HCP payment tracking ($25,000 alert); 7.5 annual risk assessment; 7.7 hotline; 7.9(a) anti-retaliation ombudsperson; 7.9(b) third-party diligence; 7.9(f) quarterly Board reporting; 10.3 exclusion screening</w:t>
            </w:r>
          </w:p>
        </w:tc>
        <w:tc>
          <w:tcPr>
            <w:tcW w:type="dxa" w:w="864"/>
            <w:shd w:val="clear" w:color="auto" w:fill="548235"/>
          </w:tcPr>
          <w:p>
            <w:pPr>
              <w:spacing w:after="20"/>
            </w:pPr>
            <w:r>
              <w:rPr>
                <w:b/>
                <w:color w:val="FFFFFF"/>
              </w:rPr>
            </w:r>
            <w:r>
              <w:rPr>
                <w:b/>
                <w:i w:val="0"/>
                <w:color w:val="FFFFFF"/>
                <w:sz w:val="17"/>
              </w:rPr>
              <w:t>Low</w:t>
            </w:r>
          </w:p>
        </w:tc>
        <w:tc>
          <w:tcPr>
            <w:tcW w:type="dxa" w:w="5184"/>
          </w:tcPr>
          <w:p>
            <w:pPr>
              <w:spacing w:after="20"/>
            </w:pPr>
            <w:r/>
            <w:r>
              <w:rPr>
                <w:b w:val="0"/>
                <w:i w:val="0"/>
                <w:sz w:val="17"/>
              </w:rPr>
              <w:t>Accept. Assessed as reasonable by our report (§ XII.B) and Alderman (§ V.A). Integrate tracking with Open Payments reporting. Anti-retaliation enhancements are particularly appropriate given the relator’s § 3730(h) allegation. Conforming edits only (e.g., 120-day implementation for systems work).</w:t>
            </w:r>
          </w:p>
        </w:tc>
      </w:tr>
      <w:tr>
        <w:tc>
          <w:tcPr>
            <w:tcW w:type="dxa" w:w="432"/>
          </w:tcPr>
          <w:p>
            <w:pPr>
              <w:spacing w:after="20"/>
            </w:pPr>
            <w:r/>
            <w:r>
              <w:rPr>
                <w:b w:val="0"/>
                <w:i w:val="0"/>
                <w:sz w:val="17"/>
              </w:rPr>
              <w:t>31</w:t>
            </w:r>
          </w:p>
        </w:tc>
        <w:tc>
          <w:tcPr>
            <w:tcW w:type="dxa" w:w="2880"/>
          </w:tcPr>
          <w:p>
            <w:pPr>
              <w:spacing w:after="20"/>
            </w:pPr>
            <w:r/>
            <w:r>
              <w:rPr>
                <w:b w:val="0"/>
                <w:i w:val="0"/>
                <w:sz w:val="17"/>
              </w:rPr>
              <w:t>§ 10.2 five-year bar on engaging Dr. Kwan (through Feb. 1, 2030)</w:t>
            </w:r>
          </w:p>
        </w:tc>
        <w:tc>
          <w:tcPr>
            <w:tcW w:type="dxa" w:w="864"/>
            <w:shd w:val="clear" w:color="auto" w:fill="548235"/>
          </w:tcPr>
          <w:p>
            <w:pPr>
              <w:spacing w:after="20"/>
            </w:pPr>
            <w:r>
              <w:rPr>
                <w:b/>
                <w:color w:val="FFFFFF"/>
              </w:rPr>
            </w:r>
            <w:r>
              <w:rPr>
                <w:b/>
                <w:i w:val="0"/>
                <w:color w:val="FFFFFF"/>
                <w:sz w:val="17"/>
              </w:rPr>
              <w:t>Low</w:t>
            </w:r>
          </w:p>
        </w:tc>
        <w:tc>
          <w:tcPr>
            <w:tcW w:type="dxa" w:w="5184"/>
          </w:tcPr>
          <w:p>
            <w:pPr>
              <w:spacing w:after="20"/>
            </w:pPr>
            <w:r/>
            <w:r>
              <w:rPr>
                <w:b w:val="0"/>
                <w:i w:val="0"/>
                <w:sz w:val="17"/>
              </w:rPr>
              <w:t>Accept. Dr. Kwan left in March 2022. Clarify that the bar after the Term is a contractual undertaking only, that annual certification under § 7.9(d) ends with the Term, and that any post-Term lapse is not a basis to reinstate the Information.</w:t>
            </w:r>
          </w:p>
        </w:tc>
      </w:tr>
      <w:tr>
        <w:tc>
          <w:tcPr>
            <w:tcW w:type="dxa" w:w="432"/>
          </w:tcPr>
          <w:p>
            <w:pPr>
              <w:spacing w:after="20"/>
            </w:pPr>
            <w:r/>
            <w:r>
              <w:rPr>
                <w:b w:val="0"/>
                <w:i w:val="0"/>
                <w:sz w:val="17"/>
              </w:rPr>
              <w:t>32</w:t>
            </w:r>
          </w:p>
        </w:tc>
        <w:tc>
          <w:tcPr>
            <w:tcW w:type="dxa" w:w="2880"/>
          </w:tcPr>
          <w:p>
            <w:pPr>
              <w:spacing w:after="20"/>
            </w:pPr>
            <w:r/>
            <w:r>
              <w:rPr>
                <w:b w:val="0"/>
                <w:i w:val="0"/>
                <w:sz w:val="17"/>
              </w:rPr>
              <w:t>Technical drafting</w:t>
            </w:r>
          </w:p>
        </w:tc>
        <w:tc>
          <w:tcPr>
            <w:tcW w:type="dxa" w:w="864"/>
            <w:shd w:val="clear" w:color="auto" w:fill="548235"/>
          </w:tcPr>
          <w:p>
            <w:pPr>
              <w:spacing w:after="20"/>
            </w:pPr>
            <w:r>
              <w:rPr>
                <w:b/>
                <w:color w:val="FFFFFF"/>
              </w:rPr>
            </w:r>
            <w:r>
              <w:rPr>
                <w:b/>
                <w:i w:val="0"/>
                <w:color w:val="FFFFFF"/>
                <w:sz w:val="17"/>
              </w:rPr>
              <w:t>Low</w:t>
            </w:r>
          </w:p>
        </w:tc>
        <w:tc>
          <w:tcPr>
            <w:tcW w:type="dxa" w:w="5184"/>
          </w:tcPr>
          <w:p>
            <w:pPr>
              <w:spacing w:after="20"/>
            </w:pPr>
            <w:r/>
            <w:r>
              <w:rPr>
                <w:b w:val="0"/>
                <w:i w:val="0"/>
                <w:sz w:val="17"/>
              </w:rPr>
              <w:t>Conform: (a) execution and payment dates fall on weekends (Feb. 1, 2025 Saturday; Feb. 1, 2026 Sunday) — add a business-day convention; (b) “Relevant Conduct” in § 14.1 is undefined; (c) § 12.1’s “no forum” bar conflicts with § 15.3; (d) add the CCO and Audit Committee Chair as notice parties in § 16 and § 12 notices; (e) § 1 lists the Company’s “history of prior compliance failures” as a factor — reframe as “the Company’s prior resolution”; (f) remove the “Right-click to update Table of Contents” artifact and conform the caption filing date to the Effective Date; (g) § 15.1 should cross-reference the civil Settlement Agreement; (h) SOF ¶ 4 (1,200 representatives and 85 district managers) should be checked against our figure of ~1,800 sales employees.</w:t>
            </w:r>
          </w:p>
        </w:tc>
      </w:tr>
    </w:tbl>
    <w:p>
      <w:pPr>
        <w:spacing w:after="40"/>
      </w:pPr>
    </w:p>
    <w:p>
      <w:pPr>
        <w:pStyle w:val="Heading1"/>
      </w:pPr>
      <w:r>
        <w:t>VI. Inconsistencies Across the Record Requiring Resolution</w:t>
      </w:r>
    </w:p>
    <w:p>
      <w:pPr>
        <w:jc w:val="both"/>
      </w:pPr>
      <w:r>
        <w:rPr>
          <w:b w:val="0"/>
          <w:i w:val="0"/>
        </w:rPr>
        <w:t>The following conflicts should be resolved before January 15. Several are errors in the Government’s draft that support our positions; others are errors in our own materials that we must fix before relying on them.</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D9E2F3"/>
          </w:tcPr>
          <w:p>
            <w:r/>
            <w:r>
              <w:rPr>
                <w:b/>
                <w:i w:val="0"/>
                <w:sz w:val="16"/>
              </w:rPr>
              <w:t>#</w:t>
            </w:r>
          </w:p>
        </w:tc>
        <w:tc>
          <w:tcPr>
            <w:tcW w:type="dxa" w:w="1872"/>
            <w:shd w:val="clear" w:color="auto" w:fill="D9E2F3"/>
          </w:tcPr>
          <w:p>
            <w:r/>
            <w:r>
              <w:rPr>
                <w:b/>
                <w:i w:val="0"/>
                <w:sz w:val="16"/>
              </w:rPr>
              <w:t>Point</w:t>
            </w:r>
          </w:p>
        </w:tc>
        <w:tc>
          <w:tcPr>
            <w:tcW w:type="dxa" w:w="2304"/>
            <w:shd w:val="clear" w:color="auto" w:fill="D9E2F3"/>
          </w:tcPr>
          <w:p>
            <w:r/>
            <w:r>
              <w:rPr>
                <w:b/>
                <w:i w:val="0"/>
                <w:sz w:val="16"/>
              </w:rPr>
              <w:t>Source A</w:t>
            </w:r>
          </w:p>
        </w:tc>
        <w:tc>
          <w:tcPr>
            <w:tcW w:type="dxa" w:w="2592"/>
            <w:shd w:val="clear" w:color="auto" w:fill="D9E2F3"/>
          </w:tcPr>
          <w:p>
            <w:r/>
            <w:r>
              <w:rPr>
                <w:b/>
                <w:i w:val="0"/>
                <w:sz w:val="16"/>
              </w:rPr>
              <w:t>Source B</w:t>
            </w:r>
          </w:p>
        </w:tc>
        <w:tc>
          <w:tcPr>
            <w:tcW w:type="dxa" w:w="2160"/>
            <w:shd w:val="clear" w:color="auto" w:fill="D9E2F3"/>
          </w:tcPr>
          <w:p>
            <w:r/>
            <w:r>
              <w:rPr>
                <w:b/>
                <w:i w:val="0"/>
                <w:sz w:val="16"/>
              </w:rPr>
              <w:t>Action</w:t>
            </w:r>
          </w:p>
        </w:tc>
      </w:tr>
      <w:tr>
        <w:tc>
          <w:tcPr>
            <w:tcW w:type="dxa" w:w="432"/>
          </w:tcPr>
          <w:p>
            <w:pPr>
              <w:spacing w:after="20"/>
            </w:pPr>
            <w:r/>
            <w:r>
              <w:rPr>
                <w:b w:val="0"/>
                <w:i w:val="0"/>
                <w:sz w:val="16"/>
              </w:rPr>
              <w:t>1</w:t>
            </w:r>
          </w:p>
        </w:tc>
        <w:tc>
          <w:tcPr>
            <w:tcW w:type="dxa" w:w="1872"/>
          </w:tcPr>
          <w:p>
            <w:pPr>
              <w:spacing w:after="20"/>
            </w:pPr>
            <w:r/>
            <w:r>
              <w:rPr>
                <w:b w:val="0"/>
                <w:i w:val="0"/>
                <w:sz w:val="16"/>
              </w:rPr>
              <w:t>Volume-of-commerce add-on</w:t>
            </w:r>
          </w:p>
        </w:tc>
        <w:tc>
          <w:tcPr>
            <w:tcW w:type="dxa" w:w="2304"/>
          </w:tcPr>
          <w:p>
            <w:pPr>
              <w:spacing w:after="20"/>
            </w:pPr>
            <w:r/>
            <w:r>
              <w:rPr>
                <w:b w:val="0"/>
                <w:i w:val="0"/>
                <w:sz w:val="16"/>
              </w:rPr>
              <w:t>DPA § 8.1(c): 15% = $64.5M</w:t>
            </w:r>
          </w:p>
        </w:tc>
        <w:tc>
          <w:tcPr>
            <w:tcW w:type="dxa" w:w="2592"/>
          </w:tcPr>
          <w:p>
            <w:pPr>
              <w:spacing w:after="20"/>
            </w:pPr>
            <w:r/>
            <w:r>
              <w:rPr>
                <w:b w:val="0"/>
                <w:i w:val="0"/>
                <w:sz w:val="16"/>
              </w:rPr>
              <w:t>15% x $4.12B (SOF ¶ 26; workbook) = $618M</w:t>
            </w:r>
          </w:p>
        </w:tc>
        <w:tc>
          <w:tcPr>
            <w:tcW w:type="dxa" w:w="2160"/>
          </w:tcPr>
          <w:p>
            <w:pPr>
              <w:spacing w:after="20"/>
            </w:pPr>
            <w:r/>
            <w:r>
              <w:rPr>
                <w:b w:val="0"/>
                <w:i w:val="0"/>
                <w:sz w:val="16"/>
              </w:rPr>
              <w:t>Delete component (Issue 2)</w:t>
            </w:r>
          </w:p>
        </w:tc>
      </w:tr>
      <w:tr>
        <w:tc>
          <w:tcPr>
            <w:tcW w:type="dxa" w:w="432"/>
          </w:tcPr>
          <w:p>
            <w:pPr>
              <w:spacing w:after="20"/>
            </w:pPr>
            <w:r/>
            <w:r>
              <w:rPr>
                <w:b w:val="0"/>
                <w:i w:val="0"/>
                <w:sz w:val="16"/>
              </w:rPr>
              <w:t>2</w:t>
            </w:r>
          </w:p>
        </w:tc>
        <w:tc>
          <w:tcPr>
            <w:tcW w:type="dxa" w:w="1872"/>
          </w:tcPr>
          <w:p>
            <w:pPr>
              <w:spacing w:after="20"/>
            </w:pPr>
            <w:r/>
            <w:r>
              <w:rPr>
                <w:b w:val="0"/>
                <w:i w:val="0"/>
                <w:sz w:val="16"/>
              </w:rPr>
              <w:t>Improper speaker payments</w:t>
            </w:r>
          </w:p>
        </w:tc>
        <w:tc>
          <w:tcPr>
            <w:tcW w:type="dxa" w:w="2304"/>
          </w:tcPr>
          <w:p>
            <w:pPr>
              <w:spacing w:after="20"/>
            </w:pPr>
            <w:r/>
            <w:r>
              <w:rPr>
                <w:b w:val="0"/>
                <w:i w:val="0"/>
                <w:sz w:val="16"/>
              </w:rPr>
              <w:t>Gov.: $14.3M “at minimum,” 1,150 events</w:t>
            </w:r>
          </w:p>
        </w:tc>
        <w:tc>
          <w:tcPr>
            <w:tcW w:type="dxa" w:w="2592"/>
          </w:tcPr>
          <w:p>
            <w:pPr>
              <w:spacing w:after="20"/>
            </w:pPr>
            <w:r/>
            <w:r>
              <w:rPr>
                <w:b w:val="0"/>
                <w:i w:val="0"/>
                <w:sz w:val="16"/>
              </w:rPr>
              <w:t>Inv.: $11.1M for the same ~1,150 Tier 1–2 events; $12.4M for all ~1,450</w:t>
            </w:r>
          </w:p>
        </w:tc>
        <w:tc>
          <w:tcPr>
            <w:tcW w:type="dxa" w:w="2160"/>
          </w:tcPr>
          <w:p>
            <w:pPr>
              <w:spacing w:after="20"/>
            </w:pPr>
            <w:r/>
            <w:r>
              <w:rPr>
                <w:b w:val="0"/>
                <w:i w:val="0"/>
                <w:sz w:val="16"/>
              </w:rPr>
              <w:t>Demand Government methodology</w:t>
            </w:r>
          </w:p>
        </w:tc>
      </w:tr>
      <w:tr>
        <w:tc>
          <w:tcPr>
            <w:tcW w:type="dxa" w:w="432"/>
          </w:tcPr>
          <w:p>
            <w:pPr>
              <w:spacing w:after="20"/>
            </w:pPr>
            <w:r/>
            <w:r>
              <w:rPr>
                <w:b w:val="0"/>
                <w:i w:val="0"/>
                <w:sz w:val="16"/>
              </w:rPr>
              <w:t>3</w:t>
            </w:r>
          </w:p>
        </w:tc>
        <w:tc>
          <w:tcPr>
            <w:tcW w:type="dxa" w:w="1872"/>
          </w:tcPr>
          <w:p>
            <w:pPr>
              <w:spacing w:after="20"/>
            </w:pPr>
            <w:r/>
            <w:r>
              <w:rPr>
                <w:b w:val="0"/>
                <w:i w:val="0"/>
                <w:sz w:val="16"/>
              </w:rPr>
              <w:t>Consulting fee range</w:t>
            </w:r>
          </w:p>
        </w:tc>
        <w:tc>
          <w:tcPr>
            <w:tcW w:type="dxa" w:w="2304"/>
          </w:tcPr>
          <w:p>
            <w:pPr>
              <w:spacing w:after="20"/>
            </w:pPr>
            <w:r/>
            <w:r>
              <w:rPr>
                <w:b w:val="0"/>
                <w:i w:val="0"/>
                <w:sz w:val="16"/>
              </w:rPr>
              <w:t>SOF ¶ 12: $40,000–$225,000 per HCP per year</w:t>
            </w:r>
          </w:p>
        </w:tc>
        <w:tc>
          <w:tcPr>
            <w:tcW w:type="dxa" w:w="2592"/>
          </w:tcPr>
          <w:p>
            <w:pPr>
              <w:spacing w:after="20"/>
            </w:pPr>
            <w:r/>
            <w:r>
              <w:rPr>
                <w:b w:val="0"/>
                <w:i w:val="0"/>
                <w:sz w:val="16"/>
              </w:rPr>
              <w:t>Inv.: $5,000–$50,000 per engagement; average ~$40,000 per HCP-year</w:t>
            </w:r>
          </w:p>
        </w:tc>
        <w:tc>
          <w:tcPr>
            <w:tcW w:type="dxa" w:w="2160"/>
          </w:tcPr>
          <w:p>
            <w:pPr>
              <w:spacing w:after="20"/>
            </w:pPr>
            <w:r/>
            <w:r>
              <w:rPr>
                <w:b w:val="0"/>
                <w:i w:val="0"/>
                <w:sz w:val="16"/>
              </w:rPr>
              <w:t>Correct ¶ 12</w:t>
            </w:r>
          </w:p>
        </w:tc>
      </w:tr>
      <w:tr>
        <w:tc>
          <w:tcPr>
            <w:tcW w:type="dxa" w:w="432"/>
          </w:tcPr>
          <w:p>
            <w:pPr>
              <w:spacing w:after="20"/>
            </w:pPr>
            <w:r/>
            <w:r>
              <w:rPr>
                <w:b w:val="0"/>
                <w:i w:val="0"/>
                <w:sz w:val="16"/>
              </w:rPr>
              <w:t>4</w:t>
            </w:r>
          </w:p>
        </w:tc>
        <w:tc>
          <w:tcPr>
            <w:tcW w:type="dxa" w:w="1872"/>
          </w:tcPr>
          <w:p>
            <w:pPr>
              <w:spacing w:after="20"/>
            </w:pPr>
            <w:r/>
            <w:r>
              <w:rPr>
                <w:b w:val="0"/>
                <w:i w:val="0"/>
                <w:sz w:val="16"/>
              </w:rPr>
              <w:t>Executive knowledge; Kwan reports</w:t>
            </w:r>
          </w:p>
        </w:tc>
        <w:tc>
          <w:tcPr>
            <w:tcW w:type="dxa" w:w="2304"/>
          </w:tcPr>
          <w:p>
            <w:pPr>
              <w:spacing w:after="20"/>
            </w:pPr>
            <w:r/>
            <w:r>
              <w:rPr>
                <w:b w:val="0"/>
                <w:i w:val="0"/>
                <w:sz w:val="16"/>
              </w:rPr>
              <w:t>SOF ¶¶ 10, 16</w:t>
            </w:r>
          </w:p>
        </w:tc>
        <w:tc>
          <w:tcPr>
            <w:tcW w:type="dxa" w:w="2592"/>
          </w:tcPr>
          <w:p>
            <w:pPr>
              <w:spacing w:after="20"/>
            </w:pPr>
            <w:r/>
            <w:r>
              <w:rPr>
                <w:b w:val="0"/>
                <w:i w:val="0"/>
                <w:sz w:val="16"/>
              </w:rPr>
              <w:t>Inv. §§ IV.D, VI.B: no escalation; no executive knowledge</w:t>
            </w:r>
          </w:p>
        </w:tc>
        <w:tc>
          <w:tcPr>
            <w:tcW w:type="dxa" w:w="2160"/>
          </w:tcPr>
          <w:p>
            <w:pPr>
              <w:spacing w:after="20"/>
            </w:pPr>
            <w:r/>
            <w:r>
              <w:rPr>
                <w:b w:val="0"/>
                <w:i w:val="0"/>
                <w:sz w:val="16"/>
              </w:rPr>
              <w:t>Redline SOF</w:t>
            </w:r>
          </w:p>
        </w:tc>
      </w:tr>
      <w:tr>
        <w:tc>
          <w:tcPr>
            <w:tcW w:type="dxa" w:w="432"/>
          </w:tcPr>
          <w:p>
            <w:pPr>
              <w:spacing w:after="20"/>
            </w:pPr>
            <w:r/>
            <w:r>
              <w:rPr>
                <w:b w:val="0"/>
                <w:i w:val="0"/>
                <w:sz w:val="16"/>
              </w:rPr>
              <w:t>5</w:t>
            </w:r>
          </w:p>
        </w:tc>
        <w:tc>
          <w:tcPr>
            <w:tcW w:type="dxa" w:w="1872"/>
          </w:tcPr>
          <w:p>
            <w:pPr>
              <w:spacing w:after="20"/>
            </w:pPr>
            <w:r/>
            <w:r>
              <w:rPr>
                <w:b w:val="0"/>
                <w:i w:val="0"/>
                <w:sz w:val="16"/>
              </w:rPr>
              <w:t>FY2023 revenue</w:t>
            </w:r>
          </w:p>
        </w:tc>
        <w:tc>
          <w:tcPr>
            <w:tcW w:type="dxa" w:w="2304"/>
          </w:tcPr>
          <w:p>
            <w:pPr>
              <w:spacing w:after="20"/>
            </w:pPr>
            <w:r/>
            <w:r>
              <w:rPr>
                <w:b w:val="0"/>
                <w:i w:val="0"/>
                <w:sz w:val="16"/>
              </w:rPr>
              <w:t>Stated total $2,840M (DPA Recitals; workbook)</w:t>
            </w:r>
          </w:p>
        </w:tc>
        <w:tc>
          <w:tcPr>
            <w:tcW w:type="dxa" w:w="2592"/>
          </w:tcPr>
          <w:p>
            <w:pPr>
              <w:spacing w:after="20"/>
            </w:pPr>
            <w:r/>
            <w:r>
              <w:rPr>
                <w:b w:val="0"/>
                <w:i w:val="0"/>
                <w:sz w:val="16"/>
              </w:rPr>
              <w:t>Product lines sum to $1,610M</w:t>
            </w:r>
          </w:p>
        </w:tc>
        <w:tc>
          <w:tcPr>
            <w:tcW w:type="dxa" w:w="2160"/>
          </w:tcPr>
          <w:p>
            <w:pPr>
              <w:spacing w:after="20"/>
            </w:pPr>
            <w:r/>
            <w:r>
              <w:rPr>
                <w:b w:val="0"/>
                <w:i w:val="0"/>
                <w:sz w:val="16"/>
              </w:rPr>
              <w:t>CFO/auditor reconciliation before § 13.4 rep</w:t>
            </w:r>
          </w:p>
        </w:tc>
      </w:tr>
      <w:tr>
        <w:tc>
          <w:tcPr>
            <w:tcW w:type="dxa" w:w="432"/>
          </w:tcPr>
          <w:p>
            <w:pPr>
              <w:spacing w:after="20"/>
            </w:pPr>
            <w:r/>
            <w:r>
              <w:rPr>
                <w:b w:val="0"/>
                <w:i w:val="0"/>
                <w:sz w:val="16"/>
              </w:rPr>
              <w:t>6</w:t>
            </w:r>
          </w:p>
        </w:tc>
        <w:tc>
          <w:tcPr>
            <w:tcW w:type="dxa" w:w="1872"/>
          </w:tcPr>
          <w:p>
            <w:pPr>
              <w:spacing w:after="20"/>
            </w:pPr>
            <w:r/>
            <w:r>
              <w:rPr>
                <w:b w:val="0"/>
                <w:i w:val="0"/>
                <w:sz w:val="16"/>
              </w:rPr>
              <w:t>TTM Q3 2024 EBITDA</w:t>
            </w:r>
          </w:p>
        </w:tc>
        <w:tc>
          <w:tcPr>
            <w:tcW w:type="dxa" w:w="2304"/>
          </w:tcPr>
          <w:p>
            <w:pPr>
              <w:spacing w:after="20"/>
            </w:pPr>
            <w:r/>
            <w:r>
              <w:rPr>
                <w:b w:val="0"/>
                <w:i w:val="0"/>
                <w:sz w:val="16"/>
              </w:rPr>
              <w:t>$612M (covenant figure)</w:t>
            </w:r>
          </w:p>
        </w:tc>
        <w:tc>
          <w:tcPr>
            <w:tcW w:type="dxa" w:w="2592"/>
          </w:tcPr>
          <w:p>
            <w:pPr>
              <w:spacing w:after="20"/>
            </w:pPr>
            <w:r/>
            <w:r>
              <w:rPr>
                <w:b w:val="0"/>
                <w:i w:val="0"/>
                <w:sz w:val="16"/>
              </w:rPr>
              <w:t>EBIT $640M + D&amp;A $160M = $800M</w:t>
            </w:r>
          </w:p>
        </w:tc>
        <w:tc>
          <w:tcPr>
            <w:tcW w:type="dxa" w:w="2160"/>
          </w:tcPr>
          <w:p>
            <w:pPr>
              <w:spacing w:after="20"/>
            </w:pPr>
            <w:r/>
            <w:r>
              <w:rPr>
                <w:b w:val="0"/>
                <w:i w:val="0"/>
                <w:sz w:val="16"/>
              </w:rPr>
              <w:t>Reconcile</w:t>
            </w:r>
          </w:p>
        </w:tc>
      </w:tr>
      <w:tr>
        <w:tc>
          <w:tcPr>
            <w:tcW w:type="dxa" w:w="432"/>
          </w:tcPr>
          <w:p>
            <w:pPr>
              <w:spacing w:after="20"/>
            </w:pPr>
            <w:r/>
            <w:r>
              <w:rPr>
                <w:b w:val="0"/>
                <w:i w:val="0"/>
                <w:sz w:val="16"/>
              </w:rPr>
              <w:t>7</w:t>
            </w:r>
          </w:p>
        </w:tc>
        <w:tc>
          <w:tcPr>
            <w:tcW w:type="dxa" w:w="1872"/>
          </w:tcPr>
          <w:p>
            <w:pPr>
              <w:spacing w:after="20"/>
            </w:pPr>
            <w:r/>
            <w:r>
              <w:rPr>
                <w:b w:val="0"/>
                <w:i w:val="0"/>
                <w:sz w:val="16"/>
              </w:rPr>
              <w:t>Revolver maturity</w:t>
            </w:r>
          </w:p>
        </w:tc>
        <w:tc>
          <w:tcPr>
            <w:tcW w:type="dxa" w:w="2304"/>
          </w:tcPr>
          <w:p>
            <w:pPr>
              <w:spacing w:after="20"/>
            </w:pPr>
            <w:r/>
            <w:r>
              <w:rPr>
                <w:b w:val="0"/>
                <w:i w:val="0"/>
                <w:sz w:val="16"/>
              </w:rPr>
              <w:t>Mar. 12, 2026 (Credit Summary § 1.4)</w:t>
            </w:r>
          </w:p>
        </w:tc>
        <w:tc>
          <w:tcPr>
            <w:tcW w:type="dxa" w:w="2592"/>
          </w:tcPr>
          <w:p>
            <w:pPr>
              <w:spacing w:after="20"/>
            </w:pPr>
            <w:r/>
            <w:r>
              <w:rPr>
                <w:b w:val="0"/>
                <w:i w:val="0"/>
                <w:sz w:val="16"/>
              </w:rPr>
              <w:t>June 30, 2027 (10-K Note 3; workbook)</w:t>
            </w:r>
          </w:p>
        </w:tc>
        <w:tc>
          <w:tcPr>
            <w:tcW w:type="dxa" w:w="2160"/>
          </w:tcPr>
          <w:p>
            <w:pPr>
              <w:spacing w:after="20"/>
            </w:pPr>
            <w:r/>
            <w:r>
              <w:rPr>
                <w:b w:val="0"/>
                <w:i w:val="0"/>
                <w:sz w:val="16"/>
              </w:rPr>
              <w:t>Pull Credit Agreement</w:t>
            </w:r>
          </w:p>
        </w:tc>
      </w:tr>
      <w:tr>
        <w:tc>
          <w:tcPr>
            <w:tcW w:type="dxa" w:w="432"/>
          </w:tcPr>
          <w:p>
            <w:pPr>
              <w:spacing w:after="20"/>
            </w:pPr>
            <w:r/>
            <w:r>
              <w:rPr>
                <w:b w:val="0"/>
                <w:i w:val="0"/>
                <w:sz w:val="16"/>
              </w:rPr>
              <w:t>8</w:t>
            </w:r>
          </w:p>
        </w:tc>
        <w:tc>
          <w:tcPr>
            <w:tcW w:type="dxa" w:w="1872"/>
          </w:tcPr>
          <w:p>
            <w:pPr>
              <w:spacing w:after="20"/>
            </w:pPr>
            <w:r/>
            <w:r>
              <w:rPr>
                <w:b w:val="0"/>
                <w:i w:val="0"/>
                <w:sz w:val="16"/>
              </w:rPr>
              <w:t>Leverage covenant</w:t>
            </w:r>
          </w:p>
        </w:tc>
        <w:tc>
          <w:tcPr>
            <w:tcW w:type="dxa" w:w="2304"/>
          </w:tcPr>
          <w:p>
            <w:pPr>
              <w:spacing w:after="20"/>
            </w:pPr>
            <w:r/>
            <w:r>
              <w:rPr>
                <w:b w:val="0"/>
                <w:i w:val="0"/>
                <w:sz w:val="16"/>
              </w:rPr>
              <w:t>4.00x; 4.50x step-up after a &gt;$200M acquisition</w:t>
            </w:r>
          </w:p>
        </w:tc>
        <w:tc>
          <w:tcPr>
            <w:tcW w:type="dxa" w:w="2592"/>
          </w:tcPr>
          <w:p>
            <w:pPr>
              <w:spacing w:after="20"/>
            </w:pPr>
            <w:r/>
            <w:r>
              <w:rPr>
                <w:b w:val="0"/>
                <w:i w:val="0"/>
                <w:sz w:val="16"/>
              </w:rPr>
              <w:t>4.5x</w:t>
            </w:r>
          </w:p>
        </w:tc>
        <w:tc>
          <w:tcPr>
            <w:tcW w:type="dxa" w:w="2160"/>
          </w:tcPr>
          <w:p>
            <w:pPr>
              <w:spacing w:after="20"/>
            </w:pPr>
            <w:r/>
            <w:r>
              <w:rPr>
                <w:b w:val="0"/>
                <w:i w:val="0"/>
                <w:sz w:val="16"/>
              </w:rPr>
              <w:t>Pull Credit Agreement</w:t>
            </w:r>
          </w:p>
        </w:tc>
      </w:tr>
      <w:tr>
        <w:tc>
          <w:tcPr>
            <w:tcW w:type="dxa" w:w="432"/>
          </w:tcPr>
          <w:p>
            <w:pPr>
              <w:spacing w:after="20"/>
            </w:pPr>
            <w:r/>
            <w:r>
              <w:rPr>
                <w:b w:val="0"/>
                <w:i w:val="0"/>
                <w:sz w:val="16"/>
              </w:rPr>
              <w:t>9</w:t>
            </w:r>
          </w:p>
        </w:tc>
        <w:tc>
          <w:tcPr>
            <w:tcW w:type="dxa" w:w="1872"/>
          </w:tcPr>
          <w:p>
            <w:pPr>
              <w:spacing w:after="20"/>
            </w:pPr>
            <w:r/>
            <w:r>
              <w:rPr>
                <w:b w:val="0"/>
                <w:i w:val="0"/>
                <w:sz w:val="16"/>
              </w:rPr>
              <w:t>Notes cross-default</w:t>
            </w:r>
          </w:p>
        </w:tc>
        <w:tc>
          <w:tcPr>
            <w:tcW w:type="dxa" w:w="2304"/>
          </w:tcPr>
          <w:p>
            <w:pPr>
              <w:spacing w:after="20"/>
            </w:pPr>
            <w:r/>
            <w:r>
              <w:rPr>
                <w:b w:val="0"/>
                <w:i w:val="0"/>
                <w:sz w:val="16"/>
              </w:rPr>
              <w:t>Default that permits acceleration of a credit facility (Credit Summary § 6.3)</w:t>
            </w:r>
          </w:p>
        </w:tc>
        <w:tc>
          <w:tcPr>
            <w:tcW w:type="dxa" w:w="2592"/>
          </w:tcPr>
          <w:p>
            <w:pPr>
              <w:spacing w:after="20"/>
            </w:pPr>
            <w:r/>
            <w:r>
              <w:rPr>
                <w:b w:val="0"/>
                <w:i w:val="0"/>
                <w:sz w:val="16"/>
              </w:rPr>
              <w:t>Actual acceleration of &gt;$50M debt (10-K Note 2)</w:t>
            </w:r>
          </w:p>
        </w:tc>
        <w:tc>
          <w:tcPr>
            <w:tcW w:type="dxa" w:w="2160"/>
          </w:tcPr>
          <w:p>
            <w:pPr>
              <w:spacing w:after="20"/>
            </w:pPr>
            <w:r/>
            <w:r>
              <w:rPr>
                <w:b w:val="0"/>
                <w:i w:val="0"/>
                <w:sz w:val="16"/>
              </w:rPr>
              <w:t>Pull Indenture</w:t>
            </w:r>
          </w:p>
        </w:tc>
      </w:tr>
      <w:tr>
        <w:tc>
          <w:tcPr>
            <w:tcW w:type="dxa" w:w="432"/>
          </w:tcPr>
          <w:p>
            <w:pPr>
              <w:spacing w:after="20"/>
            </w:pPr>
            <w:r/>
            <w:r>
              <w:rPr>
                <w:b w:val="0"/>
                <w:i w:val="0"/>
                <w:sz w:val="16"/>
              </w:rPr>
              <w:t>10</w:t>
            </w:r>
          </w:p>
        </w:tc>
        <w:tc>
          <w:tcPr>
            <w:tcW w:type="dxa" w:w="1872"/>
          </w:tcPr>
          <w:p>
            <w:pPr>
              <w:spacing w:after="20"/>
            </w:pPr>
            <w:r/>
            <w:r>
              <w:rPr>
                <w:b w:val="0"/>
                <w:i w:val="0"/>
                <w:sz w:val="16"/>
              </w:rPr>
              <w:t>Waiver timeline</w:t>
            </w:r>
          </w:p>
        </w:tc>
        <w:tc>
          <w:tcPr>
            <w:tcW w:type="dxa" w:w="2304"/>
          </w:tcPr>
          <w:p>
            <w:pPr>
              <w:spacing w:after="20"/>
            </w:pPr>
            <w:r/>
            <w:r>
              <w:rPr>
                <w:b w:val="0"/>
                <w:i w:val="0"/>
                <w:sz w:val="16"/>
              </w:rPr>
              <w:t>~20 Business Days (5 Agent + 15 lender)</w:t>
            </w:r>
          </w:p>
        </w:tc>
        <w:tc>
          <w:tcPr>
            <w:tcW w:type="dxa" w:w="2592"/>
          </w:tcPr>
          <w:p>
            <w:pPr>
              <w:spacing w:after="20"/>
            </w:pPr>
            <w:r/>
            <w:r>
              <w:rPr>
                <w:b w:val="0"/>
                <w:i w:val="0"/>
                <w:sz w:val="16"/>
              </w:rPr>
              <w:t>“15-business-day notice”; “mid-January” (Huang Dec. 18 email)</w:t>
            </w:r>
          </w:p>
        </w:tc>
        <w:tc>
          <w:tcPr>
            <w:tcW w:type="dxa" w:w="2160"/>
          </w:tcPr>
          <w:p>
            <w:pPr>
              <w:spacing w:after="20"/>
            </w:pPr>
            <w:r/>
            <w:r>
              <w:rPr>
                <w:b w:val="0"/>
                <w:i w:val="0"/>
                <w:sz w:val="16"/>
              </w:rPr>
              <w:t>Submit by Jan. 3</w:t>
            </w:r>
          </w:p>
        </w:tc>
      </w:tr>
      <w:tr>
        <w:tc>
          <w:tcPr>
            <w:tcW w:type="dxa" w:w="432"/>
          </w:tcPr>
          <w:p>
            <w:pPr>
              <w:spacing w:after="20"/>
            </w:pPr>
            <w:r/>
            <w:r>
              <w:rPr>
                <w:b w:val="0"/>
                <w:i w:val="0"/>
                <w:sz w:val="16"/>
              </w:rPr>
              <w:t>11</w:t>
            </w:r>
          </w:p>
        </w:tc>
        <w:tc>
          <w:tcPr>
            <w:tcW w:type="dxa" w:w="1872"/>
          </w:tcPr>
          <w:p>
            <w:pPr>
              <w:spacing w:after="20"/>
            </w:pPr>
            <w:r/>
            <w:r>
              <w:rPr>
                <w:b w:val="0"/>
                <w:i w:val="0"/>
                <w:sz w:val="16"/>
              </w:rPr>
              <w:t>Funding need at BioNovus closing</w:t>
            </w:r>
          </w:p>
        </w:tc>
        <w:tc>
          <w:tcPr>
            <w:tcW w:type="dxa" w:w="2304"/>
          </w:tcPr>
          <w:p>
            <w:pPr>
              <w:spacing w:after="20"/>
            </w:pPr>
            <w:r/>
            <w:r>
              <w:rPr>
                <w:b w:val="0"/>
                <w:i w:val="0"/>
                <w:sz w:val="16"/>
              </w:rPr>
              <w:t>“At least $72M” draws (Credit Summary § 2.3)</w:t>
            </w:r>
          </w:p>
        </w:tc>
        <w:tc>
          <w:tcPr>
            <w:tcW w:type="dxa" w:w="2592"/>
          </w:tcPr>
          <w:p>
            <w:pPr>
              <w:spacing w:after="20"/>
            </w:pPr>
            <w:r/>
            <w:r>
              <w:rPr>
                <w:b w:val="0"/>
                <w:i w:val="0"/>
                <w:sz w:val="16"/>
              </w:rPr>
              <w:t>~$172M needed to stay above $100M minimum liquidity</w:t>
            </w:r>
          </w:p>
        </w:tc>
        <w:tc>
          <w:tcPr>
            <w:tcW w:type="dxa" w:w="2160"/>
          </w:tcPr>
          <w:p>
            <w:pPr>
              <w:spacing w:after="20"/>
            </w:pPr>
            <w:r/>
            <w:r>
              <w:rPr>
                <w:b w:val="0"/>
                <w:i w:val="0"/>
                <w:sz w:val="16"/>
              </w:rPr>
              <w:t>Revise pro forma</w:t>
            </w:r>
          </w:p>
        </w:tc>
      </w:tr>
      <w:tr>
        <w:tc>
          <w:tcPr>
            <w:tcW w:type="dxa" w:w="432"/>
          </w:tcPr>
          <w:p>
            <w:pPr>
              <w:spacing w:after="20"/>
            </w:pPr>
            <w:r/>
            <w:r>
              <w:rPr>
                <w:b w:val="0"/>
                <w:i w:val="0"/>
                <w:sz w:val="16"/>
              </w:rPr>
              <w:t>12</w:t>
            </w:r>
          </w:p>
        </w:tc>
        <w:tc>
          <w:tcPr>
            <w:tcW w:type="dxa" w:w="1872"/>
          </w:tcPr>
          <w:p>
            <w:pPr>
              <w:spacing w:after="20"/>
            </w:pPr>
            <w:r/>
            <w:r>
              <w:rPr>
                <w:b w:val="0"/>
                <w:i w:val="0"/>
                <w:sz w:val="16"/>
              </w:rPr>
              <w:t>BioNovus LOI status</w:t>
            </w:r>
          </w:p>
        </w:tc>
        <w:tc>
          <w:tcPr>
            <w:tcW w:type="dxa" w:w="2304"/>
          </w:tcPr>
          <w:p>
            <w:pPr>
              <w:spacing w:after="20"/>
            </w:pPr>
            <w:r/>
            <w:r>
              <w:rPr>
                <w:b w:val="0"/>
                <w:i w:val="0"/>
                <w:sz w:val="16"/>
              </w:rPr>
              <w:t>“Has signed” (10-K Note 6)</w:t>
            </w:r>
          </w:p>
        </w:tc>
        <w:tc>
          <w:tcPr>
            <w:tcW w:type="dxa" w:w="2592"/>
          </w:tcPr>
          <w:p>
            <w:pPr>
              <w:spacing w:after="20"/>
            </w:pPr>
            <w:r/>
            <w:r>
              <w:rPr>
                <w:b w:val="0"/>
                <w:i w:val="0"/>
                <w:sz w:val="16"/>
              </w:rPr>
              <w:t>Expected Mar. 15, 2025 (Meridian; Alderman)</w:t>
            </w:r>
          </w:p>
        </w:tc>
        <w:tc>
          <w:tcPr>
            <w:tcW w:type="dxa" w:w="2160"/>
          </w:tcPr>
          <w:p>
            <w:pPr>
              <w:spacing w:after="20"/>
            </w:pPr>
            <w:r/>
            <w:r>
              <w:rPr>
                <w:b w:val="0"/>
                <w:i w:val="0"/>
                <w:sz w:val="16"/>
              </w:rPr>
              <w:t>Confirm; correct disclosure</w:t>
            </w:r>
          </w:p>
        </w:tc>
      </w:tr>
      <w:tr>
        <w:tc>
          <w:tcPr>
            <w:tcW w:type="dxa" w:w="432"/>
          </w:tcPr>
          <w:p>
            <w:pPr>
              <w:spacing w:after="20"/>
            </w:pPr>
            <w:r/>
            <w:r>
              <w:rPr>
                <w:b w:val="0"/>
                <w:i w:val="0"/>
                <w:sz w:val="16"/>
              </w:rPr>
              <w:t>13</w:t>
            </w:r>
          </w:p>
        </w:tc>
        <w:tc>
          <w:tcPr>
            <w:tcW w:type="dxa" w:w="1872"/>
          </w:tcPr>
          <w:p>
            <w:pPr>
              <w:spacing w:after="20"/>
            </w:pPr>
            <w:r/>
            <w:r>
              <w:rPr>
                <w:b w:val="0"/>
                <w:i w:val="0"/>
                <w:sz w:val="16"/>
              </w:rPr>
              <w:t>Draft version reviewed by Alderman</w:t>
            </w:r>
          </w:p>
        </w:tc>
        <w:tc>
          <w:tcPr>
            <w:tcW w:type="dxa" w:w="2304"/>
          </w:tcPr>
          <w:p>
            <w:pPr>
              <w:spacing w:after="20"/>
            </w:pPr>
            <w:r/>
            <w:r>
              <w:rPr>
                <w:b w:val="0"/>
                <w:i w:val="0"/>
                <w:sz w:val="16"/>
              </w:rPr>
              <w:t>Alderman: no budget floor; random-sample audits; $5,000 pre-approval; FMV assessments</w:t>
            </w:r>
          </w:p>
        </w:tc>
        <w:tc>
          <w:tcPr>
            <w:tcW w:type="dxa" w:w="2592"/>
          </w:tcPr>
          <w:p>
            <w:pPr>
              <w:spacing w:after="20"/>
            </w:pPr>
            <w:r/>
            <w:r>
              <w:rPr>
                <w:b w:val="0"/>
                <w:i w:val="0"/>
                <w:sz w:val="16"/>
              </w:rPr>
              <w:t>Draft: $6.0M floor; 100% attendance; top-decile ban; no $5,000 rule</w:t>
            </w:r>
          </w:p>
        </w:tc>
        <w:tc>
          <w:tcPr>
            <w:tcW w:type="dxa" w:w="2160"/>
          </w:tcPr>
          <w:p>
            <w:pPr>
              <w:spacing w:after="20"/>
            </w:pPr>
            <w:r/>
            <w:r>
              <w:rPr>
                <w:b w:val="0"/>
                <w:i w:val="0"/>
                <w:sz w:val="16"/>
              </w:rPr>
              <w:t>Ask Alderman to refresh against current draft</w:t>
            </w:r>
          </w:p>
        </w:tc>
      </w:tr>
      <w:tr>
        <w:tc>
          <w:tcPr>
            <w:tcW w:type="dxa" w:w="432"/>
          </w:tcPr>
          <w:p>
            <w:pPr>
              <w:spacing w:after="20"/>
            </w:pPr>
            <w:r/>
            <w:r>
              <w:rPr>
                <w:b w:val="0"/>
                <w:i w:val="0"/>
                <w:sz w:val="16"/>
              </w:rPr>
              <w:t>14</w:t>
            </w:r>
          </w:p>
        </w:tc>
        <w:tc>
          <w:tcPr>
            <w:tcW w:type="dxa" w:w="1872"/>
          </w:tcPr>
          <w:p>
            <w:pPr>
              <w:spacing w:after="20"/>
            </w:pPr>
            <w:r/>
            <w:r>
              <w:rPr>
                <w:b w:val="0"/>
                <w:i w:val="0"/>
                <w:sz w:val="16"/>
              </w:rPr>
              <w:t>Vantage BioPharma resolution date</w:t>
            </w:r>
          </w:p>
        </w:tc>
        <w:tc>
          <w:tcPr>
            <w:tcW w:type="dxa" w:w="2304"/>
          </w:tcPr>
          <w:p>
            <w:pPr>
              <w:spacing w:after="20"/>
            </w:pPr>
            <w:r/>
            <w:r>
              <w:rPr>
                <w:b w:val="0"/>
                <w:i w:val="0"/>
                <w:sz w:val="16"/>
              </w:rPr>
              <w:t>Consent decree 2021 (Inv. § IX.B)</w:t>
            </w:r>
          </w:p>
        </w:tc>
        <w:tc>
          <w:tcPr>
            <w:tcW w:type="dxa" w:w="2592"/>
          </w:tcPr>
          <w:p>
            <w:pPr>
              <w:spacing w:after="20"/>
            </w:pPr>
            <w:r/>
            <w:r>
              <w:rPr>
                <w:b w:val="0"/>
                <w:i w:val="0"/>
                <w:sz w:val="16"/>
              </w:rPr>
              <w:t>Settlement reported Sept. 2019; No. 3:19-cv-04127 (Alderman App. C)</w:t>
            </w:r>
          </w:p>
        </w:tc>
        <w:tc>
          <w:tcPr>
            <w:tcW w:type="dxa" w:w="2160"/>
          </w:tcPr>
          <w:p>
            <w:pPr>
              <w:spacing w:after="20"/>
            </w:pPr>
            <w:r/>
            <w:r>
              <w:rPr>
                <w:b w:val="0"/>
                <w:i w:val="0"/>
                <w:sz w:val="16"/>
              </w:rPr>
              <w:t>Verify before raising</w:t>
            </w:r>
          </w:p>
        </w:tc>
      </w:tr>
      <w:tr>
        <w:tc>
          <w:tcPr>
            <w:tcW w:type="dxa" w:w="432"/>
          </w:tcPr>
          <w:p>
            <w:pPr>
              <w:spacing w:after="20"/>
            </w:pPr>
            <w:r/>
            <w:r>
              <w:rPr>
                <w:b w:val="0"/>
                <w:i w:val="0"/>
                <w:sz w:val="16"/>
              </w:rPr>
              <w:t>15</w:t>
            </w:r>
          </w:p>
        </w:tc>
        <w:tc>
          <w:tcPr>
            <w:tcW w:type="dxa" w:w="1872"/>
          </w:tcPr>
          <w:p>
            <w:pPr>
              <w:spacing w:after="20"/>
            </w:pPr>
            <w:r/>
            <w:r>
              <w:rPr>
                <w:b w:val="0"/>
                <w:i w:val="0"/>
                <w:sz w:val="16"/>
              </w:rPr>
              <w:t>High-risk training population</w:t>
            </w:r>
          </w:p>
        </w:tc>
        <w:tc>
          <w:tcPr>
            <w:tcW w:type="dxa" w:w="2304"/>
          </w:tcPr>
          <w:p>
            <w:pPr>
              <w:spacing w:after="20"/>
            </w:pPr>
            <w:r/>
            <w:r>
              <w:rPr>
                <w:b w:val="0"/>
                <w:i w:val="0"/>
                <w:sz w:val="16"/>
              </w:rPr>
              <w:t>400–600 (Alderman)</w:t>
            </w:r>
          </w:p>
        </w:tc>
        <w:tc>
          <w:tcPr>
            <w:tcW w:type="dxa" w:w="2592"/>
          </w:tcPr>
          <w:p>
            <w:pPr>
              <w:spacing w:after="20"/>
            </w:pPr>
            <w:r/>
            <w:r>
              <w:rPr>
                <w:b w:val="0"/>
                <w:i w:val="0"/>
                <w:sz w:val="16"/>
              </w:rPr>
              <w:t>600–800 (Inv. § XII.A)</w:t>
            </w:r>
          </w:p>
        </w:tc>
        <w:tc>
          <w:tcPr>
            <w:tcW w:type="dxa" w:w="2160"/>
          </w:tcPr>
          <w:p>
            <w:pPr>
              <w:spacing w:after="20"/>
            </w:pPr>
            <w:r/>
            <w:r>
              <w:rPr>
                <w:b w:val="0"/>
                <w:i w:val="0"/>
                <w:sz w:val="16"/>
              </w:rPr>
              <w:t>Define by risk assessment</w:t>
            </w:r>
          </w:p>
        </w:tc>
      </w:tr>
      <w:tr>
        <w:tc>
          <w:tcPr>
            <w:tcW w:type="dxa" w:w="432"/>
          </w:tcPr>
          <w:p>
            <w:pPr>
              <w:spacing w:after="20"/>
            </w:pPr>
            <w:r/>
            <w:r>
              <w:rPr>
                <w:b w:val="0"/>
                <w:i w:val="0"/>
                <w:sz w:val="16"/>
              </w:rPr>
              <w:t>16</w:t>
            </w:r>
          </w:p>
        </w:tc>
        <w:tc>
          <w:tcPr>
            <w:tcW w:type="dxa" w:w="1872"/>
          </w:tcPr>
          <w:p>
            <w:pPr>
              <w:spacing w:after="20"/>
            </w:pPr>
            <w:r/>
            <w:r>
              <w:rPr>
                <w:b w:val="0"/>
                <w:i w:val="0"/>
                <w:sz w:val="16"/>
              </w:rPr>
              <w:t>Privilege carve-out date</w:t>
            </w:r>
          </w:p>
        </w:tc>
        <w:tc>
          <w:tcPr>
            <w:tcW w:type="dxa" w:w="2304"/>
          </w:tcPr>
          <w:p>
            <w:pPr>
              <w:spacing w:after="20"/>
            </w:pPr>
            <w:r/>
            <w:r>
              <w:rPr>
                <w:b w:val="0"/>
                <w:i w:val="0"/>
                <w:sz w:val="16"/>
              </w:rPr>
              <w:t>June 15, 2021 (DPA § 6.2)</w:t>
            </w:r>
          </w:p>
        </w:tc>
        <w:tc>
          <w:tcPr>
            <w:tcW w:type="dxa" w:w="2592"/>
          </w:tcPr>
          <w:p>
            <w:pPr>
              <w:spacing w:after="20"/>
            </w:pPr>
            <w:r/>
            <w:r>
              <w:rPr>
                <w:b w:val="0"/>
                <w:i w:val="0"/>
                <w:sz w:val="16"/>
              </w:rPr>
              <w:t>Consultations early June 2021; Audit Committee resolution June 14, 2021</w:t>
            </w:r>
          </w:p>
        </w:tc>
        <w:tc>
          <w:tcPr>
            <w:tcW w:type="dxa" w:w="2160"/>
          </w:tcPr>
          <w:p>
            <w:pPr>
              <w:spacing w:after="20"/>
            </w:pPr>
            <w:r/>
            <w:r>
              <w:rPr>
                <w:b w:val="0"/>
                <w:i w:val="0"/>
                <w:sz w:val="16"/>
              </w:rPr>
              <w:t>Eliminate date-based carve-out</w:t>
            </w:r>
          </w:p>
        </w:tc>
      </w:tr>
      <w:tr>
        <w:tc>
          <w:tcPr>
            <w:tcW w:type="dxa" w:w="432"/>
          </w:tcPr>
          <w:p>
            <w:pPr>
              <w:spacing w:after="20"/>
            </w:pPr>
            <w:r/>
            <w:r>
              <w:rPr>
                <w:b w:val="0"/>
                <w:i w:val="0"/>
                <w:sz w:val="16"/>
              </w:rPr>
              <w:t>17</w:t>
            </w:r>
          </w:p>
        </w:tc>
        <w:tc>
          <w:tcPr>
            <w:tcW w:type="dxa" w:w="1872"/>
          </w:tcPr>
          <w:p>
            <w:pPr>
              <w:spacing w:after="20"/>
            </w:pPr>
            <w:r/>
            <w:r>
              <w:rPr>
                <w:b w:val="0"/>
                <w:i w:val="0"/>
                <w:sz w:val="16"/>
              </w:rPr>
              <w:t>Document collection period</w:t>
            </w:r>
          </w:p>
        </w:tc>
        <w:tc>
          <w:tcPr>
            <w:tcW w:type="dxa" w:w="2304"/>
          </w:tcPr>
          <w:p>
            <w:pPr>
              <w:spacing w:after="20"/>
            </w:pPr>
            <w:r/>
            <w:r>
              <w:rPr>
                <w:b w:val="0"/>
                <w:i w:val="0"/>
                <w:sz w:val="16"/>
              </w:rPr>
              <w:t>Jan. 2018 – June 2022</w:t>
            </w:r>
          </w:p>
        </w:tc>
        <w:tc>
          <w:tcPr>
            <w:tcW w:type="dxa" w:w="2592"/>
          </w:tcPr>
          <w:p>
            <w:pPr>
              <w:spacing w:after="20"/>
            </w:pPr>
            <w:r/>
            <w:r>
              <w:rPr>
                <w:b w:val="0"/>
                <w:i w:val="0"/>
                <w:sz w:val="16"/>
              </w:rPr>
              <w:t>Relevant Period through Dec. 2022</w:t>
            </w:r>
          </w:p>
        </w:tc>
        <w:tc>
          <w:tcPr>
            <w:tcW w:type="dxa" w:w="2160"/>
          </w:tcPr>
          <w:p>
            <w:pPr>
              <w:spacing w:after="20"/>
            </w:pPr>
            <w:r/>
            <w:r>
              <w:rPr>
                <w:b w:val="0"/>
                <w:i w:val="0"/>
                <w:sz w:val="16"/>
              </w:rPr>
              <w:t>Qualify § 13.2; consider supplemental collection</w:t>
            </w:r>
          </w:p>
        </w:tc>
      </w:tr>
      <w:tr>
        <w:tc>
          <w:tcPr>
            <w:tcW w:type="dxa" w:w="432"/>
          </w:tcPr>
          <w:p>
            <w:pPr>
              <w:spacing w:after="20"/>
            </w:pPr>
            <w:r/>
            <w:r>
              <w:rPr>
                <w:b w:val="0"/>
                <w:i w:val="0"/>
                <w:sz w:val="16"/>
              </w:rPr>
              <w:t>18</w:t>
            </w:r>
          </w:p>
        </w:tc>
        <w:tc>
          <w:tcPr>
            <w:tcW w:type="dxa" w:w="1872"/>
          </w:tcPr>
          <w:p>
            <w:pPr>
              <w:spacing w:after="20"/>
            </w:pPr>
            <w:r/>
            <w:r>
              <w:rPr>
                <w:b w:val="0"/>
                <w:i w:val="0"/>
                <w:sz w:val="16"/>
              </w:rPr>
              <w:t>Cash model timing</w:t>
            </w:r>
          </w:p>
        </w:tc>
        <w:tc>
          <w:tcPr>
            <w:tcW w:type="dxa" w:w="2304"/>
          </w:tcPr>
          <w:p>
            <w:pPr>
              <w:spacing w:after="20"/>
            </w:pPr>
            <w:r/>
            <w:r>
              <w:rPr>
                <w:b w:val="0"/>
                <w:i w:val="0"/>
                <w:sz w:val="16"/>
              </w:rPr>
              <w:t>Year 1 (Feb. 2025–Jan. 2026) includes $50M installment</w:t>
            </w:r>
          </w:p>
        </w:tc>
        <w:tc>
          <w:tcPr>
            <w:tcW w:type="dxa" w:w="2592"/>
          </w:tcPr>
          <w:p>
            <w:pPr>
              <w:spacing w:after="20"/>
            </w:pPr>
            <w:r/>
            <w:r>
              <w:rPr>
                <w:b w:val="0"/>
                <w:i w:val="0"/>
                <w:sz w:val="16"/>
              </w:rPr>
              <w:t>Installment due Feb. 1, 2026 (Year 2); 4th installment due after Term</w:t>
            </w:r>
          </w:p>
        </w:tc>
        <w:tc>
          <w:tcPr>
            <w:tcW w:type="dxa" w:w="2160"/>
          </w:tcPr>
          <w:p>
            <w:pPr>
              <w:spacing w:after="20"/>
            </w:pPr>
            <w:r/>
            <w:r>
              <w:rPr>
                <w:b w:val="0"/>
                <w:i w:val="0"/>
                <w:sz w:val="16"/>
              </w:rPr>
              <w:t>Correct model; fix § 8.4(d)</w:t>
            </w:r>
          </w:p>
        </w:tc>
      </w:tr>
    </w:tbl>
    <w:p>
      <w:pPr>
        <w:spacing w:after="40"/>
      </w:pPr>
    </w:p>
    <w:p>
      <w:pPr>
        <w:pStyle w:val="Heading1"/>
      </w:pPr>
      <w:r>
        <w:t>VII. Negotiation Strategy for the January 15, 2025 Session</w:t>
      </w:r>
    </w:p>
    <w:p>
      <w:pPr>
        <w:pStyle w:val="Heading2"/>
      </w:pPr>
      <w:r>
        <w:t>A. Priority Tiers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160"/>
            <w:shd w:val="clear" w:color="auto" w:fill="D9E2F3"/>
          </w:tcPr>
          <w:p>
            <w:r/>
            <w:r>
              <w:rPr>
                <w:b/>
                <w:i w:val="0"/>
                <w:sz w:val="17"/>
              </w:rPr>
              <w:t>Tier</w:t>
            </w:r>
          </w:p>
        </w:tc>
        <w:tc>
          <w:tcPr>
            <w:tcW w:type="dxa" w:w="4320"/>
            <w:shd w:val="clear" w:color="auto" w:fill="D9E2F3"/>
          </w:tcPr>
          <w:p>
            <w:r/>
            <w:r>
              <w:rPr>
                <w:b/>
                <w:i w:val="0"/>
                <w:sz w:val="17"/>
              </w:rPr>
              <w:t>Items</w:t>
            </w:r>
          </w:p>
        </w:tc>
        <w:tc>
          <w:tcPr>
            <w:tcW w:type="dxa" w:w="2880"/>
            <w:shd w:val="clear" w:color="auto" w:fill="D9E2F3"/>
          </w:tcPr>
          <w:p>
            <w:r/>
            <w:r>
              <w:rPr>
                <w:b/>
                <w:i w:val="0"/>
                <w:sz w:val="17"/>
              </w:rPr>
              <w:t>Posture</w:t>
            </w:r>
          </w:p>
        </w:tc>
      </w:tr>
      <w:tr>
        <w:tc>
          <w:tcPr>
            <w:tcW w:type="dxa" w:w="2160"/>
          </w:tcPr>
          <w:p>
            <w:pPr>
              <w:spacing w:after="20"/>
            </w:pPr>
            <w:r/>
            <w:r>
              <w:rPr>
                <w:b w:val="0"/>
                <w:i w:val="0"/>
                <w:sz w:val="17"/>
              </w:rPr>
              <w:t>1 — Must-haves (delay execution if unresolved)</w:t>
            </w:r>
          </w:p>
        </w:tc>
        <w:tc>
          <w:tcPr>
            <w:tcW w:type="dxa" w:w="4320"/>
          </w:tcPr>
          <w:p>
            <w:pPr>
              <w:spacing w:after="20"/>
            </w:pPr>
            <w:r/>
            <w:r>
              <w:rPr>
                <w:b w:val="0"/>
                <w:i w:val="0"/>
                <w:sz w:val="17"/>
              </w:rPr>
              <w:t>Effectiveness condition/lender waiver (1); breach procedure and payment crediting (4); SOF executive-knowledge and taint language (3); privilege (5); installment timing (6); deletion of the volume-of-commerce add-on (2)</w:t>
            </w:r>
          </w:p>
        </w:tc>
        <w:tc>
          <w:tcPr>
            <w:tcW w:type="dxa" w:w="2880"/>
          </w:tcPr>
          <w:p>
            <w:pPr>
              <w:spacing w:after="20"/>
            </w:pPr>
            <w:r/>
            <w:r>
              <w:rPr>
                <w:b w:val="0"/>
                <w:i w:val="0"/>
                <w:sz w:val="17"/>
              </w:rPr>
              <w:t>Not tradeable. Present items 6 and the volume-of-commerce arithmetic as technical defects that prevent signature as drafted.</w:t>
            </w:r>
          </w:p>
        </w:tc>
      </w:tr>
      <w:tr>
        <w:tc>
          <w:tcPr>
            <w:tcW w:type="dxa" w:w="2160"/>
          </w:tcPr>
          <w:p>
            <w:pPr>
              <w:spacing w:after="20"/>
            </w:pPr>
            <w:r/>
            <w:r>
              <w:rPr>
                <w:b w:val="0"/>
                <w:i w:val="0"/>
                <w:sz w:val="17"/>
              </w:rPr>
              <w:t>2 — Priority economics and structure</w:t>
            </w:r>
          </w:p>
        </w:tc>
        <w:tc>
          <w:tcPr>
            <w:tcW w:type="dxa" w:w="4320"/>
          </w:tcPr>
          <w:p>
            <w:pPr>
              <w:spacing w:after="20"/>
            </w:pPr>
            <w:r/>
            <w:r>
              <w:rPr>
                <w:b w:val="0"/>
                <w:i w:val="0"/>
                <w:sz w:val="17"/>
              </w:rPr>
              <w:t>Penalty base, multipliers and cooperation credit (2); successor/BioNovus (7); Monitor scope, selection, cap (8–10); global resolution (11); Government covenants (12); gag carve-outs (13); limitations waiver (14); self-reporting (15); representations (16); payment terms (17)</w:t>
            </w:r>
          </w:p>
        </w:tc>
        <w:tc>
          <w:tcPr>
            <w:tcW w:type="dxa" w:w="2880"/>
          </w:tcPr>
          <w:p>
            <w:pPr>
              <w:spacing w:after="20"/>
            </w:pPr>
            <w:r/>
            <w:r>
              <w:rPr>
                <w:b w:val="0"/>
                <w:i w:val="0"/>
                <w:sz w:val="17"/>
              </w:rPr>
              <w:t>Press hard; accept defined fallbacks set out above.</w:t>
            </w:r>
          </w:p>
        </w:tc>
      </w:tr>
      <w:tr>
        <w:tc>
          <w:tcPr>
            <w:tcW w:type="dxa" w:w="2160"/>
          </w:tcPr>
          <w:p>
            <w:pPr>
              <w:spacing w:after="20"/>
            </w:pPr>
            <w:r/>
            <w:r>
              <w:rPr>
                <w:b w:val="0"/>
                <w:i w:val="0"/>
                <w:sz w:val="17"/>
              </w:rPr>
              <w:t>3 — Trading currency</w:t>
            </w:r>
          </w:p>
        </w:tc>
        <w:tc>
          <w:tcPr>
            <w:tcW w:type="dxa" w:w="4320"/>
          </w:tcPr>
          <w:p>
            <w:pPr>
              <w:spacing w:after="20"/>
            </w:pPr>
            <w:r/>
            <w:r>
              <w:rPr>
                <w:b w:val="0"/>
                <w:i w:val="0"/>
                <w:sz w:val="17"/>
              </w:rPr>
              <w:t>Training cadence (19); speaker mandate details (20); government pricing review (21); personnel mandates and naming (22); cooperation mechanics (18); extensions (25)</w:t>
            </w:r>
          </w:p>
        </w:tc>
        <w:tc>
          <w:tcPr>
            <w:tcW w:type="dxa" w:w="2880"/>
          </w:tcPr>
          <w:p>
            <w:pPr>
              <w:spacing w:after="20"/>
            </w:pPr>
            <w:r/>
            <w:r>
              <w:rPr>
                <w:b w:val="0"/>
                <w:i w:val="0"/>
                <w:sz w:val="17"/>
              </w:rPr>
              <w:t>Concede selectively in exchange for Tier 1–2 movement.</w:t>
            </w:r>
          </w:p>
        </w:tc>
      </w:tr>
      <w:tr>
        <w:tc>
          <w:tcPr>
            <w:tcW w:type="dxa" w:w="2160"/>
          </w:tcPr>
          <w:p>
            <w:pPr>
              <w:spacing w:after="20"/>
            </w:pPr>
            <w:r/>
            <w:r>
              <w:rPr>
                <w:b w:val="0"/>
                <w:i w:val="0"/>
                <w:sz w:val="17"/>
              </w:rPr>
              <w:t>4 — Accept early (goodwill)</w:t>
            </w:r>
          </w:p>
        </w:tc>
        <w:tc>
          <w:tcPr>
            <w:tcW w:type="dxa" w:w="4320"/>
          </w:tcPr>
          <w:p>
            <w:pPr>
              <w:spacing w:after="20"/>
            </w:pPr>
            <w:r/>
            <w:r>
              <w:rPr>
                <w:b w:val="0"/>
                <w:i w:val="0"/>
                <w:sz w:val="17"/>
              </w:rPr>
              <w:t>CCO reporting line (28); $6.0M budget floor (29); tracking, risk assessment, hotline, anti-retaliation, diligence, Board reporting, screening (30); Kwan bar (31); incentive-compensation and certification concepts (21)</w:t>
            </w:r>
          </w:p>
        </w:tc>
        <w:tc>
          <w:tcPr>
            <w:tcW w:type="dxa" w:w="2880"/>
          </w:tcPr>
          <w:p>
            <w:pPr>
              <w:spacing w:after="20"/>
            </w:pPr>
            <w:r/>
            <w:r>
              <w:rPr>
                <w:b w:val="0"/>
                <w:i w:val="0"/>
                <w:sz w:val="17"/>
              </w:rPr>
              <w:t>Accept at the outset and describe implementation already underway.</w:t>
            </w:r>
          </w:p>
        </w:tc>
      </w:tr>
    </w:tbl>
    <w:p>
      <w:pPr>
        <w:spacing w:after="40"/>
      </w:pPr>
    </w:p>
    <w:p>
      <w:pPr>
        <w:pStyle w:val="Heading2"/>
      </w:pPr>
      <w:r>
        <w:t>B. Sequencing and Framing</w:t>
      </w:r>
    </w:p>
    <w:p>
      <w:pPr>
        <w:pStyle w:val="ListNumber"/>
        <w:spacing w:after="60"/>
      </w:pPr>
      <w:r>
        <w:rPr>
          <w:b/>
          <w:i w:val="0"/>
        </w:rPr>
        <w:t>Before the session (by January 10):</w:t>
      </w:r>
      <w:r>
        <w:rPr>
          <w:b w:val="0"/>
          <w:i w:val="0"/>
        </w:rPr>
        <w:t xml:space="preserve"> deliver a written agenda, the SOF and DPA redlines, a Sentencing Guidelines analysis and the Tier methodology presentation (under an FRE 408/410 and non-waiver agreement), and a short list of alternative monitor candidates. Ask for the Government’s event-level data and the draft Information.</w:t>
      </w:r>
    </w:p>
    <w:p>
      <w:pPr>
        <w:pStyle w:val="ListNumber"/>
        <w:spacing w:after="60"/>
      </w:pPr>
      <w:r>
        <w:rPr>
          <w:b/>
          <w:i w:val="0"/>
        </w:rPr>
        <w:t>Open with acceptance:</w:t>
      </w:r>
      <w:r>
        <w:rPr>
          <w:b w:val="0"/>
          <w:i w:val="0"/>
        </w:rPr>
        <w:t xml:space="preserve"> confirm the Company accepts the core remediation mandates (Tier 4) and is implementing them now. This frames the Company as a cooperating, remediating party and supports cooperation credit and a hybrid monitorship.</w:t>
      </w:r>
    </w:p>
    <w:p>
      <w:pPr>
        <w:pStyle w:val="ListNumber"/>
        <w:spacing w:after="60"/>
      </w:pPr>
      <w:r>
        <w:rPr>
          <w:b/>
          <w:i w:val="0"/>
        </w:rPr>
        <w:t>Then the technical defects:</w:t>
      </w:r>
      <w:r>
        <w:rPr>
          <w:b w:val="0"/>
          <w:i w:val="0"/>
        </w:rPr>
        <w:t xml:space="preserve"> the fourth-installment timing, the volume-of-commerce arithmetic, and the civil FCA statute cited as a criminal count show the draft cannot be executed as written and reopen the penalty build without a confrontational posture.</w:t>
      </w:r>
    </w:p>
    <w:p>
      <w:pPr>
        <w:pStyle w:val="ListNumber"/>
        <w:spacing w:after="60"/>
      </w:pPr>
      <w:r>
        <w:rPr>
          <w:b/>
          <w:i w:val="0"/>
        </w:rPr>
        <w:t>Then penalty and SOF together:</w:t>
      </w:r>
      <w:r>
        <w:rPr>
          <w:b w:val="0"/>
          <w:i w:val="0"/>
        </w:rPr>
        <w:t xml:space="preserve"> the same evidence (Tier analysis, FMV study, absence of executive knowledge) drives both. Lead with the Government’s own event count matching our Tier 1–2 count.</w:t>
      </w:r>
    </w:p>
    <w:p>
      <w:pPr>
        <w:pStyle w:val="ListNumber"/>
        <w:spacing w:after="60"/>
      </w:pPr>
      <w:r>
        <w:rPr>
          <w:b/>
          <w:i w:val="0"/>
        </w:rPr>
        <w:t>Then structural protections:</w:t>
      </w:r>
      <w:r>
        <w:rPr>
          <w:b w:val="0"/>
          <w:i w:val="0"/>
        </w:rPr>
        <w:t xml:space="preserve"> breach procedure, privilege, gag carve-outs and limitations waiver, presented as conforming the draft to DOJ form language and Justice Manual policy (JM §§ 9-28.710, 9-27.760, 1-12.100; Morford, Benczkowski and Monaco memoranda; M&amp;A Safe Harbor).</w:t>
      </w:r>
    </w:p>
    <w:p>
      <w:pPr>
        <w:pStyle w:val="ListNumber"/>
        <w:spacing w:after="60"/>
      </w:pPr>
      <w:r>
        <w:rPr>
          <w:b/>
          <w:i w:val="0"/>
        </w:rPr>
        <w:t>Close with financing and M&amp;A:</w:t>
      </w:r>
      <w:r>
        <w:rPr>
          <w:b w:val="0"/>
          <w:i w:val="0"/>
        </w:rPr>
        <w:t xml:space="preserve"> explain the cross-default mechanics and request the effectiveness condition. The Government has an interest in collecting its penalty from a solvent company and in not triggering a liquidity crisis; collateral consequences for patients relying on Neurovan and Cardivex also support proportionality.</w:t>
      </w:r>
    </w:p>
    <w:p>
      <w:pPr>
        <w:pStyle w:val="Heading2"/>
      </w:pPr>
      <w:r>
        <w:t>C. Governance Considerations</w:t>
      </w:r>
    </w:p>
    <w:p>
      <w:pPr>
        <w:pStyle w:val="ListBullet"/>
        <w:spacing w:after="60"/>
      </w:pPr>
      <w:r>
        <w:rPr>
          <w:b w:val="0"/>
          <w:i w:val="0"/>
        </w:rPr>
        <w:t>The CEO and General Counsel sign the SOF and are implicated by SOF ¶ 16 (and Ms. Huang by ¶ 20). The Audit Committee should formally direct the negotiation of the SOF and the individual-related provisions; individuals should be advised to consult personal counsel. We recommend routing this memorandum to the Audit Committee Chair as well as to Ms. Huang.</w:t>
      </w:r>
    </w:p>
    <w:p>
      <w:pPr>
        <w:pStyle w:val="ListBullet"/>
        <w:spacing w:after="60"/>
      </w:pPr>
      <w:r>
        <w:rPr>
          <w:b w:val="0"/>
          <w:i w:val="0"/>
        </w:rPr>
        <w:t>Board approval should be taken after the negotiated terms are final (not January 14), with the lender waiver status and the BioNovus implications presented together.</w:t>
      </w:r>
    </w:p>
    <w:p>
      <w:pPr>
        <w:pStyle w:val="Heading1"/>
      </w:pPr>
      <w:r>
        <w:t>VIII. Immediate Action Items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32"/>
            <w:shd w:val="clear" w:color="auto" w:fill="D9E2F3"/>
          </w:tcPr>
          <w:p>
            <w:r/>
            <w:r>
              <w:rPr>
                <w:b/>
                <w:i w:val="0"/>
                <w:sz w:val="17"/>
              </w:rPr>
              <w:t>#</w:t>
            </w:r>
          </w:p>
        </w:tc>
        <w:tc>
          <w:tcPr>
            <w:tcW w:type="dxa" w:w="5184"/>
            <w:shd w:val="clear" w:color="auto" w:fill="D9E2F3"/>
          </w:tcPr>
          <w:p>
            <w:r/>
            <w:r>
              <w:rPr>
                <w:b/>
                <w:i w:val="0"/>
                <w:sz w:val="17"/>
              </w:rPr>
              <w:t>Action</w:t>
            </w:r>
          </w:p>
        </w:tc>
        <w:tc>
          <w:tcPr>
            <w:tcW w:type="dxa" w:w="2160"/>
            <w:shd w:val="clear" w:color="auto" w:fill="D9E2F3"/>
          </w:tcPr>
          <w:p>
            <w:r/>
            <w:r>
              <w:rPr>
                <w:b/>
                <w:i w:val="0"/>
                <w:sz w:val="17"/>
              </w:rPr>
              <w:t>Owner</w:t>
            </w:r>
          </w:p>
        </w:tc>
        <w:tc>
          <w:tcPr>
            <w:tcW w:type="dxa" w:w="1584"/>
            <w:shd w:val="clear" w:color="auto" w:fill="D9E2F3"/>
          </w:tcPr>
          <w:p>
            <w:r/>
            <w:r>
              <w:rPr>
                <w:b/>
                <w:i w:val="0"/>
                <w:sz w:val="17"/>
              </w:rPr>
              <w:t>Deadline</w:t>
            </w:r>
          </w:p>
        </w:tc>
      </w:tr>
      <w:tr>
        <w:tc>
          <w:tcPr>
            <w:tcW w:type="dxa" w:w="432"/>
          </w:tcPr>
          <w:p>
            <w:pPr>
              <w:spacing w:after="20"/>
            </w:pPr>
            <w:r/>
            <w:r>
              <w:rPr>
                <w:b w:val="0"/>
                <w:i w:val="0"/>
                <w:sz w:val="17"/>
              </w:rPr>
              <w:t>1</w:t>
            </w:r>
          </w:p>
        </w:tc>
        <w:tc>
          <w:tcPr>
            <w:tcW w:type="dxa" w:w="5184"/>
          </w:tcPr>
          <w:p>
            <w:pPr>
              <w:spacing w:after="20"/>
            </w:pPr>
            <w:r/>
            <w:r>
              <w:rPr>
                <w:b w:val="0"/>
                <w:i w:val="0"/>
                <w:sz w:val="17"/>
              </w:rPr>
              <w:t>Submit formal Trident waiver request (range-based; § 7.1(h), Schedule 5.6 update, any § 3.2(c) notice Default)</w:t>
            </w:r>
          </w:p>
        </w:tc>
        <w:tc>
          <w:tcPr>
            <w:tcW w:type="dxa" w:w="2160"/>
          </w:tcPr>
          <w:p>
            <w:pPr>
              <w:spacing w:after="20"/>
            </w:pPr>
            <w:r/>
            <w:r>
              <w:rPr>
                <w:b w:val="0"/>
                <w:i w:val="0"/>
                <w:sz w:val="17"/>
              </w:rPr>
              <w:t>T. Bridwell; W&amp;C finance; Meridian</w:t>
            </w:r>
          </w:p>
        </w:tc>
        <w:tc>
          <w:tcPr>
            <w:tcW w:type="dxa" w:w="1584"/>
          </w:tcPr>
          <w:p>
            <w:pPr>
              <w:spacing w:after="20"/>
            </w:pPr>
            <w:r/>
            <w:r>
              <w:rPr>
                <w:b w:val="0"/>
                <w:i w:val="0"/>
                <w:sz w:val="17"/>
              </w:rPr>
              <w:t>Jan. 3, 2025</w:t>
            </w:r>
          </w:p>
        </w:tc>
      </w:tr>
      <w:tr>
        <w:tc>
          <w:tcPr>
            <w:tcW w:type="dxa" w:w="432"/>
          </w:tcPr>
          <w:p>
            <w:pPr>
              <w:spacing w:after="20"/>
            </w:pPr>
            <w:r/>
            <w:r>
              <w:rPr>
                <w:b w:val="0"/>
                <w:i w:val="0"/>
                <w:sz w:val="17"/>
              </w:rPr>
              <w:t>2</w:t>
            </w:r>
          </w:p>
        </w:tc>
        <w:tc>
          <w:tcPr>
            <w:tcW w:type="dxa" w:w="5184"/>
          </w:tcPr>
          <w:p>
            <w:pPr>
              <w:spacing w:after="20"/>
            </w:pPr>
            <w:r/>
            <w:r>
              <w:rPr>
                <w:b w:val="0"/>
                <w:i w:val="0"/>
                <w:sz w:val="17"/>
              </w:rPr>
              <w:t>Determine whether § 3.2(c) notice was triggered in October 2024; deliver notice if so</w:t>
            </w:r>
          </w:p>
        </w:tc>
        <w:tc>
          <w:tcPr>
            <w:tcW w:type="dxa" w:w="2160"/>
          </w:tcPr>
          <w:p>
            <w:pPr>
              <w:spacing w:after="20"/>
            </w:pPr>
            <w:r/>
            <w:r>
              <w:rPr>
                <w:b w:val="0"/>
                <w:i w:val="0"/>
                <w:sz w:val="17"/>
              </w:rPr>
              <w:t>W&amp;C finance</w:t>
            </w:r>
          </w:p>
        </w:tc>
        <w:tc>
          <w:tcPr>
            <w:tcW w:type="dxa" w:w="1584"/>
          </w:tcPr>
          <w:p>
            <w:pPr>
              <w:spacing w:after="20"/>
            </w:pPr>
            <w:r/>
            <w:r>
              <w:rPr>
                <w:b w:val="0"/>
                <w:i w:val="0"/>
                <w:sz w:val="17"/>
              </w:rPr>
              <w:t>Dec. 27, 2024</w:t>
            </w:r>
          </w:p>
        </w:tc>
      </w:tr>
      <w:tr>
        <w:tc>
          <w:tcPr>
            <w:tcW w:type="dxa" w:w="432"/>
          </w:tcPr>
          <w:p>
            <w:pPr>
              <w:spacing w:after="20"/>
            </w:pPr>
            <w:r/>
            <w:r>
              <w:rPr>
                <w:b w:val="0"/>
                <w:i w:val="0"/>
                <w:sz w:val="17"/>
              </w:rPr>
              <w:t>3</w:t>
            </w:r>
          </w:p>
        </w:tc>
        <w:tc>
          <w:tcPr>
            <w:tcW w:type="dxa" w:w="5184"/>
          </w:tcPr>
          <w:p>
            <w:pPr>
              <w:spacing w:after="20"/>
            </w:pPr>
            <w:r/>
            <w:r>
              <w:rPr>
                <w:b w:val="0"/>
                <w:i w:val="0"/>
                <w:sz w:val="17"/>
              </w:rPr>
              <w:t>Obtain full Credit Agreement, amendments and Indenture; resolve maturity, leverage, cross-acceleration conflicts</w:t>
            </w:r>
          </w:p>
        </w:tc>
        <w:tc>
          <w:tcPr>
            <w:tcW w:type="dxa" w:w="2160"/>
          </w:tcPr>
          <w:p>
            <w:pPr>
              <w:spacing w:after="20"/>
            </w:pPr>
            <w:r/>
            <w:r>
              <w:rPr>
                <w:b w:val="0"/>
                <w:i w:val="0"/>
                <w:sz w:val="17"/>
              </w:rPr>
              <w:t>W&amp;C finance</w:t>
            </w:r>
          </w:p>
        </w:tc>
        <w:tc>
          <w:tcPr>
            <w:tcW w:type="dxa" w:w="1584"/>
          </w:tcPr>
          <w:p>
            <w:pPr>
              <w:spacing w:after="20"/>
            </w:pPr>
            <w:r/>
            <w:r>
              <w:rPr>
                <w:b w:val="0"/>
                <w:i w:val="0"/>
                <w:sz w:val="17"/>
              </w:rPr>
              <w:t>Dec. 30, 2024</w:t>
            </w:r>
          </w:p>
        </w:tc>
      </w:tr>
      <w:tr>
        <w:tc>
          <w:tcPr>
            <w:tcW w:type="dxa" w:w="432"/>
          </w:tcPr>
          <w:p>
            <w:pPr>
              <w:spacing w:after="20"/>
            </w:pPr>
            <w:r/>
            <w:r>
              <w:rPr>
                <w:b w:val="0"/>
                <w:i w:val="0"/>
                <w:sz w:val="17"/>
              </w:rPr>
              <w:t>4</w:t>
            </w:r>
          </w:p>
        </w:tc>
        <w:tc>
          <w:tcPr>
            <w:tcW w:type="dxa" w:w="5184"/>
          </w:tcPr>
          <w:p>
            <w:pPr>
              <w:spacing w:after="20"/>
            </w:pPr>
            <w:r/>
            <w:r>
              <w:rPr>
                <w:b w:val="0"/>
                <w:i w:val="0"/>
                <w:sz w:val="17"/>
              </w:rPr>
              <w:t>Quarterly pro forma liquidity model with the $100M minimum, Monitor fees and BioNovus timing</w:t>
            </w:r>
          </w:p>
        </w:tc>
        <w:tc>
          <w:tcPr>
            <w:tcW w:type="dxa" w:w="2160"/>
          </w:tcPr>
          <w:p>
            <w:pPr>
              <w:spacing w:after="20"/>
            </w:pPr>
            <w:r/>
            <w:r>
              <w:rPr>
                <w:b w:val="0"/>
                <w:i w:val="0"/>
                <w:sz w:val="17"/>
              </w:rPr>
              <w:t>T. Bridwell</w:t>
            </w:r>
          </w:p>
        </w:tc>
        <w:tc>
          <w:tcPr>
            <w:tcW w:type="dxa" w:w="1584"/>
          </w:tcPr>
          <w:p>
            <w:pPr>
              <w:spacing w:after="20"/>
            </w:pPr>
            <w:r/>
            <w:r>
              <w:rPr>
                <w:b w:val="0"/>
                <w:i w:val="0"/>
                <w:sz w:val="17"/>
              </w:rPr>
              <w:t>Jan. 6, 2025</w:t>
            </w:r>
          </w:p>
        </w:tc>
      </w:tr>
      <w:tr>
        <w:tc>
          <w:tcPr>
            <w:tcW w:type="dxa" w:w="432"/>
          </w:tcPr>
          <w:p>
            <w:pPr>
              <w:spacing w:after="20"/>
            </w:pPr>
            <w:r/>
            <w:r>
              <w:rPr>
                <w:b w:val="0"/>
                <w:i w:val="0"/>
                <w:sz w:val="17"/>
              </w:rPr>
              <w:t>5</w:t>
            </w:r>
          </w:p>
        </w:tc>
        <w:tc>
          <w:tcPr>
            <w:tcW w:type="dxa" w:w="5184"/>
          </w:tcPr>
          <w:p>
            <w:pPr>
              <w:spacing w:after="20"/>
            </w:pPr>
            <w:r/>
            <w:r>
              <w:rPr>
                <w:b w:val="0"/>
                <w:i w:val="0"/>
                <w:sz w:val="17"/>
              </w:rPr>
              <w:t>Reconcile FY2023 revenue and TTM EBITDA with Hargrove &amp; Whitley</w:t>
            </w:r>
          </w:p>
        </w:tc>
        <w:tc>
          <w:tcPr>
            <w:tcW w:type="dxa" w:w="2160"/>
          </w:tcPr>
          <w:p>
            <w:pPr>
              <w:spacing w:after="20"/>
            </w:pPr>
            <w:r/>
            <w:r>
              <w:rPr>
                <w:b w:val="0"/>
                <w:i w:val="0"/>
                <w:sz w:val="17"/>
              </w:rPr>
              <w:t>T. Bridwell</w:t>
            </w:r>
          </w:p>
        </w:tc>
        <w:tc>
          <w:tcPr>
            <w:tcW w:type="dxa" w:w="1584"/>
          </w:tcPr>
          <w:p>
            <w:pPr>
              <w:spacing w:after="20"/>
            </w:pPr>
            <w:r/>
            <w:r>
              <w:rPr>
                <w:b w:val="0"/>
                <w:i w:val="0"/>
                <w:sz w:val="17"/>
              </w:rPr>
              <w:t>Jan. 8, 2025</w:t>
            </w:r>
          </w:p>
        </w:tc>
      </w:tr>
      <w:tr>
        <w:tc>
          <w:tcPr>
            <w:tcW w:type="dxa" w:w="432"/>
          </w:tcPr>
          <w:p>
            <w:pPr>
              <w:spacing w:after="20"/>
            </w:pPr>
            <w:r/>
            <w:r>
              <w:rPr>
                <w:b w:val="0"/>
                <w:i w:val="0"/>
                <w:sz w:val="17"/>
              </w:rPr>
              <w:t>6</w:t>
            </w:r>
          </w:p>
        </w:tc>
        <w:tc>
          <w:tcPr>
            <w:tcW w:type="dxa" w:w="5184"/>
          </w:tcPr>
          <w:p>
            <w:pPr>
              <w:spacing w:after="20"/>
            </w:pPr>
            <w:r/>
            <w:r>
              <w:rPr>
                <w:b w:val="0"/>
                <w:i w:val="0"/>
                <w:sz w:val="17"/>
              </w:rPr>
              <w:t>Guidelines analysis and Tier/FMV presentation; non-waiver agreement</w:t>
            </w:r>
          </w:p>
        </w:tc>
        <w:tc>
          <w:tcPr>
            <w:tcW w:type="dxa" w:w="2160"/>
          </w:tcPr>
          <w:p>
            <w:pPr>
              <w:spacing w:after="20"/>
            </w:pPr>
            <w:r/>
            <w:r>
              <w:rPr>
                <w:b w:val="0"/>
                <w:i w:val="0"/>
                <w:sz w:val="17"/>
              </w:rPr>
              <w:t>W&amp;C</w:t>
            </w:r>
          </w:p>
        </w:tc>
        <w:tc>
          <w:tcPr>
            <w:tcW w:type="dxa" w:w="1584"/>
          </w:tcPr>
          <w:p>
            <w:pPr>
              <w:spacing w:after="20"/>
            </w:pPr>
            <w:r/>
            <w:r>
              <w:rPr>
                <w:b w:val="0"/>
                <w:i w:val="0"/>
                <w:sz w:val="17"/>
              </w:rPr>
              <w:t>Jan. 8 (to USAO Jan. 10)</w:t>
            </w:r>
          </w:p>
        </w:tc>
      </w:tr>
      <w:tr>
        <w:tc>
          <w:tcPr>
            <w:tcW w:type="dxa" w:w="432"/>
          </w:tcPr>
          <w:p>
            <w:pPr>
              <w:spacing w:after="20"/>
            </w:pPr>
            <w:r/>
            <w:r>
              <w:rPr>
                <w:b w:val="0"/>
                <w:i w:val="0"/>
                <w:sz w:val="17"/>
              </w:rPr>
              <w:t>7</w:t>
            </w:r>
          </w:p>
        </w:tc>
        <w:tc>
          <w:tcPr>
            <w:tcW w:type="dxa" w:w="5184"/>
          </w:tcPr>
          <w:p>
            <w:pPr>
              <w:spacing w:after="20"/>
            </w:pPr>
            <w:r/>
            <w:r>
              <w:rPr>
                <w:b w:val="0"/>
                <w:i w:val="0"/>
                <w:sz w:val="17"/>
              </w:rPr>
              <w:t>SOF and DPA redlines; written agenda; request draft Information and Government data</w:t>
            </w:r>
          </w:p>
        </w:tc>
        <w:tc>
          <w:tcPr>
            <w:tcW w:type="dxa" w:w="2160"/>
          </w:tcPr>
          <w:p>
            <w:pPr>
              <w:spacing w:after="20"/>
            </w:pPr>
            <w:r/>
            <w:r>
              <w:rPr>
                <w:b w:val="0"/>
                <w:i w:val="0"/>
                <w:sz w:val="17"/>
              </w:rPr>
              <w:t>W&amp;C</w:t>
            </w:r>
          </w:p>
        </w:tc>
        <w:tc>
          <w:tcPr>
            <w:tcW w:type="dxa" w:w="1584"/>
          </w:tcPr>
          <w:p>
            <w:pPr>
              <w:spacing w:after="20"/>
            </w:pPr>
            <w:r/>
            <w:r>
              <w:rPr>
                <w:b w:val="0"/>
                <w:i w:val="0"/>
                <w:sz w:val="17"/>
              </w:rPr>
              <w:t>Jan. 10, 2025</w:t>
            </w:r>
          </w:p>
        </w:tc>
      </w:tr>
      <w:tr>
        <w:tc>
          <w:tcPr>
            <w:tcW w:type="dxa" w:w="432"/>
          </w:tcPr>
          <w:p>
            <w:pPr>
              <w:spacing w:after="20"/>
            </w:pPr>
            <w:r/>
            <w:r>
              <w:rPr>
                <w:b w:val="0"/>
                <w:i w:val="0"/>
                <w:sz w:val="17"/>
              </w:rPr>
              <w:t>8</w:t>
            </w:r>
          </w:p>
        </w:tc>
        <w:tc>
          <w:tcPr>
            <w:tcW w:type="dxa" w:w="5184"/>
          </w:tcPr>
          <w:p>
            <w:pPr>
              <w:spacing w:after="20"/>
            </w:pPr>
            <w:r/>
            <w:r>
              <w:rPr>
                <w:b w:val="0"/>
                <w:i w:val="0"/>
                <w:sz w:val="17"/>
              </w:rPr>
              <w:t>Alternative monitor candidates (3) with conflict checks; Thornfield conflict letter; verify Vantage dates</w:t>
            </w:r>
          </w:p>
        </w:tc>
        <w:tc>
          <w:tcPr>
            <w:tcW w:type="dxa" w:w="2160"/>
          </w:tcPr>
          <w:p>
            <w:pPr>
              <w:spacing w:after="20"/>
            </w:pPr>
            <w:r/>
            <w:r>
              <w:rPr>
                <w:b w:val="0"/>
                <w:i w:val="0"/>
                <w:sz w:val="17"/>
              </w:rPr>
              <w:t>W&amp;C; Alderman</w:t>
            </w:r>
          </w:p>
        </w:tc>
        <w:tc>
          <w:tcPr>
            <w:tcW w:type="dxa" w:w="1584"/>
          </w:tcPr>
          <w:p>
            <w:pPr>
              <w:spacing w:after="20"/>
            </w:pPr>
            <w:r/>
            <w:r>
              <w:rPr>
                <w:b w:val="0"/>
                <w:i w:val="0"/>
                <w:sz w:val="17"/>
              </w:rPr>
              <w:t>Jan. 10, 2025</w:t>
            </w:r>
          </w:p>
        </w:tc>
      </w:tr>
      <w:tr>
        <w:tc>
          <w:tcPr>
            <w:tcW w:type="dxa" w:w="432"/>
          </w:tcPr>
          <w:p>
            <w:pPr>
              <w:spacing w:after="20"/>
            </w:pPr>
            <w:r/>
            <w:r>
              <w:rPr>
                <w:b w:val="0"/>
                <w:i w:val="0"/>
                <w:sz w:val="17"/>
              </w:rPr>
              <w:t>9</w:t>
            </w:r>
          </w:p>
        </w:tc>
        <w:tc>
          <w:tcPr>
            <w:tcW w:type="dxa" w:w="5184"/>
          </w:tcPr>
          <w:p>
            <w:pPr>
              <w:spacing w:after="20"/>
            </w:pPr>
            <w:r/>
            <w:r>
              <w:rPr>
                <w:b w:val="0"/>
                <w:i w:val="0"/>
                <w:sz w:val="17"/>
              </w:rPr>
              <w:t>Alderman to refresh analysis against the current draft</w:t>
            </w:r>
          </w:p>
        </w:tc>
        <w:tc>
          <w:tcPr>
            <w:tcW w:type="dxa" w:w="2160"/>
          </w:tcPr>
          <w:p>
            <w:pPr>
              <w:spacing w:after="20"/>
            </w:pPr>
            <w:r/>
            <w:r>
              <w:rPr>
                <w:b w:val="0"/>
                <w:i w:val="0"/>
                <w:sz w:val="17"/>
              </w:rPr>
              <w:t>Alderman</w:t>
            </w:r>
          </w:p>
        </w:tc>
        <w:tc>
          <w:tcPr>
            <w:tcW w:type="dxa" w:w="1584"/>
          </w:tcPr>
          <w:p>
            <w:pPr>
              <w:spacing w:after="20"/>
            </w:pPr>
            <w:r/>
            <w:r>
              <w:rPr>
                <w:b w:val="0"/>
                <w:i w:val="0"/>
                <w:sz w:val="17"/>
              </w:rPr>
              <w:t>Jan. 8, 2025</w:t>
            </w:r>
          </w:p>
        </w:tc>
      </w:tr>
      <w:tr>
        <w:tc>
          <w:tcPr>
            <w:tcW w:type="dxa" w:w="432"/>
          </w:tcPr>
          <w:p>
            <w:pPr>
              <w:spacing w:after="20"/>
            </w:pPr>
            <w:r/>
            <w:r>
              <w:rPr>
                <w:b w:val="0"/>
                <w:i w:val="0"/>
                <w:sz w:val="17"/>
              </w:rPr>
              <w:t>10</w:t>
            </w:r>
          </w:p>
        </w:tc>
        <w:tc>
          <w:tcPr>
            <w:tcW w:type="dxa" w:w="5184"/>
          </w:tcPr>
          <w:p>
            <w:pPr>
              <w:spacing w:after="20"/>
            </w:pPr>
            <w:r/>
            <w:r>
              <w:rPr>
                <w:b w:val="0"/>
                <w:i w:val="0"/>
                <w:sz w:val="17"/>
              </w:rPr>
              <w:t>Open OIG (exclusion/CIA), civil AUSA (settlement agreement/releases), NAMFCU and relator’s counsel discussions</w:t>
            </w:r>
          </w:p>
        </w:tc>
        <w:tc>
          <w:tcPr>
            <w:tcW w:type="dxa" w:w="2160"/>
          </w:tcPr>
          <w:p>
            <w:pPr>
              <w:spacing w:after="20"/>
            </w:pPr>
            <w:r/>
            <w:r>
              <w:rPr>
                <w:b w:val="0"/>
                <w:i w:val="0"/>
                <w:sz w:val="17"/>
              </w:rPr>
              <w:t>W&amp;C</w:t>
            </w:r>
          </w:p>
        </w:tc>
        <w:tc>
          <w:tcPr>
            <w:tcW w:type="dxa" w:w="1584"/>
          </w:tcPr>
          <w:p>
            <w:pPr>
              <w:spacing w:after="20"/>
            </w:pPr>
            <w:r/>
            <w:r>
              <w:rPr>
                <w:b w:val="0"/>
                <w:i w:val="0"/>
                <w:sz w:val="17"/>
              </w:rPr>
              <w:t>Jan. 10, 2025</w:t>
            </w:r>
          </w:p>
        </w:tc>
      </w:tr>
      <w:tr>
        <w:tc>
          <w:tcPr>
            <w:tcW w:type="dxa" w:w="432"/>
          </w:tcPr>
          <w:p>
            <w:pPr>
              <w:spacing w:after="20"/>
            </w:pPr>
            <w:r/>
            <w:r>
              <w:rPr>
                <w:b w:val="0"/>
                <w:i w:val="0"/>
                <w:sz w:val="17"/>
              </w:rPr>
              <w:t>11</w:t>
            </w:r>
          </w:p>
        </w:tc>
        <w:tc>
          <w:tcPr>
            <w:tcW w:type="dxa" w:w="5184"/>
          </w:tcPr>
          <w:p>
            <w:pPr>
              <w:spacing w:after="20"/>
            </w:pPr>
            <w:r/>
            <w:r>
              <w:rPr>
                <w:b w:val="0"/>
                <w:i w:val="0"/>
                <w:sz w:val="17"/>
              </w:rPr>
              <w:t>Tax counsel: § 162(f) restitution language and relator-share treatment</w:t>
            </w:r>
          </w:p>
        </w:tc>
        <w:tc>
          <w:tcPr>
            <w:tcW w:type="dxa" w:w="2160"/>
          </w:tcPr>
          <w:p>
            <w:pPr>
              <w:spacing w:after="20"/>
            </w:pPr>
            <w:r/>
            <w:r>
              <w:rPr>
                <w:b w:val="0"/>
                <w:i w:val="0"/>
                <w:sz w:val="17"/>
              </w:rPr>
              <w:t>Tax counsel</w:t>
            </w:r>
          </w:p>
        </w:tc>
        <w:tc>
          <w:tcPr>
            <w:tcW w:type="dxa" w:w="1584"/>
          </w:tcPr>
          <w:p>
            <w:pPr>
              <w:spacing w:after="20"/>
            </w:pPr>
            <w:r/>
            <w:r>
              <w:rPr>
                <w:b w:val="0"/>
                <w:i w:val="0"/>
                <w:sz w:val="17"/>
              </w:rPr>
              <w:t>Jan. 10, 2025</w:t>
            </w:r>
          </w:p>
        </w:tc>
      </w:tr>
      <w:tr>
        <w:tc>
          <w:tcPr>
            <w:tcW w:type="dxa" w:w="432"/>
          </w:tcPr>
          <w:p>
            <w:pPr>
              <w:spacing w:after="20"/>
            </w:pPr>
            <w:r/>
            <w:r>
              <w:rPr>
                <w:b w:val="0"/>
                <w:i w:val="0"/>
                <w:sz w:val="17"/>
              </w:rPr>
              <w:t>12</w:t>
            </w:r>
          </w:p>
        </w:tc>
        <w:tc>
          <w:tcPr>
            <w:tcW w:type="dxa" w:w="5184"/>
          </w:tcPr>
          <w:p>
            <w:pPr>
              <w:spacing w:after="20"/>
            </w:pPr>
            <w:r/>
            <w:r>
              <w:rPr>
                <w:b w:val="0"/>
                <w:i w:val="0"/>
                <w:sz w:val="17"/>
              </w:rPr>
              <w:t>Securities/accounting: FY2024 accrual; BioNovus LOI disclosure; disclosure script</w:t>
            </w:r>
          </w:p>
        </w:tc>
        <w:tc>
          <w:tcPr>
            <w:tcW w:type="dxa" w:w="2160"/>
          </w:tcPr>
          <w:p>
            <w:pPr>
              <w:spacing w:after="20"/>
            </w:pPr>
            <w:r/>
            <w:r>
              <w:rPr>
                <w:b w:val="0"/>
                <w:i w:val="0"/>
                <w:sz w:val="17"/>
              </w:rPr>
              <w:t>Securities counsel; auditors</w:t>
            </w:r>
          </w:p>
        </w:tc>
        <w:tc>
          <w:tcPr>
            <w:tcW w:type="dxa" w:w="1584"/>
          </w:tcPr>
          <w:p>
            <w:pPr>
              <w:spacing w:after="20"/>
            </w:pPr>
            <w:r/>
            <w:r>
              <w:rPr>
                <w:b w:val="0"/>
                <w:i w:val="0"/>
                <w:sz w:val="17"/>
              </w:rPr>
              <w:t>Jan. 10, 2025</w:t>
            </w:r>
          </w:p>
        </w:tc>
      </w:tr>
      <w:tr>
        <w:tc>
          <w:tcPr>
            <w:tcW w:type="dxa" w:w="432"/>
          </w:tcPr>
          <w:p>
            <w:pPr>
              <w:spacing w:after="20"/>
            </w:pPr>
            <w:r/>
            <w:r>
              <w:rPr>
                <w:b w:val="0"/>
                <w:i w:val="0"/>
                <w:sz w:val="17"/>
              </w:rPr>
              <w:t>13</w:t>
            </w:r>
          </w:p>
        </w:tc>
        <w:tc>
          <w:tcPr>
            <w:tcW w:type="dxa" w:w="5184"/>
          </w:tcPr>
          <w:p>
            <w:pPr>
              <w:spacing w:after="20"/>
            </w:pPr>
            <w:r/>
            <w:r>
              <w:rPr>
                <w:b w:val="0"/>
                <w:i w:val="0"/>
                <w:sz w:val="17"/>
              </w:rPr>
              <w:t>Re-schedule Board approval after final terms; Audit Committee direction of SOF negotiation</w:t>
            </w:r>
          </w:p>
        </w:tc>
        <w:tc>
          <w:tcPr>
            <w:tcW w:type="dxa" w:w="2160"/>
          </w:tcPr>
          <w:p>
            <w:pPr>
              <w:spacing w:after="20"/>
            </w:pPr>
            <w:r/>
            <w:r>
              <w:rPr>
                <w:b w:val="0"/>
                <w:i w:val="0"/>
                <w:sz w:val="17"/>
              </w:rPr>
              <w:t>J. Huang; Audit Committee Chair</w:t>
            </w:r>
          </w:p>
        </w:tc>
        <w:tc>
          <w:tcPr>
            <w:tcW w:type="dxa" w:w="1584"/>
          </w:tcPr>
          <w:p>
            <w:pPr>
              <w:spacing w:after="20"/>
            </w:pPr>
            <w:r/>
            <w:r>
              <w:rPr>
                <w:b w:val="0"/>
                <w:i w:val="0"/>
                <w:sz w:val="17"/>
              </w:rPr>
              <w:t>Before Jan. 14, 2025</w:t>
            </w:r>
          </w:p>
        </w:tc>
      </w:tr>
      <w:tr>
        <w:tc>
          <w:tcPr>
            <w:tcW w:type="dxa" w:w="432"/>
          </w:tcPr>
          <w:p>
            <w:pPr>
              <w:spacing w:after="20"/>
            </w:pPr>
            <w:r/>
            <w:r>
              <w:rPr>
                <w:b w:val="0"/>
                <w:i w:val="0"/>
                <w:sz w:val="17"/>
              </w:rPr>
              <w:t>14</w:t>
            </w:r>
          </w:p>
        </w:tc>
        <w:tc>
          <w:tcPr>
            <w:tcW w:type="dxa" w:w="5184"/>
          </w:tcPr>
          <w:p>
            <w:pPr>
              <w:spacing w:after="20"/>
            </w:pPr>
            <w:r/>
            <w:r>
              <w:rPr>
                <w:b w:val="0"/>
                <w:i w:val="0"/>
                <w:sz w:val="17"/>
              </w:rPr>
              <w:t>Employment counsel: Driscoll/Santos separation terms and cooperation clauses</w:t>
            </w:r>
          </w:p>
        </w:tc>
        <w:tc>
          <w:tcPr>
            <w:tcW w:type="dxa" w:w="2160"/>
          </w:tcPr>
          <w:p>
            <w:pPr>
              <w:spacing w:after="20"/>
            </w:pPr>
            <w:r/>
            <w:r>
              <w:rPr>
                <w:b w:val="0"/>
                <w:i w:val="0"/>
                <w:sz w:val="17"/>
              </w:rPr>
              <w:t>Employment counsel</w:t>
            </w:r>
          </w:p>
        </w:tc>
        <w:tc>
          <w:tcPr>
            <w:tcW w:type="dxa" w:w="1584"/>
          </w:tcPr>
          <w:p>
            <w:pPr>
              <w:spacing w:after="20"/>
            </w:pPr>
            <w:r/>
            <w:r>
              <w:rPr>
                <w:b w:val="0"/>
                <w:i w:val="0"/>
                <w:sz w:val="17"/>
              </w:rPr>
              <w:t>Jan. 10, 2025</w:t>
            </w:r>
          </w:p>
        </w:tc>
      </w:tr>
      <w:tr>
        <w:tc>
          <w:tcPr>
            <w:tcW w:type="dxa" w:w="432"/>
          </w:tcPr>
          <w:p>
            <w:pPr>
              <w:spacing w:after="20"/>
            </w:pPr>
            <w:r/>
            <w:r>
              <w:rPr>
                <w:b w:val="0"/>
                <w:i w:val="0"/>
                <w:sz w:val="17"/>
              </w:rPr>
              <w:t>15</w:t>
            </w:r>
          </w:p>
        </w:tc>
        <w:tc>
          <w:tcPr>
            <w:tcW w:type="dxa" w:w="5184"/>
          </w:tcPr>
          <w:p>
            <w:pPr>
              <w:spacing w:after="20"/>
            </w:pPr>
            <w:r/>
            <w:r>
              <w:rPr>
                <w:b w:val="0"/>
                <w:i w:val="0"/>
                <w:sz w:val="17"/>
              </w:rPr>
              <w:t>BioNovus deal team: successor and Monitor ring-fence language before March 15 LOI</w:t>
            </w:r>
          </w:p>
        </w:tc>
        <w:tc>
          <w:tcPr>
            <w:tcW w:type="dxa" w:w="2160"/>
          </w:tcPr>
          <w:p>
            <w:pPr>
              <w:spacing w:after="20"/>
            </w:pPr>
            <w:r/>
            <w:r>
              <w:rPr>
                <w:b w:val="0"/>
                <w:i w:val="0"/>
                <w:sz w:val="17"/>
              </w:rPr>
              <w:t>M&amp;A counsel; Meridian</w:t>
            </w:r>
          </w:p>
        </w:tc>
        <w:tc>
          <w:tcPr>
            <w:tcW w:type="dxa" w:w="1584"/>
          </w:tcPr>
          <w:p>
            <w:pPr>
              <w:spacing w:after="20"/>
            </w:pPr>
            <w:r/>
            <w:r>
              <w:rPr>
                <w:b w:val="0"/>
                <w:i w:val="0"/>
                <w:sz w:val="17"/>
              </w:rPr>
              <w:t>Jan. 10, 2025</w:t>
            </w:r>
          </w:p>
        </w:tc>
      </w:tr>
      <w:tr>
        <w:tc>
          <w:tcPr>
            <w:tcW w:type="dxa" w:w="432"/>
          </w:tcPr>
          <w:p>
            <w:pPr>
              <w:spacing w:after="20"/>
            </w:pPr>
            <w:r/>
            <w:r>
              <w:rPr>
                <w:b w:val="0"/>
                <w:i w:val="0"/>
                <w:sz w:val="17"/>
              </w:rPr>
              <w:t>16</w:t>
            </w:r>
          </w:p>
        </w:tc>
        <w:tc>
          <w:tcPr>
            <w:tcW w:type="dxa" w:w="5184"/>
          </w:tcPr>
          <w:p>
            <w:pPr>
              <w:spacing w:after="20"/>
            </w:pPr>
            <w:r/>
            <w:r>
              <w:rPr>
                <w:b w:val="0"/>
                <w:i w:val="0"/>
                <w:sz w:val="17"/>
              </w:rPr>
              <w:t>Privilege protocol: privilege log; FRE 502(d) proposal; route Meridian communications through counsel</w:t>
            </w:r>
          </w:p>
        </w:tc>
        <w:tc>
          <w:tcPr>
            <w:tcW w:type="dxa" w:w="2160"/>
          </w:tcPr>
          <w:p>
            <w:pPr>
              <w:spacing w:after="20"/>
            </w:pPr>
            <w:r/>
            <w:r>
              <w:rPr>
                <w:b w:val="0"/>
                <w:i w:val="0"/>
                <w:sz w:val="17"/>
              </w:rPr>
              <w:t>W&amp;C</w:t>
            </w:r>
          </w:p>
        </w:tc>
        <w:tc>
          <w:tcPr>
            <w:tcW w:type="dxa" w:w="1584"/>
          </w:tcPr>
          <w:p>
            <w:pPr>
              <w:spacing w:after="20"/>
            </w:pPr>
            <w:r/>
            <w:r>
              <w:rPr>
                <w:b w:val="0"/>
                <w:i w:val="0"/>
                <w:sz w:val="17"/>
              </w:rPr>
              <w:t>Immediately</w:t>
            </w:r>
          </w:p>
        </w:tc>
      </w:tr>
      <w:tr>
        <w:tc>
          <w:tcPr>
            <w:tcW w:type="dxa" w:w="432"/>
          </w:tcPr>
          <w:p>
            <w:pPr>
              <w:spacing w:after="20"/>
            </w:pPr>
            <w:r/>
            <w:r>
              <w:rPr>
                <w:b w:val="0"/>
                <w:i w:val="0"/>
                <w:sz w:val="17"/>
              </w:rPr>
              <w:t>17</w:t>
            </w:r>
          </w:p>
        </w:tc>
        <w:tc>
          <w:tcPr>
            <w:tcW w:type="dxa" w:w="5184"/>
          </w:tcPr>
          <w:p>
            <w:pPr>
              <w:spacing w:after="20"/>
            </w:pPr>
            <w:r/>
            <w:r>
              <w:rPr>
                <w:b w:val="0"/>
                <w:i w:val="0"/>
                <w:sz w:val="17"/>
              </w:rPr>
              <w:t>Confirm whether any tolling agreements exist</w:t>
            </w:r>
          </w:p>
        </w:tc>
        <w:tc>
          <w:tcPr>
            <w:tcW w:type="dxa" w:w="2160"/>
          </w:tcPr>
          <w:p>
            <w:pPr>
              <w:spacing w:after="20"/>
            </w:pPr>
            <w:r/>
            <w:r>
              <w:rPr>
                <w:b w:val="0"/>
                <w:i w:val="0"/>
                <w:sz w:val="17"/>
              </w:rPr>
              <w:t>W&amp;C</w:t>
            </w:r>
          </w:p>
        </w:tc>
        <w:tc>
          <w:tcPr>
            <w:tcW w:type="dxa" w:w="1584"/>
          </w:tcPr>
          <w:p>
            <w:pPr>
              <w:spacing w:after="20"/>
            </w:pPr>
            <w:r/>
            <w:r>
              <w:rPr>
                <w:b w:val="0"/>
                <w:i w:val="0"/>
                <w:sz w:val="17"/>
              </w:rPr>
              <w:t>Dec. 30, 2024</w:t>
            </w:r>
          </w:p>
        </w:tc>
      </w:tr>
    </w:tbl>
    <w:p>
      <w:pPr>
        <w:spacing w:after="40"/>
      </w:pPr>
    </w:p>
    <w:p>
      <w:pPr>
        <w:pStyle w:val="Heading1"/>
      </w:pPr>
      <w:r>
        <w:t>Appendix A — Criminal Penalty Scenarios ($M)</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2880"/>
            <w:shd w:val="clear" w:color="auto" w:fill="D9E2F3"/>
          </w:tcPr>
          <w:p>
            <w:r/>
            <w:r>
              <w:rPr>
                <w:b/>
                <w:i w:val="0"/>
                <w:sz w:val="16"/>
              </w:rPr>
              <w:t>Scenario</w:t>
            </w:r>
          </w:p>
        </w:tc>
        <w:tc>
          <w:tcPr>
            <w:tcW w:type="dxa" w:w="720"/>
            <w:shd w:val="clear" w:color="auto" w:fill="D9E2F3"/>
          </w:tcPr>
          <w:p>
            <w:r/>
            <w:r>
              <w:rPr>
                <w:b/>
                <w:i w:val="0"/>
                <w:sz w:val="16"/>
              </w:rPr>
              <w:t>Base</w:t>
            </w:r>
          </w:p>
        </w:tc>
        <w:tc>
          <w:tcPr>
            <w:tcW w:type="dxa" w:w="720"/>
            <w:shd w:val="clear" w:color="auto" w:fill="D9E2F3"/>
          </w:tcPr>
          <w:p>
            <w:r/>
            <w:r>
              <w:rPr>
                <w:b/>
                <w:i w:val="0"/>
                <w:sz w:val="16"/>
              </w:rPr>
              <w:t>Treble</w:t>
            </w:r>
          </w:p>
        </w:tc>
        <w:tc>
          <w:tcPr>
            <w:tcW w:type="dxa" w:w="1008"/>
            <w:shd w:val="clear" w:color="auto" w:fill="D9E2F3"/>
          </w:tcPr>
          <w:p>
            <w:r/>
            <w:r>
              <w:rPr>
                <w:b/>
                <w:i w:val="0"/>
                <w:sz w:val="16"/>
              </w:rPr>
              <w:t>Recidivism</w:t>
            </w:r>
          </w:p>
        </w:tc>
        <w:tc>
          <w:tcPr>
            <w:tcW w:type="dxa" w:w="1008"/>
            <w:shd w:val="clear" w:color="auto" w:fill="D9E2F3"/>
          </w:tcPr>
          <w:p>
            <w:r/>
            <w:r>
              <w:rPr>
                <w:b/>
                <w:i w:val="0"/>
                <w:sz w:val="16"/>
              </w:rPr>
              <w:t>VOC add-on</w:t>
            </w:r>
          </w:p>
        </w:tc>
        <w:tc>
          <w:tcPr>
            <w:tcW w:type="dxa" w:w="864"/>
            <w:shd w:val="clear" w:color="auto" w:fill="D9E2F3"/>
          </w:tcPr>
          <w:p>
            <w:r/>
            <w:r>
              <w:rPr>
                <w:b/>
                <w:i w:val="0"/>
                <w:sz w:val="16"/>
              </w:rPr>
              <w:t>Credit</w:t>
            </w:r>
          </w:p>
        </w:tc>
        <w:tc>
          <w:tcPr>
            <w:tcW w:type="dxa" w:w="864"/>
            <w:shd w:val="clear" w:color="auto" w:fill="D9E2F3"/>
          </w:tcPr>
          <w:p>
            <w:r/>
            <w:r>
              <w:rPr>
                <w:b/>
                <w:i w:val="0"/>
                <w:sz w:val="16"/>
              </w:rPr>
              <w:t>Penalty</w:t>
            </w:r>
          </w:p>
        </w:tc>
        <w:tc>
          <w:tcPr>
            <w:tcW w:type="dxa" w:w="1296"/>
            <w:shd w:val="clear" w:color="auto" w:fill="D9E2F3"/>
          </w:tcPr>
          <w:p>
            <w:r/>
            <w:r>
              <w:rPr>
                <w:b/>
                <w:i w:val="0"/>
                <w:sz w:val="16"/>
              </w:rPr>
              <w:t>Change vs. draft</w:t>
            </w:r>
          </w:p>
        </w:tc>
      </w:tr>
      <w:tr>
        <w:tc>
          <w:tcPr>
            <w:tcW w:type="dxa" w:w="2880"/>
          </w:tcPr>
          <w:p>
            <w:pPr>
              <w:spacing w:after="20"/>
            </w:pPr>
            <w:r/>
            <w:r>
              <w:rPr>
                <w:b w:val="0"/>
                <w:i w:val="0"/>
                <w:sz w:val="16"/>
              </w:rPr>
              <w:t>A. Draft DPA as written</w:t>
            </w:r>
          </w:p>
        </w:tc>
        <w:tc>
          <w:tcPr>
            <w:tcW w:type="dxa" w:w="720"/>
          </w:tcPr>
          <w:p>
            <w:pPr>
              <w:spacing w:after="20"/>
            </w:pPr>
            <w:r/>
            <w:r>
              <w:rPr>
                <w:b w:val="0"/>
                <w:i w:val="0"/>
                <w:sz w:val="16"/>
              </w:rPr>
              <w:t>20.5</w:t>
            </w:r>
          </w:p>
        </w:tc>
        <w:tc>
          <w:tcPr>
            <w:tcW w:type="dxa" w:w="720"/>
          </w:tcPr>
          <w:p>
            <w:pPr>
              <w:spacing w:after="20"/>
            </w:pPr>
            <w:r/>
            <w:r>
              <w:rPr>
                <w:b w:val="0"/>
                <w:i w:val="0"/>
                <w:sz w:val="16"/>
              </w:rPr>
              <w:t>x3</w:t>
            </w:r>
          </w:p>
        </w:tc>
        <w:tc>
          <w:tcPr>
            <w:tcW w:type="dxa" w:w="1008"/>
          </w:tcPr>
          <w:p>
            <w:pPr>
              <w:spacing w:after="20"/>
            </w:pPr>
            <w:r/>
            <w:r>
              <w:rPr>
                <w:b w:val="0"/>
                <w:i w:val="0"/>
                <w:sz w:val="16"/>
              </w:rPr>
              <w:t>x2</w:t>
            </w:r>
          </w:p>
        </w:tc>
        <w:tc>
          <w:tcPr>
            <w:tcW w:type="dxa" w:w="1008"/>
          </w:tcPr>
          <w:p>
            <w:pPr>
              <w:spacing w:after="20"/>
            </w:pPr>
            <w:r/>
            <w:r>
              <w:rPr>
                <w:b w:val="0"/>
                <w:i w:val="0"/>
                <w:sz w:val="16"/>
              </w:rPr>
              <w:t>64.5</w:t>
            </w:r>
          </w:p>
        </w:tc>
        <w:tc>
          <w:tcPr>
            <w:tcW w:type="dxa" w:w="864"/>
          </w:tcPr>
          <w:p>
            <w:pPr>
              <w:spacing w:after="20"/>
            </w:pPr>
            <w:r/>
            <w:r>
              <w:rPr>
                <w:b w:val="0"/>
                <w:i w:val="0"/>
                <w:sz w:val="16"/>
              </w:rPr>
              <w:t>None</w:t>
            </w:r>
          </w:p>
        </w:tc>
        <w:tc>
          <w:tcPr>
            <w:tcW w:type="dxa" w:w="864"/>
          </w:tcPr>
          <w:p>
            <w:pPr>
              <w:spacing w:after="20"/>
            </w:pPr>
            <w:r/>
            <w:r>
              <w:rPr>
                <w:b w:val="0"/>
                <w:i w:val="0"/>
                <w:sz w:val="16"/>
              </w:rPr>
              <w:t>187.5</w:t>
            </w:r>
          </w:p>
        </w:tc>
        <w:tc>
          <w:tcPr>
            <w:tcW w:type="dxa" w:w="1296"/>
          </w:tcPr>
          <w:p>
            <w:pPr>
              <w:spacing w:after="20"/>
            </w:pPr>
            <w:r/>
            <w:r>
              <w:rPr>
                <w:b w:val="0"/>
                <w:i w:val="0"/>
                <w:sz w:val="16"/>
              </w:rPr>
              <w:t>—</w:t>
            </w:r>
          </w:p>
        </w:tc>
      </w:tr>
      <w:tr>
        <w:tc>
          <w:tcPr>
            <w:tcW w:type="dxa" w:w="2880"/>
          </w:tcPr>
          <w:p>
            <w:pPr>
              <w:spacing w:after="20"/>
            </w:pPr>
            <w:r/>
            <w:r>
              <w:rPr>
                <w:b w:val="0"/>
                <w:i w:val="0"/>
                <w:sz w:val="16"/>
              </w:rPr>
              <w:t>B. Draft method, VOC applied to $4.12B as stated (risk case)</w:t>
            </w:r>
          </w:p>
        </w:tc>
        <w:tc>
          <w:tcPr>
            <w:tcW w:type="dxa" w:w="720"/>
          </w:tcPr>
          <w:p>
            <w:pPr>
              <w:spacing w:after="20"/>
            </w:pPr>
            <w:r/>
            <w:r>
              <w:rPr>
                <w:b w:val="0"/>
                <w:i w:val="0"/>
                <w:sz w:val="16"/>
              </w:rPr>
              <w:t>20.5</w:t>
            </w:r>
          </w:p>
        </w:tc>
        <w:tc>
          <w:tcPr>
            <w:tcW w:type="dxa" w:w="720"/>
          </w:tcPr>
          <w:p>
            <w:pPr>
              <w:spacing w:after="20"/>
            </w:pPr>
            <w:r/>
            <w:r>
              <w:rPr>
                <w:b w:val="0"/>
                <w:i w:val="0"/>
                <w:sz w:val="16"/>
              </w:rPr>
              <w:t>x3</w:t>
            </w:r>
          </w:p>
        </w:tc>
        <w:tc>
          <w:tcPr>
            <w:tcW w:type="dxa" w:w="1008"/>
          </w:tcPr>
          <w:p>
            <w:pPr>
              <w:spacing w:after="20"/>
            </w:pPr>
            <w:r/>
            <w:r>
              <w:rPr>
                <w:b w:val="0"/>
                <w:i w:val="0"/>
                <w:sz w:val="16"/>
              </w:rPr>
              <w:t>x2</w:t>
            </w:r>
          </w:p>
        </w:tc>
        <w:tc>
          <w:tcPr>
            <w:tcW w:type="dxa" w:w="1008"/>
          </w:tcPr>
          <w:p>
            <w:pPr>
              <w:spacing w:after="20"/>
            </w:pPr>
            <w:r/>
            <w:r>
              <w:rPr>
                <w:b w:val="0"/>
                <w:i w:val="0"/>
                <w:sz w:val="16"/>
              </w:rPr>
              <w:t>618.0</w:t>
            </w:r>
          </w:p>
        </w:tc>
        <w:tc>
          <w:tcPr>
            <w:tcW w:type="dxa" w:w="864"/>
          </w:tcPr>
          <w:p>
            <w:pPr>
              <w:spacing w:after="20"/>
            </w:pPr>
            <w:r/>
            <w:r>
              <w:rPr>
                <w:b w:val="0"/>
                <w:i w:val="0"/>
                <w:sz w:val="16"/>
              </w:rPr>
              <w:t>None</w:t>
            </w:r>
          </w:p>
        </w:tc>
        <w:tc>
          <w:tcPr>
            <w:tcW w:type="dxa" w:w="864"/>
          </w:tcPr>
          <w:p>
            <w:pPr>
              <w:spacing w:after="20"/>
            </w:pPr>
            <w:r/>
            <w:r>
              <w:rPr>
                <w:b w:val="0"/>
                <w:i w:val="0"/>
                <w:sz w:val="16"/>
              </w:rPr>
              <w:t>741.0</w:t>
            </w:r>
          </w:p>
        </w:tc>
        <w:tc>
          <w:tcPr>
            <w:tcW w:type="dxa" w:w="1296"/>
          </w:tcPr>
          <w:p>
            <w:pPr>
              <w:spacing w:after="20"/>
            </w:pPr>
            <w:r/>
            <w:r>
              <w:rPr>
                <w:b w:val="0"/>
                <w:i w:val="0"/>
                <w:sz w:val="16"/>
              </w:rPr>
              <w:t>+553.5</w:t>
            </w:r>
          </w:p>
        </w:tc>
      </w:tr>
      <w:tr>
        <w:tc>
          <w:tcPr>
            <w:tcW w:type="dxa" w:w="2880"/>
          </w:tcPr>
          <w:p>
            <w:pPr>
              <w:spacing w:after="20"/>
            </w:pPr>
            <w:r/>
            <w:r>
              <w:rPr>
                <w:b w:val="0"/>
                <w:i w:val="0"/>
                <w:sz w:val="16"/>
              </w:rPr>
              <w:t>C. Government base; no VOC</w:t>
            </w:r>
          </w:p>
        </w:tc>
        <w:tc>
          <w:tcPr>
            <w:tcW w:type="dxa" w:w="720"/>
          </w:tcPr>
          <w:p>
            <w:pPr>
              <w:spacing w:after="20"/>
            </w:pPr>
            <w:r/>
            <w:r>
              <w:rPr>
                <w:b w:val="0"/>
                <w:i w:val="0"/>
                <w:sz w:val="16"/>
              </w:rPr>
              <w:t>20.5</w:t>
            </w:r>
          </w:p>
        </w:tc>
        <w:tc>
          <w:tcPr>
            <w:tcW w:type="dxa" w:w="720"/>
          </w:tcPr>
          <w:p>
            <w:pPr>
              <w:spacing w:after="20"/>
            </w:pPr>
            <w:r/>
            <w:r>
              <w:rPr>
                <w:b w:val="0"/>
                <w:i w:val="0"/>
                <w:sz w:val="16"/>
              </w:rPr>
              <w:t>x3</w:t>
            </w:r>
          </w:p>
        </w:tc>
        <w:tc>
          <w:tcPr>
            <w:tcW w:type="dxa" w:w="1008"/>
          </w:tcPr>
          <w:p>
            <w:pPr>
              <w:spacing w:after="20"/>
            </w:pPr>
            <w:r/>
            <w:r>
              <w:rPr>
                <w:b w:val="0"/>
                <w:i w:val="0"/>
                <w:sz w:val="16"/>
              </w:rPr>
              <w:t>x2</w:t>
            </w:r>
          </w:p>
        </w:tc>
        <w:tc>
          <w:tcPr>
            <w:tcW w:type="dxa" w:w="1008"/>
          </w:tcPr>
          <w:p>
            <w:pPr>
              <w:spacing w:after="20"/>
            </w:pPr>
            <w:r/>
            <w:r>
              <w:rPr>
                <w:b w:val="0"/>
                <w:i w:val="0"/>
                <w:sz w:val="16"/>
              </w:rPr>
              <w:t>0</w:t>
            </w:r>
          </w:p>
        </w:tc>
        <w:tc>
          <w:tcPr>
            <w:tcW w:type="dxa" w:w="864"/>
          </w:tcPr>
          <w:p>
            <w:pPr>
              <w:spacing w:after="20"/>
            </w:pPr>
            <w:r/>
            <w:r>
              <w:rPr>
                <w:b w:val="0"/>
                <w:i w:val="0"/>
                <w:sz w:val="16"/>
              </w:rPr>
              <w:t>None</w:t>
            </w:r>
          </w:p>
        </w:tc>
        <w:tc>
          <w:tcPr>
            <w:tcW w:type="dxa" w:w="864"/>
          </w:tcPr>
          <w:p>
            <w:pPr>
              <w:spacing w:after="20"/>
            </w:pPr>
            <w:r/>
            <w:r>
              <w:rPr>
                <w:b w:val="0"/>
                <w:i w:val="0"/>
                <w:sz w:val="16"/>
              </w:rPr>
              <w:t>123.0</w:t>
            </w:r>
          </w:p>
        </w:tc>
        <w:tc>
          <w:tcPr>
            <w:tcW w:type="dxa" w:w="1296"/>
          </w:tcPr>
          <w:p>
            <w:pPr>
              <w:spacing w:after="20"/>
            </w:pPr>
            <w:r/>
            <w:r>
              <w:rPr>
                <w:b w:val="0"/>
                <w:i w:val="0"/>
                <w:sz w:val="16"/>
              </w:rPr>
              <w:t>(64.5)</w:t>
            </w:r>
          </w:p>
        </w:tc>
      </w:tr>
      <w:tr>
        <w:tc>
          <w:tcPr>
            <w:tcW w:type="dxa" w:w="2880"/>
          </w:tcPr>
          <w:p>
            <w:pPr>
              <w:spacing w:after="20"/>
            </w:pPr>
            <w:r/>
            <w:r>
              <w:rPr>
                <w:b w:val="0"/>
                <w:i w:val="0"/>
                <w:sz w:val="16"/>
              </w:rPr>
              <w:t>D. Investigation base; no VOC</w:t>
            </w:r>
          </w:p>
        </w:tc>
        <w:tc>
          <w:tcPr>
            <w:tcW w:type="dxa" w:w="720"/>
          </w:tcPr>
          <w:p>
            <w:pPr>
              <w:spacing w:after="20"/>
            </w:pPr>
            <w:r/>
            <w:r>
              <w:rPr>
                <w:b w:val="0"/>
                <w:i w:val="0"/>
                <w:sz w:val="16"/>
              </w:rPr>
              <w:t>13.9</w:t>
            </w:r>
          </w:p>
        </w:tc>
        <w:tc>
          <w:tcPr>
            <w:tcW w:type="dxa" w:w="720"/>
          </w:tcPr>
          <w:p>
            <w:pPr>
              <w:spacing w:after="20"/>
            </w:pPr>
            <w:r/>
            <w:r>
              <w:rPr>
                <w:b w:val="0"/>
                <w:i w:val="0"/>
                <w:sz w:val="16"/>
              </w:rPr>
              <w:t>x3</w:t>
            </w:r>
          </w:p>
        </w:tc>
        <w:tc>
          <w:tcPr>
            <w:tcW w:type="dxa" w:w="1008"/>
          </w:tcPr>
          <w:p>
            <w:pPr>
              <w:spacing w:after="20"/>
            </w:pPr>
            <w:r/>
            <w:r>
              <w:rPr>
                <w:b w:val="0"/>
                <w:i w:val="0"/>
                <w:sz w:val="16"/>
              </w:rPr>
              <w:t>x2</w:t>
            </w:r>
          </w:p>
        </w:tc>
        <w:tc>
          <w:tcPr>
            <w:tcW w:type="dxa" w:w="1008"/>
          </w:tcPr>
          <w:p>
            <w:pPr>
              <w:spacing w:after="20"/>
            </w:pPr>
            <w:r/>
            <w:r>
              <w:rPr>
                <w:b w:val="0"/>
                <w:i w:val="0"/>
                <w:sz w:val="16"/>
              </w:rPr>
              <w:t>0</w:t>
            </w:r>
          </w:p>
        </w:tc>
        <w:tc>
          <w:tcPr>
            <w:tcW w:type="dxa" w:w="864"/>
          </w:tcPr>
          <w:p>
            <w:pPr>
              <w:spacing w:after="20"/>
            </w:pPr>
            <w:r/>
            <w:r>
              <w:rPr>
                <w:b w:val="0"/>
                <w:i w:val="0"/>
                <w:sz w:val="16"/>
              </w:rPr>
              <w:t>None</w:t>
            </w:r>
          </w:p>
        </w:tc>
        <w:tc>
          <w:tcPr>
            <w:tcW w:type="dxa" w:w="864"/>
          </w:tcPr>
          <w:p>
            <w:pPr>
              <w:spacing w:after="20"/>
            </w:pPr>
            <w:r/>
            <w:r>
              <w:rPr>
                <w:b w:val="0"/>
                <w:i w:val="0"/>
                <w:sz w:val="16"/>
              </w:rPr>
              <w:t>83.4</w:t>
            </w:r>
          </w:p>
        </w:tc>
        <w:tc>
          <w:tcPr>
            <w:tcW w:type="dxa" w:w="1296"/>
          </w:tcPr>
          <w:p>
            <w:pPr>
              <w:spacing w:after="20"/>
            </w:pPr>
            <w:r/>
            <w:r>
              <w:rPr>
                <w:b w:val="0"/>
                <w:i w:val="0"/>
                <w:sz w:val="16"/>
              </w:rPr>
              <w:t>(104.1)</w:t>
            </w:r>
          </w:p>
        </w:tc>
      </w:tr>
      <w:tr>
        <w:tc>
          <w:tcPr>
            <w:tcW w:type="dxa" w:w="2880"/>
          </w:tcPr>
          <w:p>
            <w:pPr>
              <w:spacing w:after="20"/>
            </w:pPr>
            <w:r/>
            <w:r>
              <w:rPr>
                <w:b w:val="0"/>
                <w:i w:val="0"/>
                <w:sz w:val="16"/>
              </w:rPr>
              <w:t>E. Government base; no recidivism; no VOC</w:t>
            </w:r>
          </w:p>
        </w:tc>
        <w:tc>
          <w:tcPr>
            <w:tcW w:type="dxa" w:w="720"/>
          </w:tcPr>
          <w:p>
            <w:pPr>
              <w:spacing w:after="20"/>
            </w:pPr>
            <w:r/>
            <w:r>
              <w:rPr>
                <w:b w:val="0"/>
                <w:i w:val="0"/>
                <w:sz w:val="16"/>
              </w:rPr>
              <w:t>20.5</w:t>
            </w:r>
          </w:p>
        </w:tc>
        <w:tc>
          <w:tcPr>
            <w:tcW w:type="dxa" w:w="720"/>
          </w:tcPr>
          <w:p>
            <w:pPr>
              <w:spacing w:after="20"/>
            </w:pPr>
            <w:r/>
            <w:r>
              <w:rPr>
                <w:b w:val="0"/>
                <w:i w:val="0"/>
                <w:sz w:val="16"/>
              </w:rPr>
              <w:t>x3</w:t>
            </w:r>
          </w:p>
        </w:tc>
        <w:tc>
          <w:tcPr>
            <w:tcW w:type="dxa" w:w="1008"/>
          </w:tcPr>
          <w:p>
            <w:pPr>
              <w:spacing w:after="20"/>
            </w:pPr>
            <w:r/>
            <w:r>
              <w:rPr>
                <w:b w:val="0"/>
                <w:i w:val="0"/>
                <w:sz w:val="16"/>
              </w:rPr>
              <w:t>—</w:t>
            </w:r>
          </w:p>
        </w:tc>
        <w:tc>
          <w:tcPr>
            <w:tcW w:type="dxa" w:w="1008"/>
          </w:tcPr>
          <w:p>
            <w:pPr>
              <w:spacing w:after="20"/>
            </w:pPr>
            <w:r/>
            <w:r>
              <w:rPr>
                <w:b w:val="0"/>
                <w:i w:val="0"/>
                <w:sz w:val="16"/>
              </w:rPr>
              <w:t>0</w:t>
            </w:r>
          </w:p>
        </w:tc>
        <w:tc>
          <w:tcPr>
            <w:tcW w:type="dxa" w:w="864"/>
          </w:tcPr>
          <w:p>
            <w:pPr>
              <w:spacing w:after="20"/>
            </w:pPr>
            <w:r/>
            <w:r>
              <w:rPr>
                <w:b w:val="0"/>
                <w:i w:val="0"/>
                <w:sz w:val="16"/>
              </w:rPr>
              <w:t>None</w:t>
            </w:r>
          </w:p>
        </w:tc>
        <w:tc>
          <w:tcPr>
            <w:tcW w:type="dxa" w:w="864"/>
          </w:tcPr>
          <w:p>
            <w:pPr>
              <w:spacing w:after="20"/>
            </w:pPr>
            <w:r/>
            <w:r>
              <w:rPr>
                <w:b w:val="0"/>
                <w:i w:val="0"/>
                <w:sz w:val="16"/>
              </w:rPr>
              <w:t>61.5</w:t>
            </w:r>
          </w:p>
        </w:tc>
        <w:tc>
          <w:tcPr>
            <w:tcW w:type="dxa" w:w="1296"/>
          </w:tcPr>
          <w:p>
            <w:pPr>
              <w:spacing w:after="20"/>
            </w:pPr>
            <w:r/>
            <w:r>
              <w:rPr>
                <w:b w:val="0"/>
                <w:i w:val="0"/>
                <w:sz w:val="16"/>
              </w:rPr>
              <w:t>(126.0)</w:t>
            </w:r>
          </w:p>
        </w:tc>
      </w:tr>
      <w:tr>
        <w:tc>
          <w:tcPr>
            <w:tcW w:type="dxa" w:w="2880"/>
          </w:tcPr>
          <w:p>
            <w:pPr>
              <w:spacing w:after="20"/>
            </w:pPr>
            <w:r/>
            <w:r>
              <w:rPr>
                <w:b w:val="0"/>
                <w:i w:val="0"/>
                <w:sz w:val="16"/>
              </w:rPr>
              <w:t>F. Investigation base; no recidivism; no VOC</w:t>
            </w:r>
          </w:p>
        </w:tc>
        <w:tc>
          <w:tcPr>
            <w:tcW w:type="dxa" w:w="720"/>
          </w:tcPr>
          <w:p>
            <w:pPr>
              <w:spacing w:after="20"/>
            </w:pPr>
            <w:r/>
            <w:r>
              <w:rPr>
                <w:b w:val="0"/>
                <w:i w:val="0"/>
                <w:sz w:val="16"/>
              </w:rPr>
              <w:t>13.9</w:t>
            </w:r>
          </w:p>
        </w:tc>
        <w:tc>
          <w:tcPr>
            <w:tcW w:type="dxa" w:w="720"/>
          </w:tcPr>
          <w:p>
            <w:pPr>
              <w:spacing w:after="20"/>
            </w:pPr>
            <w:r/>
            <w:r>
              <w:rPr>
                <w:b w:val="0"/>
                <w:i w:val="0"/>
                <w:sz w:val="16"/>
              </w:rPr>
              <w:t>x3</w:t>
            </w:r>
          </w:p>
        </w:tc>
        <w:tc>
          <w:tcPr>
            <w:tcW w:type="dxa" w:w="1008"/>
          </w:tcPr>
          <w:p>
            <w:pPr>
              <w:spacing w:after="20"/>
            </w:pPr>
            <w:r/>
            <w:r>
              <w:rPr>
                <w:b w:val="0"/>
                <w:i w:val="0"/>
                <w:sz w:val="16"/>
              </w:rPr>
              <w:t>—</w:t>
            </w:r>
          </w:p>
        </w:tc>
        <w:tc>
          <w:tcPr>
            <w:tcW w:type="dxa" w:w="1008"/>
          </w:tcPr>
          <w:p>
            <w:pPr>
              <w:spacing w:after="20"/>
            </w:pPr>
            <w:r/>
            <w:r>
              <w:rPr>
                <w:b w:val="0"/>
                <w:i w:val="0"/>
                <w:sz w:val="16"/>
              </w:rPr>
              <w:t>0</w:t>
            </w:r>
          </w:p>
        </w:tc>
        <w:tc>
          <w:tcPr>
            <w:tcW w:type="dxa" w:w="864"/>
          </w:tcPr>
          <w:p>
            <w:pPr>
              <w:spacing w:after="20"/>
            </w:pPr>
            <w:r/>
            <w:r>
              <w:rPr>
                <w:b w:val="0"/>
                <w:i w:val="0"/>
                <w:sz w:val="16"/>
              </w:rPr>
              <w:t>None</w:t>
            </w:r>
          </w:p>
        </w:tc>
        <w:tc>
          <w:tcPr>
            <w:tcW w:type="dxa" w:w="864"/>
          </w:tcPr>
          <w:p>
            <w:pPr>
              <w:spacing w:after="20"/>
            </w:pPr>
            <w:r/>
            <w:r>
              <w:rPr>
                <w:b w:val="0"/>
                <w:i w:val="0"/>
                <w:sz w:val="16"/>
              </w:rPr>
              <w:t>41.7</w:t>
            </w:r>
          </w:p>
        </w:tc>
        <w:tc>
          <w:tcPr>
            <w:tcW w:type="dxa" w:w="1296"/>
          </w:tcPr>
          <w:p>
            <w:pPr>
              <w:spacing w:after="20"/>
            </w:pPr>
            <w:r/>
            <w:r>
              <w:rPr>
                <w:b w:val="0"/>
                <w:i w:val="0"/>
                <w:sz w:val="16"/>
              </w:rPr>
              <w:t>(145.8)</w:t>
            </w:r>
          </w:p>
        </w:tc>
      </w:tr>
      <w:tr>
        <w:tc>
          <w:tcPr>
            <w:tcW w:type="dxa" w:w="2880"/>
          </w:tcPr>
          <w:p>
            <w:pPr>
              <w:spacing w:after="20"/>
            </w:pPr>
            <w:r/>
            <w:r>
              <w:rPr>
                <w:b w:val="0"/>
                <w:i w:val="0"/>
                <w:sz w:val="16"/>
              </w:rPr>
              <w:t>G. Scenario F less 25% cooperation/remediation credit</w:t>
            </w:r>
          </w:p>
        </w:tc>
        <w:tc>
          <w:tcPr>
            <w:tcW w:type="dxa" w:w="720"/>
          </w:tcPr>
          <w:p>
            <w:pPr>
              <w:spacing w:after="20"/>
            </w:pPr>
            <w:r/>
            <w:r>
              <w:rPr>
                <w:b w:val="0"/>
                <w:i w:val="0"/>
                <w:sz w:val="16"/>
              </w:rPr>
              <w:t>13.9</w:t>
            </w:r>
          </w:p>
        </w:tc>
        <w:tc>
          <w:tcPr>
            <w:tcW w:type="dxa" w:w="720"/>
          </w:tcPr>
          <w:p>
            <w:pPr>
              <w:spacing w:after="20"/>
            </w:pPr>
            <w:r/>
            <w:r>
              <w:rPr>
                <w:b w:val="0"/>
                <w:i w:val="0"/>
                <w:sz w:val="16"/>
              </w:rPr>
              <w:t>x3</w:t>
            </w:r>
          </w:p>
        </w:tc>
        <w:tc>
          <w:tcPr>
            <w:tcW w:type="dxa" w:w="1008"/>
          </w:tcPr>
          <w:p>
            <w:pPr>
              <w:spacing w:after="20"/>
            </w:pPr>
            <w:r/>
            <w:r>
              <w:rPr>
                <w:b w:val="0"/>
                <w:i w:val="0"/>
                <w:sz w:val="16"/>
              </w:rPr>
              <w:t>—</w:t>
            </w:r>
          </w:p>
        </w:tc>
        <w:tc>
          <w:tcPr>
            <w:tcW w:type="dxa" w:w="1008"/>
          </w:tcPr>
          <w:p>
            <w:pPr>
              <w:spacing w:after="20"/>
            </w:pPr>
            <w:r/>
            <w:r>
              <w:rPr>
                <w:b w:val="0"/>
                <w:i w:val="0"/>
                <w:sz w:val="16"/>
              </w:rPr>
              <w:t>0</w:t>
            </w:r>
          </w:p>
        </w:tc>
        <w:tc>
          <w:tcPr>
            <w:tcW w:type="dxa" w:w="864"/>
          </w:tcPr>
          <w:p>
            <w:pPr>
              <w:spacing w:after="20"/>
            </w:pPr>
            <w:r/>
            <w:r>
              <w:rPr>
                <w:b w:val="0"/>
                <w:i w:val="0"/>
                <w:sz w:val="16"/>
              </w:rPr>
              <w:t>25%</w:t>
            </w:r>
          </w:p>
        </w:tc>
        <w:tc>
          <w:tcPr>
            <w:tcW w:type="dxa" w:w="864"/>
          </w:tcPr>
          <w:p>
            <w:pPr>
              <w:spacing w:after="20"/>
            </w:pPr>
            <w:r/>
            <w:r>
              <w:rPr>
                <w:b w:val="0"/>
                <w:i w:val="0"/>
                <w:sz w:val="16"/>
              </w:rPr>
              <w:t>31.3</w:t>
            </w:r>
          </w:p>
        </w:tc>
        <w:tc>
          <w:tcPr>
            <w:tcW w:type="dxa" w:w="1296"/>
          </w:tcPr>
          <w:p>
            <w:pPr>
              <w:spacing w:after="20"/>
            </w:pPr>
            <w:r/>
            <w:r>
              <w:rPr>
                <w:b w:val="0"/>
                <w:i w:val="0"/>
                <w:sz w:val="16"/>
              </w:rPr>
              <w:t>(156.2)</w:t>
            </w:r>
          </w:p>
        </w:tc>
      </w:tr>
    </w:tbl>
    <w:p>
      <w:pPr>
        <w:spacing w:after="40"/>
      </w:pPr>
    </w:p>
    <w:p>
      <w:r>
        <w:rPr>
          <w:b w:val="0"/>
          <w:i w:val="0"/>
          <w:sz w:val="18"/>
        </w:rPr>
        <w:t>Arithmetic: ($20.5M x 3) x 2 = $123.0M; + $64.5M = $187.5M. ($13.9M x 3) x 2 = $83.4M. $13.9M x 3 = $41.7M; x 0.75 = $31.3M. 15% x $4,120M = $618.0M. Under the multiplier structure, each $1.0M of base equals $6.0M of penalty. These scenarios illustrate negotiating range; a Guidelines calculation under §§ 8C2.4–8C2.6 should be prepared to anchor the opening position.</w:t>
      </w:r>
    </w:p>
    <w:p>
      <w:pPr>
        <w:pStyle w:val="Heading1"/>
      </w:pPr>
      <w:r>
        <w:t>Appendix B — Liquidity Walk Through BioNovus Closing and Second Installment ($M)</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6048"/>
            <w:shd w:val="clear" w:color="auto" w:fill="D9E2F3"/>
          </w:tcPr>
          <w:p>
            <w:r/>
            <w:r>
              <w:rPr>
                <w:b/>
                <w:i w:val="0"/>
                <w:sz w:val="18"/>
              </w:rPr>
              <w:t>Step</w:t>
            </w:r>
          </w:p>
        </w:tc>
        <w:tc>
          <w:tcPr>
            <w:tcW w:type="dxa" w:w="1584"/>
            <w:shd w:val="clear" w:color="auto" w:fill="D9E2F3"/>
          </w:tcPr>
          <w:p>
            <w:r/>
            <w:r>
              <w:rPr>
                <w:b/>
                <w:i w:val="0"/>
                <w:sz w:val="18"/>
              </w:rPr>
              <w:t>Amount</w:t>
            </w:r>
          </w:p>
        </w:tc>
        <w:tc>
          <w:tcPr>
            <w:tcW w:type="dxa" w:w="1728"/>
            <w:shd w:val="clear" w:color="auto" w:fill="D9E2F3"/>
          </w:tcPr>
          <w:p>
            <w:r/>
            <w:r>
              <w:rPr>
                <w:b/>
                <w:i w:val="0"/>
                <w:sz w:val="18"/>
              </w:rPr>
              <w:t>Running</w:t>
            </w:r>
          </w:p>
        </w:tc>
      </w:tr>
      <w:tr>
        <w:tc>
          <w:tcPr>
            <w:tcW w:type="dxa" w:w="6048"/>
          </w:tcPr>
          <w:p>
            <w:pPr>
              <w:spacing w:after="20"/>
            </w:pPr>
            <w:r/>
            <w:r>
              <w:rPr>
                <w:b w:val="0"/>
                <w:i w:val="0"/>
                <w:sz w:val="18"/>
              </w:rPr>
              <w:t>Cash and equivalents, Sept. 30, 2024</w:t>
            </w:r>
          </w:p>
        </w:tc>
        <w:tc>
          <w:tcPr>
            <w:tcW w:type="dxa" w:w="1584"/>
          </w:tcPr>
          <w:p>
            <w:pPr>
              <w:spacing w:after="20"/>
            </w:pPr>
            <w:r/>
            <w:r>
              <w:rPr>
                <w:b w:val="0"/>
                <w:i w:val="0"/>
                <w:sz w:val="18"/>
              </w:rPr>
              <w:t>420.0</w:t>
            </w:r>
          </w:p>
        </w:tc>
        <w:tc>
          <w:tcPr>
            <w:tcW w:type="dxa" w:w="1728"/>
          </w:tcPr>
          <w:p>
            <w:pPr>
              <w:spacing w:after="20"/>
            </w:pPr>
            <w:r/>
            <w:r>
              <w:rPr>
                <w:b w:val="0"/>
                <w:i w:val="0"/>
                <w:sz w:val="18"/>
              </w:rPr>
              <w:t>420.0</w:t>
            </w:r>
          </w:p>
        </w:tc>
      </w:tr>
      <w:tr>
        <w:tc>
          <w:tcPr>
            <w:tcW w:type="dxa" w:w="6048"/>
          </w:tcPr>
          <w:p>
            <w:pPr>
              <w:spacing w:after="20"/>
            </w:pPr>
            <w:r/>
            <w:r>
              <w:rPr>
                <w:b w:val="0"/>
                <w:i w:val="0"/>
                <w:sz w:val="18"/>
              </w:rPr>
              <w:t>Less DPA signing-day payment ($50.0 criminal + $52.0 civil)</w:t>
            </w:r>
          </w:p>
        </w:tc>
        <w:tc>
          <w:tcPr>
            <w:tcW w:type="dxa" w:w="1584"/>
          </w:tcPr>
          <w:p>
            <w:pPr>
              <w:spacing w:after="20"/>
            </w:pPr>
            <w:r/>
            <w:r>
              <w:rPr>
                <w:b w:val="0"/>
                <w:i w:val="0"/>
                <w:sz w:val="18"/>
              </w:rPr>
              <w:t>(102.0)</w:t>
            </w:r>
          </w:p>
        </w:tc>
        <w:tc>
          <w:tcPr>
            <w:tcW w:type="dxa" w:w="1728"/>
          </w:tcPr>
          <w:p>
            <w:pPr>
              <w:spacing w:after="20"/>
            </w:pPr>
            <w:r/>
            <w:r>
              <w:rPr>
                <w:b w:val="0"/>
                <w:i w:val="0"/>
                <w:sz w:val="18"/>
              </w:rPr>
              <w:t>318.0</w:t>
            </w:r>
          </w:p>
        </w:tc>
      </w:tr>
      <w:tr>
        <w:tc>
          <w:tcPr>
            <w:tcW w:type="dxa" w:w="6048"/>
          </w:tcPr>
          <w:p>
            <w:pPr>
              <w:spacing w:after="20"/>
            </w:pPr>
            <w:r/>
            <w:r>
              <w:rPr>
                <w:b w:val="0"/>
                <w:i w:val="0"/>
                <w:sz w:val="18"/>
              </w:rPr>
              <w:t>Less BioNovus purchase price (Q3 2025)</w:t>
            </w:r>
          </w:p>
        </w:tc>
        <w:tc>
          <w:tcPr>
            <w:tcW w:type="dxa" w:w="1584"/>
          </w:tcPr>
          <w:p>
            <w:pPr>
              <w:spacing w:after="20"/>
            </w:pPr>
            <w:r/>
            <w:r>
              <w:rPr>
                <w:b w:val="0"/>
                <w:i w:val="0"/>
                <w:sz w:val="18"/>
              </w:rPr>
              <w:t>(340.0)</w:t>
            </w:r>
          </w:p>
        </w:tc>
        <w:tc>
          <w:tcPr>
            <w:tcW w:type="dxa" w:w="1728"/>
          </w:tcPr>
          <w:p>
            <w:pPr>
              <w:spacing w:after="20"/>
            </w:pPr>
            <w:r/>
            <w:r>
              <w:rPr>
                <w:b w:val="0"/>
                <w:i w:val="0"/>
                <w:sz w:val="18"/>
              </w:rPr>
              <w:t>(22.0)</w:t>
            </w:r>
          </w:p>
        </w:tc>
      </w:tr>
      <w:tr>
        <w:tc>
          <w:tcPr>
            <w:tcW w:type="dxa" w:w="6048"/>
          </w:tcPr>
          <w:p>
            <w:pPr>
              <w:spacing w:after="20"/>
            </w:pPr>
            <w:r/>
            <w:r>
              <w:rPr>
                <w:b w:val="0"/>
                <w:i w:val="0"/>
                <w:sz w:val="18"/>
              </w:rPr>
              <w:t>Restore $100M continuous minimum-liquidity covenant</w:t>
            </w:r>
          </w:p>
        </w:tc>
        <w:tc>
          <w:tcPr>
            <w:tcW w:type="dxa" w:w="1584"/>
          </w:tcPr>
          <w:p>
            <w:pPr>
              <w:spacing w:after="20"/>
            </w:pPr>
            <w:r/>
            <w:r>
              <w:rPr>
                <w:b w:val="0"/>
                <w:i w:val="0"/>
                <w:sz w:val="18"/>
              </w:rPr>
              <w:t>(100.0)</w:t>
            </w:r>
          </w:p>
        </w:tc>
        <w:tc>
          <w:tcPr>
            <w:tcW w:type="dxa" w:w="1728"/>
          </w:tcPr>
          <w:p>
            <w:pPr>
              <w:spacing w:after="20"/>
            </w:pPr>
            <w:r/>
            <w:r>
              <w:rPr>
                <w:b w:val="0"/>
                <w:i w:val="0"/>
                <w:sz w:val="18"/>
              </w:rPr>
              <w:t>(122.0)</w:t>
            </w:r>
          </w:p>
        </w:tc>
      </w:tr>
      <w:tr>
        <w:tc>
          <w:tcPr>
            <w:tcW w:type="dxa" w:w="6048"/>
          </w:tcPr>
          <w:p>
            <w:pPr>
              <w:spacing w:after="20"/>
            </w:pPr>
            <w:r/>
            <w:r>
              <w:rPr>
                <w:b w:val="0"/>
                <w:i w:val="0"/>
                <w:sz w:val="18"/>
              </w:rPr>
              <w:t>Less second criminal installment (Feb. 1, 2026)</w:t>
            </w:r>
          </w:p>
        </w:tc>
        <w:tc>
          <w:tcPr>
            <w:tcW w:type="dxa" w:w="1584"/>
          </w:tcPr>
          <w:p>
            <w:pPr>
              <w:spacing w:after="20"/>
            </w:pPr>
            <w:r/>
            <w:r>
              <w:rPr>
                <w:b w:val="0"/>
                <w:i w:val="0"/>
                <w:sz w:val="18"/>
              </w:rPr>
              <w:t>(50.0)</w:t>
            </w:r>
          </w:p>
        </w:tc>
        <w:tc>
          <w:tcPr>
            <w:tcW w:type="dxa" w:w="1728"/>
          </w:tcPr>
          <w:p>
            <w:pPr>
              <w:spacing w:after="20"/>
            </w:pPr>
            <w:r/>
            <w:r>
              <w:rPr>
                <w:b w:val="0"/>
                <w:i w:val="0"/>
                <w:sz w:val="18"/>
              </w:rPr>
              <w:t>(172.0)</w:t>
            </w:r>
          </w:p>
        </w:tc>
      </w:tr>
      <w:tr>
        <w:tc>
          <w:tcPr>
            <w:tcW w:type="dxa" w:w="6048"/>
          </w:tcPr>
          <w:p>
            <w:pPr>
              <w:spacing w:after="20"/>
            </w:pPr>
            <w:r/>
            <w:r>
              <w:rPr>
                <w:b w:val="0"/>
                <w:i w:val="0"/>
                <w:sz w:val="18"/>
              </w:rPr>
              <w:t>Undrawn revolver capacity (lost automatically on an Event of Default)</w:t>
            </w:r>
          </w:p>
        </w:tc>
        <w:tc>
          <w:tcPr>
            <w:tcW w:type="dxa" w:w="1584"/>
          </w:tcPr>
          <w:p>
            <w:pPr>
              <w:spacing w:after="20"/>
            </w:pPr>
            <w:r/>
            <w:r>
              <w:rPr>
                <w:b w:val="0"/>
                <w:i w:val="0"/>
                <w:sz w:val="18"/>
              </w:rPr>
              <w:t>180.0</w:t>
            </w:r>
          </w:p>
        </w:tc>
        <w:tc>
          <w:tcPr>
            <w:tcW w:type="dxa" w:w="1728"/>
          </w:tcPr>
          <w:p>
            <w:pPr>
              <w:spacing w:after="20"/>
            </w:pPr>
            <w:r/>
            <w:r>
              <w:rPr>
                <w:b w:val="0"/>
                <w:i w:val="0"/>
                <w:sz w:val="18"/>
              </w:rPr>
              <w:t>8.0</w:t>
            </w:r>
          </w:p>
        </w:tc>
      </w:tr>
    </w:tbl>
    <w:p>
      <w:pPr>
        <w:spacing w:after="40"/>
      </w:pPr>
    </w:p>
    <w:p>
      <w:r>
        <w:rPr>
          <w:b w:val="0"/>
          <w:i w:val="0"/>
          <w:sz w:val="18"/>
        </w:rPr>
        <w:t>Before operating cash flow, Monitor fees (~$4.5M per year), capital spending and the waiver fee. The Company’s model assumes $540M of Year 1 operating cash flow and continued revolver access; if an Event of Default under § 7.1(h) occurs without a waiver, the $180M capacity falls to zero and the BioNovus closing cannot be financed under the existing facility. Total committed outflows over three years: $253.0M (DPA) + $340M (BioNovus) = $593M against ~$600M of current liquidity ($420M cash + $180M undrawn).</w:t>
      </w:r>
    </w:p>
    <w:p>
      <w:pPr>
        <w:pStyle w:val="Heading1"/>
      </w:pPr>
      <w:r>
        <w:t>Appendix C — Key Dates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shd w:val="clear" w:color="auto" w:fill="D9E2F3"/>
          </w:tcPr>
          <w:p>
            <w:r/>
            <w:r>
              <w:rPr>
                <w:b/>
                <w:i w:val="0"/>
                <w:sz w:val="17"/>
              </w:rPr>
              <w:t>Date</w:t>
            </w:r>
          </w:p>
        </w:tc>
        <w:tc>
          <w:tcPr>
            <w:tcW w:type="dxa" w:w="4608"/>
            <w:shd w:val="clear" w:color="auto" w:fill="D9E2F3"/>
          </w:tcPr>
          <w:p>
            <w:r/>
            <w:r>
              <w:rPr>
                <w:b/>
                <w:i w:val="0"/>
                <w:sz w:val="17"/>
              </w:rPr>
              <w:t>Event</w:t>
            </w:r>
          </w:p>
        </w:tc>
        <w:tc>
          <w:tcPr>
            <w:tcW w:type="dxa" w:w="2880"/>
            <w:shd w:val="clear" w:color="auto" w:fill="D9E2F3"/>
          </w:tcPr>
          <w:p>
            <w:r/>
            <w:r>
              <w:rPr>
                <w:b/>
                <w:i w:val="0"/>
                <w:sz w:val="17"/>
              </w:rPr>
              <w:t>Relevance</w:t>
            </w:r>
          </w:p>
        </w:tc>
      </w:tr>
      <w:tr>
        <w:tc>
          <w:tcPr>
            <w:tcW w:type="dxa" w:w="1872"/>
          </w:tcPr>
          <w:p>
            <w:pPr>
              <w:spacing w:after="20"/>
            </w:pPr>
            <w:r/>
            <w:r>
              <w:rPr>
                <w:b w:val="0"/>
                <w:i w:val="0"/>
                <w:sz w:val="17"/>
              </w:rPr>
              <w:t>Mar. 2021 / June 2021</w:t>
            </w:r>
          </w:p>
        </w:tc>
        <w:tc>
          <w:tcPr>
            <w:tcW w:type="dxa" w:w="4608"/>
          </w:tcPr>
          <w:p>
            <w:pPr>
              <w:spacing w:after="20"/>
            </w:pPr>
            <w:r/>
            <w:r>
              <w:rPr>
                <w:b w:val="0"/>
                <w:i w:val="0"/>
                <w:sz w:val="17"/>
              </w:rPr>
              <w:t>Qui tam filed / unsealed; W&amp;C consultations (early June); Audit Committee resolution (June 14); engagement letter (June 15)</w:t>
            </w:r>
          </w:p>
        </w:tc>
        <w:tc>
          <w:tcPr>
            <w:tcW w:type="dxa" w:w="2880"/>
          </w:tcPr>
          <w:p>
            <w:pPr>
              <w:spacing w:after="20"/>
            </w:pPr>
            <w:r/>
            <w:r>
              <w:rPr>
                <w:b w:val="0"/>
                <w:i w:val="0"/>
                <w:sz w:val="17"/>
              </w:rPr>
              <w:t>Privilege carve-out date in § 6.2</w:t>
            </w:r>
          </w:p>
        </w:tc>
      </w:tr>
      <w:tr>
        <w:tc>
          <w:tcPr>
            <w:tcW w:type="dxa" w:w="1872"/>
          </w:tcPr>
          <w:p>
            <w:pPr>
              <w:spacing w:after="20"/>
            </w:pPr>
            <w:r/>
            <w:r>
              <w:rPr>
                <w:b w:val="0"/>
                <w:i w:val="0"/>
                <w:sz w:val="17"/>
              </w:rPr>
              <w:t>Oct. 2024</w:t>
            </w:r>
          </w:p>
        </w:tc>
        <w:tc>
          <w:tcPr>
            <w:tcW w:type="dxa" w:w="4608"/>
          </w:tcPr>
          <w:p>
            <w:pPr>
              <w:spacing w:after="20"/>
            </w:pPr>
            <w:r/>
            <w:r>
              <w:rPr>
                <w:b w:val="0"/>
                <w:i w:val="0"/>
                <w:sz w:val="17"/>
              </w:rPr>
              <w:t>USAO presents draft DPA</w:t>
            </w:r>
          </w:p>
        </w:tc>
        <w:tc>
          <w:tcPr>
            <w:tcW w:type="dxa" w:w="2880"/>
          </w:tcPr>
          <w:p>
            <w:pPr>
              <w:spacing w:after="20"/>
            </w:pPr>
            <w:r/>
            <w:r>
              <w:rPr>
                <w:b w:val="0"/>
                <w:i w:val="0"/>
                <w:sz w:val="17"/>
              </w:rPr>
              <w:t>Possible Credit Agreement § 3.2(c) notice trigger; ASC 450</w:t>
            </w:r>
          </w:p>
        </w:tc>
      </w:tr>
      <w:tr>
        <w:tc>
          <w:tcPr>
            <w:tcW w:type="dxa" w:w="1872"/>
          </w:tcPr>
          <w:p>
            <w:pPr>
              <w:spacing w:after="20"/>
            </w:pPr>
            <w:r/>
            <w:r>
              <w:rPr>
                <w:b w:val="0"/>
                <w:i w:val="0"/>
                <w:sz w:val="17"/>
              </w:rPr>
              <w:t>Dec. 20, 2024</w:t>
            </w:r>
          </w:p>
        </w:tc>
        <w:tc>
          <w:tcPr>
            <w:tcW w:type="dxa" w:w="4608"/>
          </w:tcPr>
          <w:p>
            <w:pPr>
              <w:spacing w:after="20"/>
            </w:pPr>
            <w:r/>
            <w:r>
              <w:rPr>
                <w:b w:val="0"/>
                <w:i w:val="0"/>
                <w:sz w:val="17"/>
              </w:rPr>
              <w:t>Credit-facility summary; W&amp;C DPA review begins</w:t>
            </w:r>
          </w:p>
        </w:tc>
        <w:tc>
          <w:tcPr>
            <w:tcW w:type="dxa" w:w="2880"/>
          </w:tcPr>
          <w:p>
            <w:pPr>
              <w:spacing w:after="20"/>
            </w:pPr>
            <w:r/>
            <w:r>
              <w:rPr>
                <w:b w:val="0"/>
                <w:i w:val="0"/>
                <w:sz w:val="17"/>
              </w:rPr>
              <w:t>—</w:t>
            </w:r>
          </w:p>
        </w:tc>
      </w:tr>
      <w:tr>
        <w:tc>
          <w:tcPr>
            <w:tcW w:type="dxa" w:w="1872"/>
          </w:tcPr>
          <w:p>
            <w:pPr>
              <w:spacing w:after="20"/>
            </w:pPr>
            <w:r/>
            <w:r>
              <w:rPr>
                <w:b w:val="0"/>
                <w:i w:val="0"/>
                <w:sz w:val="17"/>
              </w:rPr>
              <w:t>~Jan. 3, 2025</w:t>
            </w:r>
          </w:p>
        </w:tc>
        <w:tc>
          <w:tcPr>
            <w:tcW w:type="dxa" w:w="4608"/>
          </w:tcPr>
          <w:p>
            <w:pPr>
              <w:spacing w:after="20"/>
            </w:pPr>
            <w:r/>
            <w:r>
              <w:rPr>
                <w:b w:val="0"/>
                <w:i w:val="0"/>
                <w:sz w:val="17"/>
              </w:rPr>
              <w:t>Latest date to submit waiver request (20 Business Days)</w:t>
            </w:r>
          </w:p>
        </w:tc>
        <w:tc>
          <w:tcPr>
            <w:tcW w:type="dxa" w:w="2880"/>
          </w:tcPr>
          <w:p>
            <w:pPr>
              <w:spacing w:after="20"/>
            </w:pPr>
            <w:r/>
            <w:r>
              <w:rPr>
                <w:b w:val="0"/>
                <w:i w:val="0"/>
                <w:sz w:val="17"/>
              </w:rPr>
              <w:t>Issue 1</w:t>
            </w:r>
          </w:p>
        </w:tc>
      </w:tr>
      <w:tr>
        <w:tc>
          <w:tcPr>
            <w:tcW w:type="dxa" w:w="1872"/>
          </w:tcPr>
          <w:p>
            <w:pPr>
              <w:spacing w:after="20"/>
            </w:pPr>
            <w:r/>
            <w:r>
              <w:rPr>
                <w:b w:val="0"/>
                <w:i w:val="0"/>
                <w:sz w:val="17"/>
              </w:rPr>
              <w:t>Jan. 14, 2025</w:t>
            </w:r>
          </w:p>
        </w:tc>
        <w:tc>
          <w:tcPr>
            <w:tcW w:type="dxa" w:w="4608"/>
          </w:tcPr>
          <w:p>
            <w:pPr>
              <w:spacing w:after="20"/>
            </w:pPr>
            <w:r/>
            <w:r>
              <w:rPr>
                <w:b w:val="0"/>
                <w:i w:val="0"/>
                <w:sz w:val="17"/>
              </w:rPr>
              <w:t>Board approval date recited in § 13.1</w:t>
            </w:r>
          </w:p>
        </w:tc>
        <w:tc>
          <w:tcPr>
            <w:tcW w:type="dxa" w:w="2880"/>
          </w:tcPr>
          <w:p>
            <w:pPr>
              <w:spacing w:after="20"/>
            </w:pPr>
            <w:r/>
            <w:r>
              <w:rPr>
                <w:b w:val="0"/>
                <w:i w:val="0"/>
                <w:sz w:val="17"/>
              </w:rPr>
              <w:t>Predates negotiation (Issue 16)</w:t>
            </w:r>
          </w:p>
        </w:tc>
      </w:tr>
      <w:tr>
        <w:tc>
          <w:tcPr>
            <w:tcW w:type="dxa" w:w="1872"/>
          </w:tcPr>
          <w:p>
            <w:pPr>
              <w:spacing w:after="20"/>
            </w:pPr>
            <w:r/>
            <w:r>
              <w:rPr>
                <w:b w:val="0"/>
                <w:i w:val="0"/>
                <w:sz w:val="17"/>
              </w:rPr>
              <w:t>Jan. 15, 2025</w:t>
            </w:r>
          </w:p>
        </w:tc>
        <w:tc>
          <w:tcPr>
            <w:tcW w:type="dxa" w:w="4608"/>
          </w:tcPr>
          <w:p>
            <w:pPr>
              <w:spacing w:after="20"/>
            </w:pPr>
            <w:r/>
            <w:r>
              <w:rPr>
                <w:b w:val="0"/>
                <w:i w:val="0"/>
                <w:sz w:val="17"/>
              </w:rPr>
              <w:t>Negotiation session with AUSAs Moreno and Kesselman</w:t>
            </w:r>
          </w:p>
        </w:tc>
        <w:tc>
          <w:tcPr>
            <w:tcW w:type="dxa" w:w="2880"/>
          </w:tcPr>
          <w:p>
            <w:pPr>
              <w:spacing w:after="20"/>
            </w:pPr>
            <w:r/>
            <w:r>
              <w:rPr>
                <w:b w:val="0"/>
                <w:i w:val="0"/>
                <w:sz w:val="17"/>
              </w:rPr>
              <w:t>Only 11 Business Days before Feb. 1</w:t>
            </w:r>
          </w:p>
        </w:tc>
      </w:tr>
      <w:tr>
        <w:tc>
          <w:tcPr>
            <w:tcW w:type="dxa" w:w="1872"/>
          </w:tcPr>
          <w:p>
            <w:pPr>
              <w:spacing w:after="20"/>
            </w:pPr>
            <w:r/>
            <w:r>
              <w:rPr>
                <w:b w:val="0"/>
                <w:i w:val="0"/>
                <w:sz w:val="17"/>
              </w:rPr>
              <w:t>Feb. 1, 2025 (Sat.)</w:t>
            </w:r>
          </w:p>
        </w:tc>
        <w:tc>
          <w:tcPr>
            <w:tcW w:type="dxa" w:w="4608"/>
          </w:tcPr>
          <w:p>
            <w:pPr>
              <w:spacing w:after="20"/>
            </w:pPr>
            <w:r/>
            <w:r>
              <w:rPr>
                <w:b w:val="0"/>
                <w:i w:val="0"/>
                <w:sz w:val="17"/>
              </w:rPr>
              <w:t>Anticipated execution; $102.0M due</w:t>
            </w:r>
          </w:p>
        </w:tc>
        <w:tc>
          <w:tcPr>
            <w:tcW w:type="dxa" w:w="2880"/>
          </w:tcPr>
          <w:p>
            <w:pPr>
              <w:spacing w:after="20"/>
            </w:pPr>
            <w:r/>
            <w:r>
              <w:rPr>
                <w:b w:val="0"/>
                <w:i w:val="0"/>
                <w:sz w:val="17"/>
              </w:rPr>
              <w:t>Event of Default absent waiver</w:t>
            </w:r>
          </w:p>
        </w:tc>
      </w:tr>
      <w:tr>
        <w:tc>
          <w:tcPr>
            <w:tcW w:type="dxa" w:w="1872"/>
          </w:tcPr>
          <w:p>
            <w:pPr>
              <w:spacing w:after="20"/>
            </w:pPr>
            <w:r/>
            <w:r>
              <w:rPr>
                <w:b w:val="0"/>
                <w:i w:val="0"/>
                <w:sz w:val="17"/>
              </w:rPr>
              <w:t>Mar. 15, 2025</w:t>
            </w:r>
          </w:p>
        </w:tc>
        <w:tc>
          <w:tcPr>
            <w:tcW w:type="dxa" w:w="4608"/>
          </w:tcPr>
          <w:p>
            <w:pPr>
              <w:spacing w:after="20"/>
            </w:pPr>
            <w:r/>
            <w:r>
              <w:rPr>
                <w:b w:val="0"/>
                <w:i w:val="0"/>
                <w:sz w:val="17"/>
              </w:rPr>
              <w:t>Target BioNovus LOI signing</w:t>
            </w:r>
          </w:p>
        </w:tc>
        <w:tc>
          <w:tcPr>
            <w:tcW w:type="dxa" w:w="2880"/>
          </w:tcPr>
          <w:p>
            <w:pPr>
              <w:spacing w:after="20"/>
            </w:pPr>
            <w:r/>
            <w:r>
              <w:rPr>
                <w:b w:val="0"/>
                <w:i w:val="0"/>
                <w:sz w:val="17"/>
              </w:rPr>
              <w:t>Successor clause must be settled</w:t>
            </w:r>
          </w:p>
        </w:tc>
      </w:tr>
      <w:tr>
        <w:tc>
          <w:tcPr>
            <w:tcW w:type="dxa" w:w="1872"/>
          </w:tcPr>
          <w:p>
            <w:pPr>
              <w:spacing w:after="20"/>
            </w:pPr>
            <w:r/>
            <w:r>
              <w:rPr>
                <w:b w:val="0"/>
                <w:i w:val="0"/>
                <w:sz w:val="17"/>
              </w:rPr>
              <w:t>Q3 2025</w:t>
            </w:r>
          </w:p>
        </w:tc>
        <w:tc>
          <w:tcPr>
            <w:tcW w:type="dxa" w:w="4608"/>
          </w:tcPr>
          <w:p>
            <w:pPr>
              <w:spacing w:after="20"/>
            </w:pPr>
            <w:r/>
            <w:r>
              <w:rPr>
                <w:b w:val="0"/>
                <w:i w:val="0"/>
                <w:sz w:val="17"/>
              </w:rPr>
              <w:t>BioNovus closing ($340M)</w:t>
            </w:r>
          </w:p>
        </w:tc>
        <w:tc>
          <w:tcPr>
            <w:tcW w:type="dxa" w:w="2880"/>
          </w:tcPr>
          <w:p>
            <w:pPr>
              <w:spacing w:after="20"/>
            </w:pPr>
            <w:r/>
            <w:r>
              <w:rPr>
                <w:b w:val="0"/>
                <w:i w:val="0"/>
                <w:sz w:val="17"/>
              </w:rPr>
              <w:t>Permitted Acquisition conditions</w:t>
            </w:r>
          </w:p>
        </w:tc>
      </w:tr>
      <w:tr>
        <w:tc>
          <w:tcPr>
            <w:tcW w:type="dxa" w:w="1872"/>
          </w:tcPr>
          <w:p>
            <w:pPr>
              <w:spacing w:after="20"/>
            </w:pPr>
            <w:r/>
            <w:r>
              <w:rPr>
                <w:b w:val="0"/>
                <w:i w:val="0"/>
                <w:sz w:val="17"/>
              </w:rPr>
              <w:t>Feb. 1, 2026 (Sun.)</w:t>
            </w:r>
          </w:p>
        </w:tc>
        <w:tc>
          <w:tcPr>
            <w:tcW w:type="dxa" w:w="4608"/>
          </w:tcPr>
          <w:p>
            <w:pPr>
              <w:spacing w:after="20"/>
            </w:pPr>
            <w:r/>
            <w:r>
              <w:rPr>
                <w:b w:val="0"/>
                <w:i w:val="0"/>
                <w:sz w:val="17"/>
              </w:rPr>
              <w:t>Second installment ($50.0M)</w:t>
            </w:r>
          </w:p>
        </w:tc>
        <w:tc>
          <w:tcPr>
            <w:tcW w:type="dxa" w:w="2880"/>
          </w:tcPr>
          <w:p>
            <w:pPr>
              <w:spacing w:after="20"/>
            </w:pPr>
            <w:r/>
            <w:r>
              <w:rPr>
                <w:b w:val="0"/>
                <w:i w:val="0"/>
                <w:sz w:val="17"/>
              </w:rPr>
              <w:t>Possible revolver maturity Mar. 12, 2026</w:t>
            </w:r>
          </w:p>
        </w:tc>
      </w:tr>
      <w:tr>
        <w:tc>
          <w:tcPr>
            <w:tcW w:type="dxa" w:w="1872"/>
          </w:tcPr>
          <w:p>
            <w:pPr>
              <w:spacing w:after="20"/>
            </w:pPr>
            <w:r/>
            <w:r>
              <w:rPr>
                <w:b w:val="0"/>
                <w:i w:val="0"/>
                <w:sz w:val="17"/>
              </w:rPr>
              <w:t>Feb. 1, 2027</w:t>
            </w:r>
          </w:p>
        </w:tc>
        <w:tc>
          <w:tcPr>
            <w:tcW w:type="dxa" w:w="4608"/>
          </w:tcPr>
          <w:p>
            <w:pPr>
              <w:spacing w:after="20"/>
            </w:pPr>
            <w:r/>
            <w:r>
              <w:rPr>
                <w:b w:val="0"/>
                <w:i w:val="0"/>
                <w:sz w:val="17"/>
              </w:rPr>
              <w:t>Third installment ($50.0M)</w:t>
            </w:r>
          </w:p>
        </w:tc>
        <w:tc>
          <w:tcPr>
            <w:tcW w:type="dxa" w:w="2880"/>
          </w:tcPr>
          <w:p>
            <w:pPr>
              <w:spacing w:after="20"/>
            </w:pPr>
            <w:r/>
            <w:r>
              <w:rPr>
                <w:b w:val="0"/>
                <w:i w:val="0"/>
                <w:sz w:val="17"/>
              </w:rPr>
              <w:t>—</w:t>
            </w:r>
          </w:p>
        </w:tc>
      </w:tr>
      <w:tr>
        <w:tc>
          <w:tcPr>
            <w:tcW w:type="dxa" w:w="1872"/>
          </w:tcPr>
          <w:p>
            <w:pPr>
              <w:spacing w:after="20"/>
            </w:pPr>
            <w:r/>
            <w:r>
              <w:rPr>
                <w:b w:val="0"/>
                <w:i w:val="0"/>
                <w:sz w:val="17"/>
              </w:rPr>
              <w:t>Jan. 31, 2028</w:t>
            </w:r>
          </w:p>
        </w:tc>
        <w:tc>
          <w:tcPr>
            <w:tcW w:type="dxa" w:w="4608"/>
          </w:tcPr>
          <w:p>
            <w:pPr>
              <w:spacing w:after="20"/>
            </w:pPr>
            <w:r/>
            <w:r>
              <w:rPr>
                <w:b w:val="0"/>
                <w:i w:val="0"/>
                <w:sz w:val="17"/>
              </w:rPr>
              <w:t>Term expires</w:t>
            </w:r>
          </w:p>
        </w:tc>
        <w:tc>
          <w:tcPr>
            <w:tcW w:type="dxa" w:w="2880"/>
          </w:tcPr>
          <w:p>
            <w:pPr>
              <w:spacing w:after="20"/>
            </w:pPr>
            <w:r/>
            <w:r>
              <w:rPr>
                <w:b w:val="0"/>
                <w:i w:val="0"/>
                <w:sz w:val="17"/>
              </w:rPr>
              <w:t>—</w:t>
            </w:r>
          </w:p>
        </w:tc>
      </w:tr>
      <w:tr>
        <w:tc>
          <w:tcPr>
            <w:tcW w:type="dxa" w:w="1872"/>
          </w:tcPr>
          <w:p>
            <w:pPr>
              <w:spacing w:after="20"/>
            </w:pPr>
            <w:r/>
            <w:r>
              <w:rPr>
                <w:b w:val="0"/>
                <w:i w:val="0"/>
                <w:sz w:val="17"/>
              </w:rPr>
              <w:t>Feb. 1, 2028</w:t>
            </w:r>
          </w:p>
        </w:tc>
        <w:tc>
          <w:tcPr>
            <w:tcW w:type="dxa" w:w="4608"/>
          </w:tcPr>
          <w:p>
            <w:pPr>
              <w:spacing w:after="20"/>
            </w:pPr>
            <w:r/>
            <w:r>
              <w:rPr>
                <w:b w:val="0"/>
                <w:i w:val="0"/>
                <w:sz w:val="17"/>
              </w:rPr>
              <w:t>Fourth installment ($37.5M) as drafted</w:t>
            </w:r>
          </w:p>
        </w:tc>
        <w:tc>
          <w:tcPr>
            <w:tcW w:type="dxa" w:w="2880"/>
          </w:tcPr>
          <w:p>
            <w:pPr>
              <w:spacing w:after="20"/>
            </w:pPr>
            <w:r/>
            <w:r>
              <w:rPr>
                <w:b w:val="0"/>
                <w:i w:val="0"/>
                <w:sz w:val="17"/>
              </w:rPr>
              <w:t>After Term (Issue 6)</w:t>
            </w:r>
          </w:p>
        </w:tc>
      </w:tr>
      <w:tr>
        <w:tc>
          <w:tcPr>
            <w:tcW w:type="dxa" w:w="1872"/>
          </w:tcPr>
          <w:p>
            <w:pPr>
              <w:spacing w:after="20"/>
            </w:pPr>
            <w:r/>
            <w:r>
              <w:rPr>
                <w:b w:val="0"/>
                <w:i w:val="0"/>
                <w:sz w:val="17"/>
              </w:rPr>
              <w:t>Feb. 1, 2030</w:t>
            </w:r>
          </w:p>
        </w:tc>
        <w:tc>
          <w:tcPr>
            <w:tcW w:type="dxa" w:w="4608"/>
          </w:tcPr>
          <w:p>
            <w:pPr>
              <w:spacing w:after="20"/>
            </w:pPr>
            <w:r/>
            <w:r>
              <w:rPr>
                <w:b w:val="0"/>
                <w:i w:val="0"/>
                <w:sz w:val="17"/>
              </w:rPr>
              <w:t>End of Kwan engagement bar</w:t>
            </w:r>
          </w:p>
        </w:tc>
        <w:tc>
          <w:tcPr>
            <w:tcW w:type="dxa" w:w="2880"/>
          </w:tcPr>
          <w:p>
            <w:pPr>
              <w:spacing w:after="20"/>
            </w:pPr>
            <w:r/>
            <w:r>
              <w:rPr>
                <w:b w:val="0"/>
                <w:i w:val="0"/>
                <w:sz w:val="17"/>
              </w:rPr>
              <w:t>Post-Term (Issue 31)</w:t>
            </w:r>
          </w:p>
        </w:tc>
      </w:tr>
    </w:tbl>
    <w:p>
      <w:pPr>
        <w:spacing w:after="40"/>
      </w:pPr>
    </w:p>
    <w:p/>
    <w:p>
      <w:r>
        <w:rPr>
          <w:b w:val="0"/>
          <w:i/>
          <w:sz w:val="18"/>
        </w:rPr>
        <w:t>This memorandum reflects our review of the documents identified in Part I as of its date. It relies on summaries of the Credit Agreement and Indenture rather than the operative documents, which should be reviewed before any lender communication. Case and policy citations should be cite-checked before any external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