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0177353A" w14:textId="6393C0C2" w:rsidR="003C4847" w:rsidRDefault="003C4847" w:rsidP="005275E3">
      <w:pPr>
        <w:ind w:firstLine="420"/>
        <w:rPr>
          <w:rFonts w:hint="eastAsia"/>
        </w:rPr>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这确实会浪费一些，但是</w:t>
      </w:r>
      <w:r w:rsidR="00825618">
        <w:rPr>
          <w:rFonts w:hint="eastAsia"/>
        </w:rPr>
        <w:t>semantic</w:t>
      </w:r>
      <w:r w:rsidR="00825618">
        <w:rPr>
          <w:rFonts w:hint="eastAsia"/>
        </w:rPr>
        <w:t>和中间代码生成相分离，我认为是非常必要的。</w:t>
      </w:r>
      <w:r w:rsidR="007F20D2">
        <w:rPr>
          <w:rFonts w:hint="eastAsia"/>
        </w:rPr>
        <w:t>但是，在检查中并不是不生成任何数据，比如说，对于不确定长度的</w:t>
      </w:r>
      <w:r w:rsidR="007F20D2">
        <w:rPr>
          <w:rFonts w:hint="eastAsia"/>
        </w:rPr>
        <w:lastRenderedPageBreak/>
        <w:t>array</w:t>
      </w:r>
      <w:r w:rsidR="007F20D2">
        <w:rPr>
          <w:rFonts w:hint="eastAsia"/>
        </w:rPr>
        <w:t>，需要确定对应的长度等等。</w:t>
      </w:r>
    </w:p>
    <w:p w14:paraId="594291B6" w14:textId="719D457B" w:rsidR="005914CD" w:rsidRPr="00AB6017" w:rsidRDefault="005914CD" w:rsidP="005275E3">
      <w:pPr>
        <w:ind w:firstLine="420"/>
      </w:pPr>
      <w:r>
        <w:rPr>
          <w:rFonts w:hint="eastAsia"/>
        </w:rPr>
        <w:t>所以</w:t>
      </w:r>
      <w:r>
        <w:rPr>
          <w:rFonts w:hint="eastAsia"/>
        </w:rPr>
        <w:t>compound</w:t>
      </w:r>
      <w:r>
        <w:t xml:space="preserve"> </w:t>
      </w:r>
      <w:r>
        <w:rPr>
          <w:rFonts w:hint="eastAsia"/>
        </w:rPr>
        <w:t>literal</w:t>
      </w:r>
      <w:r>
        <w:rPr>
          <w:rFonts w:hint="eastAsia"/>
        </w:rPr>
        <w:t>的时候，这里会多出一个野指针，扔掉。</w:t>
      </w:r>
    </w:p>
    <w:p w14:paraId="660F8BF8" w14:textId="77777777" w:rsidR="005275E3" w:rsidRDefault="005275E3" w:rsidP="005275E3">
      <w:pPr>
        <w:ind w:firstLine="420"/>
      </w:pPr>
      <w:r>
        <w:rPr>
          <w:rFonts w:hint="eastAsia"/>
        </w:rPr>
        <w:t>另外，在何处分配也是一个巨大的问题，</w:t>
      </w:r>
      <w:r w:rsidR="002D1210">
        <w:rPr>
          <w:rFonts w:hint="eastAsia"/>
        </w:rPr>
        <w:t>对于局部变量的初始化是在运行期的栈上的，而对于全局变量的初始化，则会在另外的地方，这些我不想多讲，就实际而言，要做的事情也只能返回一个给定的数据结构，然后</w:t>
      </w:r>
      <w:r w:rsidR="00E63672">
        <w:rPr>
          <w:rFonts w:hint="eastAsia"/>
        </w:rPr>
        <w:t>由代码生成模块去决定。</w:t>
      </w:r>
    </w:p>
    <w:p w14:paraId="7D799BF5" w14:textId="77777777" w:rsidR="00863401" w:rsidRPr="00694C46" w:rsidRDefault="00863401" w:rsidP="001F727A"/>
    <w:sectPr w:rsidR="00863401" w:rsidRPr="00694C4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1094B"/>
    <w:rsid w:val="000133F1"/>
    <w:rsid w:val="00016114"/>
    <w:rsid w:val="00016DCE"/>
    <w:rsid w:val="00017CBF"/>
    <w:rsid w:val="00021311"/>
    <w:rsid w:val="00023756"/>
    <w:rsid w:val="00024013"/>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6195C"/>
    <w:rsid w:val="00161B95"/>
    <w:rsid w:val="00161E5F"/>
    <w:rsid w:val="001625CB"/>
    <w:rsid w:val="00162E24"/>
    <w:rsid w:val="001634A8"/>
    <w:rsid w:val="00163CBD"/>
    <w:rsid w:val="001644FF"/>
    <w:rsid w:val="0017029C"/>
    <w:rsid w:val="00174C02"/>
    <w:rsid w:val="001751E0"/>
    <w:rsid w:val="0017540E"/>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983"/>
    <w:rsid w:val="001E4B6C"/>
    <w:rsid w:val="001E51D8"/>
    <w:rsid w:val="001E5ACB"/>
    <w:rsid w:val="001F0C5E"/>
    <w:rsid w:val="001F25BF"/>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44C1"/>
    <w:rsid w:val="003E4E5D"/>
    <w:rsid w:val="003E64FA"/>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8097B"/>
    <w:rsid w:val="0048133F"/>
    <w:rsid w:val="00482DF0"/>
    <w:rsid w:val="0048335D"/>
    <w:rsid w:val="004840BF"/>
    <w:rsid w:val="00484A8A"/>
    <w:rsid w:val="004851ED"/>
    <w:rsid w:val="00492B90"/>
    <w:rsid w:val="00493BEC"/>
    <w:rsid w:val="00493D67"/>
    <w:rsid w:val="004950C8"/>
    <w:rsid w:val="00496131"/>
    <w:rsid w:val="0049786E"/>
    <w:rsid w:val="004A12F2"/>
    <w:rsid w:val="004A3721"/>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7229"/>
    <w:rsid w:val="005C1149"/>
    <w:rsid w:val="005C1C0D"/>
    <w:rsid w:val="005C247E"/>
    <w:rsid w:val="005C28FE"/>
    <w:rsid w:val="005C2E0C"/>
    <w:rsid w:val="005C3048"/>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1798"/>
    <w:rsid w:val="006D18CC"/>
    <w:rsid w:val="006D7DE9"/>
    <w:rsid w:val="006E178B"/>
    <w:rsid w:val="006E1793"/>
    <w:rsid w:val="006E4118"/>
    <w:rsid w:val="006E4FF3"/>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C0DF5"/>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25618"/>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947"/>
    <w:rsid w:val="00973B1A"/>
    <w:rsid w:val="00974E35"/>
    <w:rsid w:val="009755E1"/>
    <w:rsid w:val="0097567B"/>
    <w:rsid w:val="009815D7"/>
    <w:rsid w:val="00983906"/>
    <w:rsid w:val="009847BE"/>
    <w:rsid w:val="0098482B"/>
    <w:rsid w:val="00986D74"/>
    <w:rsid w:val="009908CB"/>
    <w:rsid w:val="00991289"/>
    <w:rsid w:val="009917E5"/>
    <w:rsid w:val="00996BA5"/>
    <w:rsid w:val="0099712E"/>
    <w:rsid w:val="009A3508"/>
    <w:rsid w:val="009A3DE3"/>
    <w:rsid w:val="009A4332"/>
    <w:rsid w:val="009A7180"/>
    <w:rsid w:val="009A79B8"/>
    <w:rsid w:val="009B05CE"/>
    <w:rsid w:val="009B1918"/>
    <w:rsid w:val="009B3208"/>
    <w:rsid w:val="009B608E"/>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27AE"/>
    <w:rsid w:val="00CC413A"/>
    <w:rsid w:val="00CD038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1E22"/>
    <w:rsid w:val="00F643BE"/>
    <w:rsid w:val="00F64993"/>
    <w:rsid w:val="00F65CA3"/>
    <w:rsid w:val="00F660EC"/>
    <w:rsid w:val="00F6768E"/>
    <w:rsid w:val="00F7013B"/>
    <w:rsid w:val="00F70D3F"/>
    <w:rsid w:val="00F717B1"/>
    <w:rsid w:val="00F72323"/>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58834</TotalTime>
  <Pages>29</Pages>
  <Words>6365</Words>
  <Characters>36285</Characters>
  <Application>Microsoft Office Word</Application>
  <DocSecurity>0</DocSecurity>
  <Lines>302</Lines>
  <Paragraphs>85</Paragraphs>
  <ScaleCrop>false</ScaleCrop>
  <Company>CHINA</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1404</cp:revision>
  <dcterms:created xsi:type="dcterms:W3CDTF">2022-02-23T07:46:00Z</dcterms:created>
  <dcterms:modified xsi:type="dcterms:W3CDTF">2022-12-28T11:57:00Z</dcterms:modified>
</cp:coreProperties>
</file>