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CDB73" w14:textId="77777777" w:rsidR="00920FD4" w:rsidRDefault="00315FF7">
      <w:pPr>
        <w:spacing w:after="120" w:line="276" w:lineRule="auto"/>
        <w:jc w:val="center"/>
      </w:pPr>
      <w:r>
        <w:rPr>
          <w:rFonts w:eastAsia="Times New Roman"/>
          <w:b/>
          <w:bCs/>
          <w:sz w:val="28"/>
          <w:szCs w:val="28"/>
        </w:rPr>
        <w:t>Tracking Backup Power from Space: A Proxy-Label Approach to</w:t>
      </w:r>
    </w:p>
    <w:p w14:paraId="10EBAF8F" w14:textId="77777777" w:rsidR="00920FD4" w:rsidRDefault="00315FF7">
      <w:pPr>
        <w:spacing w:after="120" w:line="276" w:lineRule="auto"/>
        <w:jc w:val="center"/>
      </w:pPr>
      <w:r>
        <w:rPr>
          <w:rFonts w:eastAsia="Times New Roman"/>
          <w:b/>
          <w:bCs/>
          <w:sz w:val="28"/>
          <w:szCs w:val="28"/>
        </w:rPr>
        <w:t>Detecting Generator Activity during U.S. Disasters</w:t>
      </w:r>
    </w:p>
    <w:p w14:paraId="3CBAC030" w14:textId="77777777" w:rsidR="00920FD4" w:rsidRDefault="00315FF7">
      <w:pPr>
        <w:spacing w:after="60" w:line="276" w:lineRule="auto"/>
        <w:jc w:val="center"/>
      </w:pPr>
      <w:r>
        <w:rPr>
          <w:rFonts w:eastAsia="Times New Roman"/>
        </w:rPr>
        <w:t>Zhiyuan Zhao, Qiushi Yu</w:t>
      </w:r>
    </w:p>
    <w:p w14:paraId="636BD6F7" w14:textId="77777777" w:rsidR="00920FD4" w:rsidRDefault="00315FF7">
      <w:pPr>
        <w:spacing w:after="60" w:line="276" w:lineRule="auto"/>
        <w:jc w:val="center"/>
        <w:rPr>
          <w:rFonts w:eastAsia="Times New Roman"/>
        </w:rPr>
      </w:pPr>
      <w:r>
        <w:rPr>
          <w:rFonts w:eastAsia="Times New Roman"/>
        </w:rPr>
        <w:t>MUSA Capstone — Final Report</w:t>
      </w:r>
    </w:p>
    <w:p w14:paraId="03C372E4" w14:textId="435B1478" w:rsidR="00D753E5" w:rsidRPr="00D753E5" w:rsidRDefault="00D753E5">
      <w:pPr>
        <w:spacing w:after="60" w:line="276" w:lineRule="auto"/>
        <w:jc w:val="center"/>
        <w:rPr>
          <w:rFonts w:eastAsia="Times New Roman"/>
          <w:i/>
          <w:iCs/>
        </w:rPr>
      </w:pPr>
      <w:r>
        <w:t xml:space="preserve">GitHub Website: </w:t>
      </w:r>
      <w:r w:rsidRPr="00D753E5">
        <w:rPr>
          <w:rFonts w:eastAsia="Times New Roman"/>
          <w:i/>
          <w:iCs/>
        </w:rPr>
        <w:t>https://zhiyuanzhaomicheal.github.io/Practicum/</w:t>
      </w:r>
    </w:p>
    <w:p w14:paraId="3B22A04A" w14:textId="77777777" w:rsidR="00920FD4" w:rsidRDefault="00315FF7">
      <w:pPr>
        <w:spacing w:after="240" w:line="276" w:lineRule="auto"/>
        <w:jc w:val="center"/>
      </w:pPr>
      <w:r>
        <w:rPr>
          <w:rFonts w:eastAsia="Times New Roman"/>
          <w:i/>
          <w:iCs/>
        </w:rPr>
        <w:t xml:space="preserve">Advisor: Prof. </w:t>
      </w:r>
      <w:proofErr w:type="spellStart"/>
      <w:r>
        <w:rPr>
          <w:rFonts w:eastAsia="Times New Roman"/>
          <w:i/>
          <w:iCs/>
        </w:rPr>
        <w:t>Xiaojiang</w:t>
      </w:r>
      <w:proofErr w:type="spellEnd"/>
      <w:r>
        <w:rPr>
          <w:rFonts w:eastAsia="Times New Roman"/>
          <w:i/>
          <w:iCs/>
        </w:rPr>
        <w:t xml:space="preserve"> Li · Collaborators: Arizona State University &amp; Temple University</w:t>
      </w:r>
    </w:p>
    <w:p w14:paraId="3A6C1990" w14:textId="77777777" w:rsidR="00920FD4" w:rsidRDefault="00315FF7">
      <w:pPr>
        <w:spacing w:before="240" w:after="120" w:line="276" w:lineRule="auto"/>
      </w:pPr>
      <w:r>
        <w:rPr>
          <w:rFonts w:eastAsia="Times New Roman"/>
          <w:b/>
          <w:bCs/>
        </w:rPr>
        <w:t>1. Introduction</w:t>
      </w:r>
    </w:p>
    <w:p w14:paraId="601D8B9E" w14:textId="754007F5" w:rsidR="00920FD4" w:rsidRPr="00466B76" w:rsidRDefault="00315FF7" w:rsidP="00466B76">
      <w:pPr>
        <w:spacing w:after="120" w:line="276" w:lineRule="auto"/>
        <w:ind w:firstLine="360"/>
        <w:jc w:val="both"/>
        <w:rPr>
          <w:rFonts w:eastAsia="Times New Roman"/>
        </w:rPr>
      </w:pPr>
      <w:r>
        <w:rPr>
          <w:rFonts w:eastAsia="Times New Roman"/>
        </w:rPr>
        <w:t>When a hurricane crosses a U.S. city or an ice storm collapses a regional grid, millions of backup generators come online. They keep hospitals, airports, data centers, and shelter-of-last-resort facilities lit. They also emit nitrogen oxides and fine particulates into nearby neighborhoods at levels that almost never appear in official air-quality inventories. And despite their centrality to disaster resilience and to environmental justice, no public dataset records where these generators are or whether any given unit ran during any given outage (</w:t>
      </w:r>
      <w:proofErr w:type="spellStart"/>
      <w:r>
        <w:rPr>
          <w:rFonts w:eastAsia="Times New Roman"/>
        </w:rPr>
        <w:t>Tarroja</w:t>
      </w:r>
      <w:proofErr w:type="spellEnd"/>
      <w:r>
        <w:rPr>
          <w:rFonts w:eastAsia="Times New Roman"/>
        </w:rPr>
        <w:t xml:space="preserve"> et al., 2021).</w:t>
      </w:r>
    </w:p>
    <w:p w14:paraId="68821239" w14:textId="77777777" w:rsidR="00920FD4" w:rsidRDefault="00315FF7">
      <w:pPr>
        <w:spacing w:after="120" w:line="276" w:lineRule="auto"/>
        <w:ind w:firstLine="360"/>
        <w:jc w:val="both"/>
      </w:pPr>
      <w:r>
        <w:rPr>
          <w:rFonts w:eastAsia="Times New Roman"/>
        </w:rPr>
        <w:t>This invisibility is consequential in three ways. Energy-security planners cannot evaluate aggregate redundancy in the critical-facility network without knowing where backup capacity exists. Environmental regulators cannot match emissions hotspots to disaster-period operation without an asset-level inventory. Emergency managers cannot anticipate which blocks will retain light during the next outage without knowing which blocks have functional backup.</w:t>
      </w:r>
    </w:p>
    <w:p w14:paraId="61020F23" w14:textId="77777777" w:rsidR="00920FD4" w:rsidRDefault="00315FF7">
      <w:pPr>
        <w:spacing w:after="120" w:line="276" w:lineRule="auto"/>
        <w:ind w:firstLine="360"/>
        <w:jc w:val="both"/>
      </w:pPr>
      <w:r>
        <w:rPr>
          <w:rFonts w:eastAsia="Times New Roman"/>
        </w:rPr>
        <w:t>This report presents an end-to-end pipeline that uses NASA Black Marble VIIRS Day-Night Band imagery to estimate where backup-power activity was most likely during 25 historical U.S. disaster events from 2016 to 2023. The contribution is a per-pixel probability surface at 500-meter resolution, externally validated against the Miami-Dade County generator-permit registry, together with a ZIP-code-level equity analysis of the resulting predictions. The product is intended for planning decision support, not for individual-asset enforcement; a pixel score is an estimate of how closely the observed nighttime-light behavior aligns with backup-power retention, not a claim that any specific generator ran.</w:t>
      </w:r>
    </w:p>
    <w:p w14:paraId="270BAA47" w14:textId="77777777" w:rsidR="00920FD4" w:rsidRDefault="00315FF7">
      <w:pPr>
        <w:spacing w:before="240" w:after="120" w:line="276" w:lineRule="auto"/>
      </w:pPr>
      <w:r>
        <w:rPr>
          <w:rFonts w:eastAsia="Times New Roman"/>
          <w:b/>
          <w:bCs/>
        </w:rPr>
        <w:t>2. Related Work</w:t>
      </w:r>
    </w:p>
    <w:p w14:paraId="0590233D" w14:textId="77777777" w:rsidR="00920FD4" w:rsidRDefault="00315FF7">
      <w:pPr>
        <w:spacing w:after="120" w:line="276" w:lineRule="auto"/>
        <w:ind w:firstLine="360"/>
        <w:jc w:val="both"/>
      </w:pPr>
      <w:r>
        <w:rPr>
          <w:rFonts w:eastAsia="Times New Roman"/>
        </w:rPr>
        <w:t>Wang et al. (2018) pioneered the use of VIIRS Day-Night Band imagery to resolve disaster-scale blackouts, demonstrating in a Hurricane Maria case study that a per-pixel comparison between pre-storm and post-storm radiance recovers the spatial footprint of a power outage. Zhang et al. (2023) extended the temporal framing, showing that the post-disaster trajectory of nighttime-light recovery correlates with structural damage on the ground; their longitudinal lens is methodologically close to the one we adopt, but applied to damage rather than to backup power. Both lines of work answer a question of the form "where did the lights go out?"</w:t>
      </w:r>
    </w:p>
    <w:p w14:paraId="05A48C8B" w14:textId="77777777" w:rsidR="00920FD4" w:rsidRDefault="00315FF7">
      <w:pPr>
        <w:spacing w:after="120" w:line="276" w:lineRule="auto"/>
        <w:ind w:firstLine="360"/>
        <w:jc w:val="both"/>
      </w:pPr>
      <w:r>
        <w:rPr>
          <w:rFonts w:eastAsia="Times New Roman"/>
        </w:rPr>
        <w:t xml:space="preserve">The methodological foundation for any of these projects is Román et al. (2018), the NASA Black Marble VNP46 product paper, which established the atmospheric- and BRDF-correction pipeline that makes nightly radiance science possible at 500-meter resolution. Without these corrections, day-to-day brightness comparisons are dominated by atmospheric and viewing-angle effects rather than by human activity, and the pre-/post-event differencing strategy used throughout this report would be infeasible. On </w:t>
      </w:r>
      <w:r>
        <w:rPr>
          <w:rFonts w:eastAsia="Times New Roman"/>
        </w:rPr>
        <w:lastRenderedPageBreak/>
        <w:t xml:space="preserve">the policy side, </w:t>
      </w:r>
      <w:proofErr w:type="spellStart"/>
      <w:r>
        <w:rPr>
          <w:rFonts w:eastAsia="Times New Roman"/>
        </w:rPr>
        <w:t>Tarroja</w:t>
      </w:r>
      <w:proofErr w:type="spellEnd"/>
      <w:r>
        <w:rPr>
          <w:rFonts w:eastAsia="Times New Roman"/>
        </w:rPr>
        <w:t xml:space="preserve"> et al. (2021) quantified the cumulative emissions impact of distributed backup-power generation, establishing why a remote-sensing inventory of these assets has practical value beyond the methodological novelty.</w:t>
      </w:r>
    </w:p>
    <w:p w14:paraId="14B05883" w14:textId="77777777" w:rsidR="00920FD4" w:rsidRDefault="00315FF7">
      <w:pPr>
        <w:spacing w:after="120" w:line="276" w:lineRule="auto"/>
        <w:ind w:firstLine="360"/>
        <w:jc w:val="both"/>
      </w:pPr>
      <w:r>
        <w:rPr>
          <w:rFonts w:eastAsia="Times New Roman"/>
        </w:rPr>
        <w:t>Our contribution inverts the central question of the prior NTL-outage literature. Instead of asking where lights went out during a disaster, we ask where lights stayed on against the surrounding outage, and we train a pixel-level classifier on proxy labels to surface the answer. To the best of our knowledge no prior remote-sensing study has framed the problem this way.</w:t>
      </w:r>
    </w:p>
    <w:p w14:paraId="4C404CEA" w14:textId="77777777" w:rsidR="00920FD4" w:rsidRDefault="00315FF7">
      <w:pPr>
        <w:spacing w:before="240" w:after="120" w:line="276" w:lineRule="auto"/>
      </w:pPr>
      <w:r>
        <w:rPr>
          <w:rFonts w:eastAsia="Times New Roman"/>
          <w:b/>
          <w:bCs/>
        </w:rPr>
        <w:t>3. Data</w:t>
      </w:r>
    </w:p>
    <w:p w14:paraId="59D3971B" w14:textId="77777777" w:rsidR="00920FD4" w:rsidRDefault="00315FF7">
      <w:pPr>
        <w:spacing w:after="120" w:line="276" w:lineRule="auto"/>
        <w:jc w:val="both"/>
      </w:pPr>
      <w:r>
        <w:rPr>
          <w:rFonts w:eastAsia="Times New Roman"/>
        </w:rPr>
        <w:t>The pipeline integrates six datasets, summarized in Table 1. The labeled sample comprises approximately 33,700 pixels across 25 events spanning 17 U.S. states plus a comparison earthquake event in Türkiye, all between 2016 and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4140"/>
        <w:gridCol w:w="3600"/>
      </w:tblGrid>
      <w:tr w:rsidR="00920FD4" w14:paraId="4F3D43EE" w14:textId="77777777">
        <w:trPr>
          <w:tblHeader/>
        </w:trPr>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558C871" w14:textId="77777777" w:rsidR="00920FD4" w:rsidRDefault="00315FF7">
            <w:r>
              <w:rPr>
                <w:rFonts w:eastAsia="Times New Roman"/>
                <w:b/>
                <w:bCs/>
                <w:sz w:val="20"/>
                <w:szCs w:val="20"/>
              </w:rPr>
              <w:t>Data Type</w:t>
            </w:r>
          </w:p>
        </w:tc>
        <w:tc>
          <w:tcPr>
            <w:tcW w:w="41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A0E6486" w14:textId="77777777" w:rsidR="00920FD4" w:rsidRDefault="00315FF7">
            <w:r>
              <w:rPr>
                <w:rFonts w:eastAsia="Times New Roman"/>
                <w:b/>
                <w:bCs/>
                <w:sz w:val="20"/>
                <w:szCs w:val="20"/>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53361D6" w14:textId="77777777" w:rsidR="00920FD4" w:rsidRDefault="00315FF7">
            <w:r>
              <w:rPr>
                <w:rFonts w:eastAsia="Times New Roman"/>
                <w:b/>
                <w:bCs/>
                <w:sz w:val="20"/>
                <w:szCs w:val="20"/>
              </w:rPr>
              <w:t>Source / Coverage</w:t>
            </w:r>
          </w:p>
        </w:tc>
      </w:tr>
      <w:tr w:rsidR="00920FD4" w14:paraId="35097507" w14:textId="77777777">
        <w:tc>
          <w:tcPr>
            <w:tcW w:w="1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3DE98" w14:textId="77777777" w:rsidR="00920FD4" w:rsidRDefault="00315FF7">
            <w:r>
              <w:rPr>
                <w:rFonts w:eastAsia="Times New Roman"/>
                <w:sz w:val="20"/>
                <w:szCs w:val="20"/>
              </w:rPr>
              <w:t>NTL imagery</w:t>
            </w:r>
          </w:p>
        </w:tc>
        <w:tc>
          <w:tcPr>
            <w:tcW w:w="4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F64F5" w14:textId="77777777" w:rsidR="00920FD4" w:rsidRDefault="00315FF7">
            <w:r>
              <w:rPr>
                <w:rFonts w:eastAsia="Times New Roman"/>
                <w:sz w:val="20"/>
                <w:szCs w:val="20"/>
              </w:rPr>
              <w:t>Daily 500 m nighttime-light radiance (VNP46A2); BRDF- and atmosphere-corrected</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B0C885" w14:textId="77777777" w:rsidR="00920FD4" w:rsidRDefault="00315FF7">
            <w:r>
              <w:rPr>
                <w:rFonts w:eastAsia="Times New Roman"/>
                <w:sz w:val="20"/>
                <w:szCs w:val="20"/>
              </w:rPr>
              <w:t>NASA Black Marble; 2016–2023 event windows</w:t>
            </w:r>
          </w:p>
        </w:tc>
      </w:tr>
      <w:tr w:rsidR="00920FD4" w14:paraId="40FFA657" w14:textId="77777777">
        <w:tc>
          <w:tcPr>
            <w:tcW w:w="1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B57CC" w14:textId="77777777" w:rsidR="00920FD4" w:rsidRDefault="00315FF7">
            <w:r>
              <w:rPr>
                <w:rFonts w:eastAsia="Times New Roman"/>
                <w:sz w:val="20"/>
                <w:szCs w:val="20"/>
              </w:rPr>
              <w:t>Power outages</w:t>
            </w:r>
          </w:p>
        </w:tc>
        <w:tc>
          <w:tcPr>
            <w:tcW w:w="4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4072C" w14:textId="77777777" w:rsidR="00920FD4" w:rsidRDefault="00315FF7">
            <w:r>
              <w:rPr>
                <w:rFonts w:eastAsia="Times New Roman"/>
                <w:sz w:val="20"/>
                <w:szCs w:val="20"/>
              </w:rPr>
              <w:t>County-level customer-hours of power loss; used as the closed-loop validation outcome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4098F" w14:textId="77777777" w:rsidR="00920FD4" w:rsidRDefault="00315FF7">
            <w:r>
              <w:rPr>
                <w:rFonts w:eastAsia="Times New Roman"/>
                <w:sz w:val="20"/>
                <w:szCs w:val="20"/>
              </w:rPr>
              <w:t>EAGLE-I (U.S. Department of Energy)</w:t>
            </w:r>
          </w:p>
        </w:tc>
      </w:tr>
      <w:tr w:rsidR="00920FD4" w14:paraId="451A6670" w14:textId="77777777">
        <w:tc>
          <w:tcPr>
            <w:tcW w:w="1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9D26F5" w14:textId="77777777" w:rsidR="00920FD4" w:rsidRDefault="00315FF7">
            <w:r>
              <w:rPr>
                <w:rFonts w:eastAsia="Times New Roman"/>
                <w:sz w:val="20"/>
                <w:szCs w:val="20"/>
              </w:rPr>
              <w:t>Critical facilities</w:t>
            </w:r>
          </w:p>
        </w:tc>
        <w:tc>
          <w:tcPr>
            <w:tcW w:w="4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EC4630" w14:textId="77777777" w:rsidR="00920FD4" w:rsidRDefault="00315FF7">
            <w:r>
              <w:rPr>
                <w:rFonts w:eastAsia="Times New Roman"/>
                <w:sz w:val="20"/>
                <w:szCs w:val="20"/>
              </w:rPr>
              <w:t>Hospitals, airports, fire and police stations, power plants — used only as a proxy-label source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DA0B1" w14:textId="77777777" w:rsidR="00920FD4" w:rsidRDefault="00315FF7">
            <w:r>
              <w:rPr>
                <w:rFonts w:eastAsia="Times New Roman"/>
                <w:sz w:val="20"/>
                <w:szCs w:val="20"/>
              </w:rPr>
              <w:t>OpenStreetMap POI export, 2024</w:t>
            </w:r>
          </w:p>
        </w:tc>
      </w:tr>
      <w:tr w:rsidR="00920FD4" w14:paraId="4984D886" w14:textId="77777777">
        <w:tc>
          <w:tcPr>
            <w:tcW w:w="1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8C31C" w14:textId="77777777" w:rsidR="00920FD4" w:rsidRDefault="00315FF7">
            <w:r>
              <w:rPr>
                <w:rFonts w:eastAsia="Times New Roman"/>
                <w:sz w:val="20"/>
                <w:szCs w:val="20"/>
              </w:rPr>
              <w:t>Socioeconomics</w:t>
            </w:r>
          </w:p>
        </w:tc>
        <w:tc>
          <w:tcPr>
            <w:tcW w:w="4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C1DCA5" w14:textId="77777777" w:rsidR="00920FD4" w:rsidRDefault="00315FF7">
            <w:r>
              <w:rPr>
                <w:rFonts w:eastAsia="Times New Roman"/>
                <w:sz w:val="20"/>
                <w:szCs w:val="20"/>
              </w:rPr>
              <w:t>Population density, median household income, ZCTA boundaries for the equity regression</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3A66C1" w14:textId="77777777" w:rsidR="00920FD4" w:rsidRDefault="00315FF7">
            <w:r>
              <w:rPr>
                <w:rFonts w:eastAsia="Times New Roman"/>
                <w:sz w:val="20"/>
                <w:szCs w:val="20"/>
              </w:rPr>
              <w:t>U.S. Census ACS 5-year, 2022</w:t>
            </w:r>
          </w:p>
        </w:tc>
      </w:tr>
      <w:tr w:rsidR="00920FD4" w14:paraId="03DFD66A" w14:textId="77777777">
        <w:tc>
          <w:tcPr>
            <w:tcW w:w="1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3616D" w14:textId="77777777" w:rsidR="00920FD4" w:rsidRDefault="00315FF7">
            <w:r>
              <w:rPr>
                <w:rFonts w:eastAsia="Times New Roman"/>
                <w:sz w:val="20"/>
                <w:szCs w:val="20"/>
              </w:rPr>
              <w:t>Hurricane tracks</w:t>
            </w:r>
          </w:p>
        </w:tc>
        <w:tc>
          <w:tcPr>
            <w:tcW w:w="4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D56C8" w14:textId="77777777" w:rsidR="00920FD4" w:rsidRDefault="00315FF7">
            <w:r>
              <w:rPr>
                <w:rFonts w:eastAsia="Times New Roman"/>
                <w:sz w:val="20"/>
                <w:szCs w:val="20"/>
              </w:rPr>
              <w:t>Per-event peak wind exposure as an event-severity control</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A71BBB" w14:textId="77777777" w:rsidR="00920FD4" w:rsidRDefault="00315FF7">
            <w:proofErr w:type="spellStart"/>
            <w:r>
              <w:rPr>
                <w:rFonts w:eastAsia="Times New Roman"/>
                <w:sz w:val="20"/>
                <w:szCs w:val="20"/>
              </w:rPr>
              <w:t>IBTrACS</w:t>
            </w:r>
            <w:proofErr w:type="spellEnd"/>
            <w:r>
              <w:rPr>
                <w:rFonts w:eastAsia="Times New Roman"/>
                <w:sz w:val="20"/>
                <w:szCs w:val="20"/>
              </w:rPr>
              <w:t xml:space="preserve"> v4 (NOAA NCEI)</w:t>
            </w:r>
          </w:p>
        </w:tc>
      </w:tr>
      <w:tr w:rsidR="00920FD4" w14:paraId="4760B28B" w14:textId="77777777">
        <w:tc>
          <w:tcPr>
            <w:tcW w:w="1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14F30" w14:textId="77777777" w:rsidR="00920FD4" w:rsidRDefault="00315FF7">
            <w:r>
              <w:rPr>
                <w:rFonts w:eastAsia="Times New Roman"/>
                <w:sz w:val="20"/>
                <w:szCs w:val="20"/>
              </w:rPr>
              <w:t>Built environment</w:t>
            </w:r>
          </w:p>
        </w:tc>
        <w:tc>
          <w:tcPr>
            <w:tcW w:w="4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7C47F" w14:textId="77777777" w:rsidR="00920FD4" w:rsidRDefault="00315FF7">
            <w:r>
              <w:rPr>
                <w:rFonts w:eastAsia="Times New Roman"/>
                <w:sz w:val="20"/>
                <w:szCs w:val="20"/>
              </w:rPr>
              <w:t>Building footprints; density and morphology context features</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A10BB" w14:textId="77777777" w:rsidR="00920FD4" w:rsidRDefault="00315FF7">
            <w:r>
              <w:rPr>
                <w:rFonts w:eastAsia="Times New Roman"/>
                <w:sz w:val="20"/>
                <w:szCs w:val="20"/>
              </w:rPr>
              <w:t>Microsoft Building Footprints (U.S.)</w:t>
            </w:r>
          </w:p>
        </w:tc>
      </w:tr>
    </w:tbl>
    <w:p w14:paraId="63AE6BD1" w14:textId="77777777" w:rsidR="00920FD4" w:rsidRDefault="00315FF7">
      <w:pPr>
        <w:spacing w:before="60" w:after="200" w:line="276" w:lineRule="auto"/>
        <w:jc w:val="center"/>
      </w:pPr>
      <w:r>
        <w:rPr>
          <w:rFonts w:eastAsia="Times New Roman"/>
          <w:i/>
          <w:iCs/>
          <w:sz w:val="20"/>
          <w:szCs w:val="20"/>
        </w:rPr>
        <w:t>Table 1. Overview of Data Sources</w:t>
      </w:r>
    </w:p>
    <w:p w14:paraId="356B0B4A" w14:textId="77777777" w:rsidR="00920FD4" w:rsidRDefault="00315FF7">
      <w:pPr>
        <w:spacing w:after="120" w:line="276" w:lineRule="auto"/>
        <w:ind w:firstLine="360"/>
        <w:jc w:val="both"/>
      </w:pPr>
      <w:r>
        <w:rPr>
          <w:rFonts w:eastAsia="Times New Roman"/>
        </w:rPr>
        <w:t xml:space="preserve">Pixels with poor gap-fill quality on the VNP46A2 cloud-mask flag are excluded before computing the pre-event baseline. EAGLE-I outage records are aggregated to the ZIP-Code Tabulation Area (ZCTA) level for closed-loop validation. OpenStreetMap critical-facility points are quality-checked against state licensing records where available. </w:t>
      </w:r>
      <w:proofErr w:type="spellStart"/>
      <w:r>
        <w:rPr>
          <w:rFonts w:eastAsia="Times New Roman"/>
        </w:rPr>
        <w:t>IBTrACS</w:t>
      </w:r>
      <w:proofErr w:type="spellEnd"/>
      <w:r>
        <w:rPr>
          <w:rFonts w:eastAsia="Times New Roman"/>
        </w:rPr>
        <w:t xml:space="preserve"> supplies per-event peak wind exposure as a hurricane-severity control, ACS 2022 provides socioeconomic controls for the equity regression, and Microsoft Building Footprints supply built-environment context for the Stage 2 features.</w:t>
      </w:r>
    </w:p>
    <w:p w14:paraId="669CF1F8" w14:textId="77777777" w:rsidR="00920FD4" w:rsidRDefault="00315FF7">
      <w:pPr>
        <w:spacing w:before="240" w:after="120" w:line="276" w:lineRule="auto"/>
      </w:pPr>
      <w:r>
        <w:rPr>
          <w:rFonts w:eastAsia="Times New Roman"/>
          <w:b/>
          <w:bCs/>
        </w:rPr>
        <w:t>4. Methods</w:t>
      </w:r>
    </w:p>
    <w:p w14:paraId="2DFB9A00" w14:textId="77777777" w:rsidR="00920FD4" w:rsidRDefault="00315FF7">
      <w:pPr>
        <w:spacing w:before="180" w:after="100" w:line="276" w:lineRule="auto"/>
      </w:pPr>
      <w:r>
        <w:rPr>
          <w:rFonts w:eastAsia="Times New Roman"/>
          <w:b/>
          <w:bCs/>
        </w:rPr>
        <w:t>4.1 Proxy-Label Construction</w:t>
      </w:r>
    </w:p>
    <w:p w14:paraId="284FC2D9" w14:textId="765D3559" w:rsidR="00920FD4" w:rsidRDefault="00315FF7">
      <w:pPr>
        <w:spacing w:after="120" w:line="276" w:lineRule="auto"/>
        <w:ind w:firstLine="360"/>
        <w:jc w:val="both"/>
      </w:pPr>
      <w:r>
        <w:rPr>
          <w:rFonts w:eastAsia="Times New Roman"/>
        </w:rPr>
        <w:t xml:space="preserve">Direct supervision is impossible: no public registry records whether any specific generator operated during any specific outage. We resolve the labeling gap by exploiting U.S. building codes that mandate backup generators at hospitals, airports, fire and police stations, and large power plants. Pixels within a 750–1,250 m buffer of these legally mandated facilities are treated as proxy positives; all other pixels are </w:t>
      </w:r>
      <w:r>
        <w:rPr>
          <w:rFonts w:eastAsia="Times New Roman"/>
        </w:rPr>
        <w:lastRenderedPageBreak/>
        <w:t>controls. This is a labeling strategy, not a study of facilities themselves</w:t>
      </w:r>
      <w:r w:rsidR="002E1DFA">
        <w:rPr>
          <w:rFonts w:eastAsia="Times New Roman"/>
        </w:rPr>
        <w:t>. F</w:t>
      </w:r>
      <w:r>
        <w:rPr>
          <w:rFonts w:eastAsia="Times New Roman"/>
        </w:rPr>
        <w:t>acility locations supply labels, and the model is constrained to learn nighttime-light features that generalize beyond the buffer.</w:t>
      </w:r>
    </w:p>
    <w:p w14:paraId="16F2D84D" w14:textId="77777777" w:rsidR="00920FD4" w:rsidRDefault="00315FF7">
      <w:pPr>
        <w:spacing w:before="180" w:after="100" w:line="276" w:lineRule="auto"/>
      </w:pPr>
      <w:r>
        <w:rPr>
          <w:rFonts w:eastAsia="Times New Roman"/>
          <w:b/>
          <w:bCs/>
        </w:rPr>
        <w:t>4.2 Resilience Ratio and Feature Engineering</w:t>
      </w:r>
    </w:p>
    <w:p w14:paraId="7D60B0CD" w14:textId="544E48BC" w:rsidR="00920FD4" w:rsidRDefault="00315FF7">
      <w:pPr>
        <w:spacing w:after="120" w:line="276" w:lineRule="auto"/>
        <w:ind w:firstLine="360"/>
        <w:jc w:val="both"/>
      </w:pPr>
      <w:r>
        <w:rPr>
          <w:rFonts w:eastAsia="Times New Roman"/>
        </w:rPr>
        <w:t xml:space="preserve">For each event, a Business-As-Usual (BAU) baseline is computed as the per-pixel temporal median of pre-disaster nighttime radiance over a 30-day window; the median, rather than the mean, suppresses cloudy outliers. A per-pixel, per-day Resilience Ratio </w:t>
      </w:r>
      <m:oMath>
        <m:r>
          <w:rPr>
            <w:rFonts w:ascii="Cambria Math" w:eastAsia="Times New Roman" w:hAnsi="Cambria Math"/>
          </w:rPr>
          <m:t>R=</m:t>
        </m:r>
        <m:sSub>
          <m:sSubPr>
            <m:ctrlPr>
              <w:rPr>
                <w:rFonts w:ascii="Cambria Math" w:eastAsia="Times New Roman" w:hAnsi="Cambria Math"/>
                <w:i/>
              </w:rPr>
            </m:ctrlPr>
          </m:sSubPr>
          <m:e>
            <m:r>
              <w:rPr>
                <w:rFonts w:ascii="Cambria Math" w:eastAsia="Times New Roman" w:hAnsi="Cambria Math"/>
              </w:rPr>
              <m:t>NTL</m:t>
            </m:r>
          </m:e>
          <m:sub>
            <m:r>
              <w:rPr>
                <w:rFonts w:ascii="Cambria Math" w:eastAsia="Times New Roman" w:hAnsi="Cambria Math" w:hint="eastAsia"/>
              </w:rPr>
              <m:t>post</m:t>
            </m:r>
            <m:r>
              <w:rPr>
                <w:rFonts w:ascii="SimSun" w:eastAsia="SimSun" w:hAnsi="SimSun" w:cs="SimSun" w:hint="eastAsia"/>
              </w:rPr>
              <m:t>，</m:t>
            </m:r>
            <m:r>
              <w:rPr>
                <w:rFonts w:ascii="Cambria Math" w:eastAsia="SimSun" w:hAnsi="SimSun" w:cs="SimSun" w:hint="eastAsia"/>
              </w:rPr>
              <m:t>day</m:t>
            </m:r>
          </m:sub>
        </m:sSub>
        <m:r>
          <w:rPr>
            <w:rFonts w:ascii="Cambria Math" w:eastAsia="Times New Roman" w:hAnsi="Cambria Math"/>
          </w:rPr>
          <m:t>/BAU</m:t>
        </m:r>
      </m:oMath>
      <w:r>
        <w:rPr>
          <w:rFonts w:eastAsia="Times New Roman"/>
        </w:rPr>
        <w:t xml:space="preserve"> summarizes daily brightness retention, and an event-window Resilience Advantage </w:t>
      </w:r>
      <m:oMath>
        <m:r>
          <w:rPr>
            <w:rFonts w:ascii="Cambria Math" w:eastAsia="Times New Roman" w:hAnsi="Cambria Math"/>
          </w:rPr>
          <m:t>RA=</m:t>
        </m:r>
        <w:bookmarkStart w:id="0" w:name="OLE_LINK1"/>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buffer</m:t>
            </m:r>
          </m:sub>
        </m:sSub>
        <w:bookmarkEnd w:id="0"/>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non-buffer</m:t>
            </m:r>
          </m:sub>
        </m:sSub>
      </m:oMath>
      <w:r>
        <w:rPr>
          <w:rFonts w:eastAsia="Times New Roman"/>
        </w:rPr>
        <w:t xml:space="preserve"> captures the core hypothesis that buffer pixels retain more brightness than their surroundings. The predictive feature set is restricted to ten variables in four families: NTL behavior (drop_magnitude, delta_ntl, log_pre_ntl, log_post_ntl), city scaling (log_city_pre_mean, ntl_relative), floor effect (below_city_median), and disaster context (city_size_code, is_hurricane, is_earthquake).</w:t>
      </w:r>
    </w:p>
    <w:p w14:paraId="016B9679" w14:textId="77777777" w:rsidR="00920FD4" w:rsidRDefault="00315FF7">
      <w:pPr>
        <w:spacing w:before="180" w:after="100" w:line="276" w:lineRule="auto"/>
      </w:pPr>
      <w:r>
        <w:rPr>
          <w:rFonts w:eastAsia="Times New Roman"/>
          <w:b/>
          <w:bCs/>
        </w:rPr>
        <w:t>4.3 Statistical Triangulation</w:t>
      </w:r>
    </w:p>
    <w:p w14:paraId="177845F3" w14:textId="77777777" w:rsidR="00920FD4" w:rsidRDefault="00315FF7">
      <w:pPr>
        <w:spacing w:after="120" w:line="276" w:lineRule="auto"/>
        <w:ind w:firstLine="360"/>
        <w:jc w:val="both"/>
      </w:pPr>
      <w:r>
        <w:rPr>
          <w:rFonts w:eastAsia="Times New Roman"/>
        </w:rPr>
        <w:t xml:space="preserve">Before fitting any predictive model, four classical models attack the same hypothesis from different angles: OLS, </w:t>
      </w:r>
      <w:proofErr w:type="spellStart"/>
      <w:r>
        <w:rPr>
          <w:rFonts w:eastAsia="Times New Roman"/>
        </w:rPr>
        <w:t>MixedLM</w:t>
      </w:r>
      <w:proofErr w:type="spellEnd"/>
      <w:r>
        <w:rPr>
          <w:rFonts w:eastAsia="Times New Roman"/>
        </w:rPr>
        <w:t xml:space="preserve"> with event-level random effects, logistic regression on a binary brightness-loss outcome, and Cox proportional-hazards on time-to-recovery. The four results are designed to converge or to disagree, and the resulting interpretive findings directly shaped the predictive feature set: the floor effect motivated </w:t>
      </w:r>
      <w:proofErr w:type="spellStart"/>
      <w:r>
        <w:rPr>
          <w:rFonts w:eastAsia="Times New Roman"/>
        </w:rPr>
        <w:t>below_city_median</w:t>
      </w:r>
      <w:proofErr w:type="spellEnd"/>
      <w:r>
        <w:rPr>
          <w:rFonts w:eastAsia="Times New Roman"/>
        </w:rPr>
        <w:t xml:space="preserve">, city heterogeneity motivated </w:t>
      </w:r>
      <w:proofErr w:type="spellStart"/>
      <w:r>
        <w:rPr>
          <w:rFonts w:eastAsia="Times New Roman"/>
        </w:rPr>
        <w:t>city_size_code</w:t>
      </w:r>
      <w:proofErr w:type="spellEnd"/>
      <w:r>
        <w:rPr>
          <w:rFonts w:eastAsia="Times New Roman"/>
        </w:rPr>
        <w:t xml:space="preserve"> and </w:t>
      </w:r>
      <w:proofErr w:type="spellStart"/>
      <w:r>
        <w:rPr>
          <w:rFonts w:eastAsia="Times New Roman"/>
        </w:rPr>
        <w:t>ntl_relative</w:t>
      </w:r>
      <w:proofErr w:type="spellEnd"/>
      <w:r>
        <w:rPr>
          <w:rFonts w:eastAsia="Times New Roman"/>
        </w:rPr>
        <w:t xml:space="preserve">, and disaster-type variation motivated the </w:t>
      </w:r>
      <w:proofErr w:type="spellStart"/>
      <w:r>
        <w:rPr>
          <w:rFonts w:eastAsia="Times New Roman"/>
        </w:rPr>
        <w:t>is_hurricane</w:t>
      </w:r>
      <w:proofErr w:type="spellEnd"/>
      <w:r>
        <w:rPr>
          <w:rFonts w:eastAsia="Times New Roman"/>
        </w:rPr>
        <w:t xml:space="preserve"> and </w:t>
      </w:r>
      <w:proofErr w:type="spellStart"/>
      <w:r>
        <w:rPr>
          <w:rFonts w:eastAsia="Times New Roman"/>
        </w:rPr>
        <w:t>is_earthquake</w:t>
      </w:r>
      <w:proofErr w:type="spellEnd"/>
      <w:r>
        <w:rPr>
          <w:rFonts w:eastAsia="Times New Roman"/>
        </w:rPr>
        <w:t xml:space="preserve"> indicators.</w:t>
      </w:r>
    </w:p>
    <w:p w14:paraId="7C203246" w14:textId="77777777" w:rsidR="00920FD4" w:rsidRDefault="00315FF7">
      <w:pPr>
        <w:spacing w:before="180" w:after="100" w:line="276" w:lineRule="auto"/>
      </w:pPr>
      <w:r>
        <w:rPr>
          <w:rFonts w:eastAsia="Times New Roman"/>
          <w:b/>
          <w:bCs/>
        </w:rPr>
        <w:t>4.4 Predictive Ensemble</w:t>
      </w:r>
    </w:p>
    <w:p w14:paraId="7A359934" w14:textId="56F4D379" w:rsidR="00920FD4" w:rsidRDefault="00315FF7">
      <w:pPr>
        <w:spacing w:after="120" w:line="276" w:lineRule="auto"/>
        <w:ind w:firstLine="360"/>
        <w:jc w:val="both"/>
      </w:pPr>
      <w:r>
        <w:rPr>
          <w:rFonts w:eastAsia="Times New Roman"/>
        </w:rPr>
        <w:t xml:space="preserve">The pure-NTL classifier is a weighted ensemble of Random Forest and </w:t>
      </w:r>
      <w:proofErr w:type="spellStart"/>
      <w:r>
        <w:rPr>
          <w:rFonts w:eastAsia="Times New Roman"/>
        </w:rPr>
        <w:t>XGBoost</w:t>
      </w:r>
      <w:proofErr w:type="spellEnd"/>
      <w:r>
        <w:rPr>
          <w:rFonts w:eastAsia="Times New Roman"/>
        </w:rPr>
        <w:t xml:space="preserve">, P = 0.7 · P_RF + 0.3 · P_XGB. </w:t>
      </w:r>
      <w:r w:rsidR="00F60685">
        <w:rPr>
          <w:rFonts w:eastAsia="Times New Roman"/>
        </w:rPr>
        <w:t>The classifier detects no spatial proximity to facilities or facility type, only behavior in the radiance time series.</w:t>
      </w:r>
      <w:r>
        <w:rPr>
          <w:rFonts w:eastAsia="Times New Roman"/>
        </w:rPr>
        <w:t xml:space="preserve"> Performance is assessed using stratified Leave-One-Event-Out (LOEO) cross-validation across the 25 events; AUC, rather than accuracy, is the primary metric because of the class imbalance produced by proxy labeling.</w:t>
      </w:r>
    </w:p>
    <w:p w14:paraId="75436C61" w14:textId="77777777" w:rsidR="00920FD4" w:rsidRDefault="00315FF7">
      <w:pPr>
        <w:spacing w:before="180" w:after="100" w:line="276" w:lineRule="auto"/>
      </w:pPr>
      <w:r>
        <w:rPr>
          <w:rFonts w:eastAsia="Times New Roman"/>
          <w:b/>
          <w:bCs/>
        </w:rPr>
        <w:t>4.5 ZIP-Code Aggregation and Equity Analysis</w:t>
      </w:r>
    </w:p>
    <w:p w14:paraId="36A1B542" w14:textId="4F083AA1" w:rsidR="00920FD4" w:rsidRDefault="00315FF7">
      <w:pPr>
        <w:spacing w:after="120" w:line="276" w:lineRule="auto"/>
        <w:ind w:firstLine="360"/>
        <w:jc w:val="both"/>
      </w:pPr>
      <w:r>
        <w:rPr>
          <w:rFonts w:eastAsia="Times New Roman"/>
        </w:rPr>
        <w:t xml:space="preserve">Pixel-level predictions are aggregated to ZCTA level, producing 1,002 ZIP–event observations across 22 disasters in 19 states. </w:t>
      </w:r>
      <w:r w:rsidR="00F60685" w:rsidRPr="00F60685">
        <w:rPr>
          <w:rFonts w:eastAsia="Times New Roman"/>
        </w:rPr>
        <w:t xml:space="preserve">Three within-event regressions and one between-event descriptive check evaluate deployment, spatial robustness, outage validity, and equity, while </w:t>
      </w:r>
      <w:r w:rsidR="00F60685">
        <w:rPr>
          <w:rFonts w:eastAsia="Times New Roman" w:hint="eastAsia"/>
        </w:rPr>
        <w:t>controlling</w:t>
      </w:r>
      <w:r w:rsidR="00F60685" w:rsidRPr="00F60685">
        <w:rPr>
          <w:rFonts w:eastAsia="Times New Roman"/>
        </w:rPr>
        <w:t xml:space="preserve"> for population density, income, hurricane wind exposure, and event fixed effects throughout.</w:t>
      </w:r>
    </w:p>
    <w:p w14:paraId="74B36DBB" w14:textId="77777777" w:rsidR="00920FD4" w:rsidRDefault="00315FF7">
      <w:pPr>
        <w:spacing w:before="240" w:after="120" w:line="276" w:lineRule="auto"/>
      </w:pPr>
      <w:r>
        <w:rPr>
          <w:rFonts w:eastAsia="Times New Roman"/>
          <w:b/>
          <w:bCs/>
        </w:rPr>
        <w:t>5. Results</w:t>
      </w:r>
    </w:p>
    <w:p w14:paraId="22858716" w14:textId="77777777" w:rsidR="00920FD4" w:rsidRDefault="00315FF7">
      <w:pPr>
        <w:spacing w:before="180" w:after="100" w:line="276" w:lineRule="auto"/>
      </w:pPr>
      <w:r>
        <w:rPr>
          <w:rFonts w:eastAsia="Times New Roman"/>
          <w:b/>
          <w:bCs/>
        </w:rPr>
        <w:t>5.1 Statistical Evidence</w:t>
      </w:r>
    </w:p>
    <w:p w14:paraId="779C1CE6" w14:textId="77777777" w:rsidR="00920FD4" w:rsidRDefault="00315FF7">
      <w:pPr>
        <w:spacing w:after="120" w:line="276" w:lineRule="auto"/>
        <w:ind w:firstLine="360"/>
        <w:jc w:val="both"/>
      </w:pPr>
      <w:r>
        <w:rPr>
          <w:rFonts w:eastAsia="Times New Roman"/>
        </w:rPr>
        <w:t>The four classical models converge: pixels near critical facilities decline by approximately 2.8 percent less than non-buffer pixels (</w:t>
      </w:r>
      <w:proofErr w:type="spellStart"/>
      <w:r>
        <w:rPr>
          <w:rFonts w:eastAsia="Times New Roman"/>
        </w:rPr>
        <w:t>MixedLM</w:t>
      </w:r>
      <w:proofErr w:type="spellEnd"/>
      <w:r>
        <w:rPr>
          <w:rFonts w:eastAsia="Times New Roman"/>
        </w:rPr>
        <w:t xml:space="preserve"> β = +0.028, p = 0.020), are 32 percent less likely to lose more than half their pre-disaster brightness (OR = 0.68, p &lt; 0.001), and recover 13 percent faster (HR = 1.13, p &lt; 0.001). All four models reach statistical significance at p &lt; 0.05, and the directional agreement across heterogeneous specifications is the strongest pre-modeling evidence that the resilience signal is real rather than an artifact of any single model.</w:t>
      </w:r>
    </w:p>
    <w:p w14:paraId="3B0D8F74" w14:textId="77777777" w:rsidR="00920FD4" w:rsidRDefault="00315FF7">
      <w:pPr>
        <w:spacing w:before="180" w:after="100" w:line="276" w:lineRule="auto"/>
      </w:pPr>
      <w:r>
        <w:rPr>
          <w:rFonts w:eastAsia="Times New Roman"/>
          <w:b/>
          <w:bCs/>
        </w:rPr>
        <w:t>5.2 Predictive Performance</w:t>
      </w:r>
    </w:p>
    <w:p w14:paraId="12451E33" w14:textId="1B2CC1B9" w:rsidR="00920FD4" w:rsidRDefault="00315FF7">
      <w:pPr>
        <w:spacing w:after="120" w:line="276" w:lineRule="auto"/>
        <w:ind w:firstLine="360"/>
        <w:jc w:val="both"/>
      </w:pPr>
      <w:r>
        <w:rPr>
          <w:rFonts w:eastAsia="Times New Roman"/>
        </w:rPr>
        <w:lastRenderedPageBreak/>
        <w:t xml:space="preserve">The ensemble reaches a mean LOEO AUC of 0.704 across the 25 events, with feature importance dominated by </w:t>
      </w:r>
      <w:proofErr w:type="spellStart"/>
      <w:r>
        <w:rPr>
          <w:rFonts w:eastAsia="Times New Roman"/>
        </w:rPr>
        <w:t>drop_magnitude</w:t>
      </w:r>
      <w:proofErr w:type="spellEnd"/>
      <w:r>
        <w:rPr>
          <w:rFonts w:eastAsia="Times New Roman"/>
        </w:rPr>
        <w:t xml:space="preserve"> and </w:t>
      </w:r>
      <w:proofErr w:type="spellStart"/>
      <w:r>
        <w:rPr>
          <w:rFonts w:eastAsia="Times New Roman"/>
        </w:rPr>
        <w:t>ntl_relative</w:t>
      </w:r>
      <w:proofErr w:type="spellEnd"/>
      <w:r>
        <w:rPr>
          <w:rFonts w:eastAsia="Times New Roman"/>
        </w:rPr>
        <w:t xml:space="preserve">. </w:t>
      </w:r>
      <w:r w:rsidR="00F60685" w:rsidRPr="00F60685">
        <w:rPr>
          <w:rFonts w:eastAsia="Times New Roman"/>
        </w:rPr>
        <w:t>The model's performance is consistent across hurricanes, winter storms, and the comparison earthquake; it generalizes rather than memorizing event-specific patterns.</w:t>
      </w:r>
    </w:p>
    <w:p w14:paraId="00A441D4" w14:textId="77777777" w:rsidR="00920FD4" w:rsidRDefault="00315FF7">
      <w:pPr>
        <w:spacing w:before="180" w:after="100" w:line="276" w:lineRule="auto"/>
      </w:pPr>
      <w:r>
        <w:rPr>
          <w:rFonts w:eastAsia="Times New Roman"/>
          <w:b/>
          <w:bCs/>
        </w:rPr>
        <w:t>5.3 External Validation</w:t>
      </w:r>
    </w:p>
    <w:p w14:paraId="387E1771" w14:textId="77777777" w:rsidR="00920FD4" w:rsidRDefault="00315FF7">
      <w:pPr>
        <w:spacing w:after="120" w:line="276" w:lineRule="auto"/>
        <w:ind w:firstLine="360"/>
        <w:jc w:val="both"/>
      </w:pPr>
      <w:r>
        <w:rPr>
          <w:rFonts w:eastAsia="Times New Roman"/>
        </w:rPr>
        <w:t>The Miami-Dade County permit registry provided 148 verified generator addresses overlapping the Hurricane Irma probability surface. The split is decisive: 83 percent of commercial permits (n = 30) lie above the event median probability, and all 30 lie above 0.5; only 14 percent of residential permits (n = 118) lie above the event median. The model recovers commercial-scale backup power with high confidence, while residential-scale generators are below a 500-meter detection floor that is a hardware constraint rather than a model failure.</w:t>
      </w:r>
    </w:p>
    <w:p w14:paraId="58561115" w14:textId="77777777" w:rsidR="00920FD4" w:rsidRDefault="00315FF7">
      <w:pPr>
        <w:spacing w:before="180" w:after="100" w:line="276" w:lineRule="auto"/>
      </w:pPr>
      <w:r>
        <w:rPr>
          <w:rFonts w:eastAsia="Times New Roman"/>
          <w:b/>
          <w:bCs/>
        </w:rPr>
        <w:t>5.4 ZIP-Code and Equity Findings</w:t>
      </w:r>
    </w:p>
    <w:p w14:paraId="78DA3F6C" w14:textId="77777777" w:rsidR="00920FD4" w:rsidRDefault="00315FF7">
      <w:pPr>
        <w:spacing w:after="120" w:line="276" w:lineRule="auto"/>
        <w:ind w:firstLine="360"/>
        <w:jc w:val="both"/>
      </w:pPr>
      <w:r>
        <w:rPr>
          <w:rFonts w:eastAsia="Times New Roman"/>
        </w:rPr>
        <w:t>Three convergent within-event findings: (</w:t>
      </w:r>
      <w:proofErr w:type="spellStart"/>
      <w:r>
        <w:rPr>
          <w:rFonts w:eastAsia="Times New Roman"/>
        </w:rPr>
        <w:t>i</w:t>
      </w:r>
      <w:proofErr w:type="spellEnd"/>
      <w:r>
        <w:rPr>
          <w:rFonts w:eastAsia="Times New Roman"/>
        </w:rPr>
        <w:t>) denser-facility ZIPs have higher backup probability after controlling for population density and income (OLS with event FEs, β = +0.049, R² = 0.747); (ii) the facility effect persists under a k-nearest-neighbor spatial error model (β = +0.021, λ = 0.902); (iii) ZIPs predicted to have more backup also see more severe utility-reported outages (closed-loop check against EAGLE-I customer-hours, β_std = +0.08, p = 0.012). Between events, a descriptive equity gap emerges: the events that hit hardest land on facility-sparse ZIPs (high-outage ZIPs have ~37 percent fewer critical facilities, t = 2.56, p = 0.011), and median income alone does not explain the pattern (p = 0.233).</w:t>
      </w:r>
    </w:p>
    <w:p w14:paraId="67C0088B" w14:textId="77777777" w:rsidR="00920FD4" w:rsidRDefault="00315FF7">
      <w:pPr>
        <w:spacing w:before="240" w:after="120" w:line="276" w:lineRule="auto"/>
      </w:pPr>
      <w:r>
        <w:rPr>
          <w:rFonts w:eastAsia="Times New Roman"/>
          <w:b/>
          <w:bCs/>
        </w:rPr>
        <w:t>6. Discussion</w:t>
      </w:r>
    </w:p>
    <w:p w14:paraId="4D14B581" w14:textId="77777777" w:rsidR="00920FD4" w:rsidRDefault="00315FF7">
      <w:pPr>
        <w:spacing w:after="120" w:line="276" w:lineRule="auto"/>
        <w:ind w:firstLine="360"/>
        <w:jc w:val="both"/>
      </w:pPr>
      <w:r>
        <w:rPr>
          <w:rFonts w:eastAsia="Times New Roman"/>
        </w:rPr>
        <w:t xml:space="preserve">Three limitations bound the interpretation of these results. First, the floor effect: pixels in dim urban cores cannot lose much brightness, and a working generator there may produce a signal indistinguishable from a damaged building. The </w:t>
      </w:r>
      <w:proofErr w:type="spellStart"/>
      <w:r>
        <w:rPr>
          <w:rFonts w:eastAsia="Times New Roman"/>
        </w:rPr>
        <w:t>below_city_median</w:t>
      </w:r>
      <w:proofErr w:type="spellEnd"/>
      <w:r>
        <w:rPr>
          <w:rFonts w:eastAsia="Times New Roman"/>
        </w:rPr>
        <w:t xml:space="preserve"> feature mitigates but does not eliminate this confound. Second, residential generator invisibility: the Miami-Dade validation makes clear that 500-meter pixels cannot resolve a generator behind a single-family house; the workflow is therefore appropriate for ZCTA-level summaries and commercial-facility identification, but not for residential-scale decisions. Third, optical NTL is cloud-limited — the VIIRS Day-Night Band cannot see through dense cloud cover, which is exactly the condition that follows hurricane landfall, leaving the most informative days at risk of being unobserved.</w:t>
      </w:r>
    </w:p>
    <w:p w14:paraId="2E83FD1E" w14:textId="541344B4" w:rsidR="00920FD4" w:rsidRDefault="00315FF7">
      <w:pPr>
        <w:spacing w:after="120" w:line="276" w:lineRule="auto"/>
        <w:ind w:firstLine="360"/>
        <w:jc w:val="both"/>
      </w:pPr>
      <w:r>
        <w:rPr>
          <w:rFonts w:eastAsia="Times New Roman"/>
        </w:rPr>
        <w:t xml:space="preserve">The equity finding in §5.4 is descriptive rather than causal. </w:t>
      </w:r>
      <w:r w:rsidR="00F60685" w:rsidRPr="00F60685">
        <w:rPr>
          <w:rFonts w:eastAsia="Times New Roman"/>
        </w:rPr>
        <w:t>It shows a strong statistical correlation between facility sparsity and disaster severity at the ZIP scale, but satellite data alone cannot reveal the mechanism—that is, whether the pattern reflects grid-design choices, settlement geography, or siting decisions.</w:t>
      </w:r>
      <w:r>
        <w:rPr>
          <w:rFonts w:eastAsia="Times New Roman"/>
        </w:rPr>
        <w:t xml:space="preserve"> We treat the result as a hypothesis that warrants targeted follow-up at finer spatial scales rather than as a claim about cause.</w:t>
      </w:r>
    </w:p>
    <w:p w14:paraId="189226EA" w14:textId="77777777" w:rsidR="00920FD4" w:rsidRDefault="00315FF7">
      <w:pPr>
        <w:spacing w:before="240" w:after="120" w:line="276" w:lineRule="auto"/>
      </w:pPr>
      <w:r>
        <w:rPr>
          <w:rFonts w:eastAsia="Times New Roman"/>
          <w:b/>
          <w:bCs/>
        </w:rPr>
        <w:t>7. Conclusion and Future Work</w:t>
      </w:r>
    </w:p>
    <w:p w14:paraId="39EBAFA2" w14:textId="77777777" w:rsidR="00920FD4" w:rsidRDefault="00315FF7">
      <w:pPr>
        <w:spacing w:after="120" w:line="276" w:lineRule="auto"/>
        <w:ind w:firstLine="360"/>
        <w:jc w:val="both"/>
      </w:pPr>
      <w:r>
        <w:rPr>
          <w:rFonts w:eastAsia="Times New Roman"/>
        </w:rPr>
        <w:t>Using nighttime-light remote sensing to identify the spatial footprint of backup-power activity during disasters is feasible. Across 25 historical U.S. events, an ensemble trained on proxy labels reaches LOEO AUC = 0.704 and aligns with 83 percent of commercial generator permits in an external Miami-Dade test. ZIP-level aggregations reveal both a robust facility-deployment signal and a between-event equity gap that the equipment-emission and disaster-resilience literatures have not previously surfaced from satellite data.</w:t>
      </w:r>
    </w:p>
    <w:p w14:paraId="21BD9E6A" w14:textId="7E04D503" w:rsidR="00920FD4" w:rsidRDefault="00315FF7">
      <w:pPr>
        <w:spacing w:after="120" w:line="276" w:lineRule="auto"/>
        <w:ind w:firstLine="360"/>
        <w:jc w:val="both"/>
      </w:pPr>
      <w:r>
        <w:rPr>
          <w:rFonts w:eastAsia="Times New Roman"/>
        </w:rPr>
        <w:lastRenderedPageBreak/>
        <w:t>Practical use, however, is limited by data quality. The two highest-leverage future investments are (</w:t>
      </w:r>
      <w:proofErr w:type="spellStart"/>
      <w:r>
        <w:rPr>
          <w:rFonts w:eastAsia="Times New Roman"/>
        </w:rPr>
        <w:t>i</w:t>
      </w:r>
      <w:proofErr w:type="spellEnd"/>
      <w:r>
        <w:rPr>
          <w:rFonts w:eastAsia="Times New Roman"/>
        </w:rPr>
        <w:t>) sensors with both higher spatial and higher temporal resolution</w:t>
      </w:r>
      <w:r w:rsidR="00F60685">
        <w:rPr>
          <w:rFonts w:eastAsia="Times New Roman" w:hint="eastAsia"/>
        </w:rPr>
        <w:t>, specifically</w:t>
      </w:r>
      <w:r>
        <w:rPr>
          <w:rFonts w:eastAsia="Times New Roman"/>
        </w:rPr>
        <w:t xml:space="preserve"> sub-100-meter, daily </w:t>
      </w:r>
      <w:r w:rsidR="00F60685">
        <w:rPr>
          <w:rFonts w:eastAsia="Times New Roman" w:hint="eastAsia"/>
        </w:rPr>
        <w:t>revisit to</w:t>
      </w:r>
      <w:r>
        <w:rPr>
          <w:rFonts w:eastAsia="Times New Roman"/>
        </w:rPr>
        <w:t xml:space="preserve"> break the residential floor and the cloud-limited window, and (ii) complete generator-permit registries from a small number of representative regions, which would replace proxy labels with verified ground truth and convert the workflow developed here into a properly supervised baseline rather than a labeling-constrained experiment.</w:t>
      </w:r>
    </w:p>
    <w:p w14:paraId="027303B5" w14:textId="77777777" w:rsidR="00920FD4" w:rsidRDefault="00315FF7">
      <w:pPr>
        <w:spacing w:before="240" w:after="120" w:line="276" w:lineRule="auto"/>
      </w:pPr>
      <w:r>
        <w:rPr>
          <w:rFonts w:eastAsia="Times New Roman"/>
          <w:b/>
          <w:bCs/>
        </w:rPr>
        <w:t>References</w:t>
      </w:r>
    </w:p>
    <w:p w14:paraId="1161D6E7" w14:textId="77777777" w:rsidR="00920FD4" w:rsidRDefault="00315FF7">
      <w:pPr>
        <w:spacing w:after="100" w:line="276" w:lineRule="auto"/>
        <w:ind w:left="360" w:hanging="360"/>
      </w:pPr>
      <w:r>
        <w:rPr>
          <w:rFonts w:eastAsia="Times New Roman"/>
        </w:rPr>
        <w:t xml:space="preserve">Naik, N., </w:t>
      </w:r>
      <w:proofErr w:type="spellStart"/>
      <w:r>
        <w:rPr>
          <w:rFonts w:eastAsia="Times New Roman"/>
        </w:rPr>
        <w:t>Kominers</w:t>
      </w:r>
      <w:proofErr w:type="spellEnd"/>
      <w:r>
        <w:rPr>
          <w:rFonts w:eastAsia="Times New Roman"/>
        </w:rPr>
        <w:t xml:space="preserve">, S. D., </w:t>
      </w:r>
      <w:proofErr w:type="spellStart"/>
      <w:r>
        <w:rPr>
          <w:rFonts w:eastAsia="Times New Roman"/>
        </w:rPr>
        <w:t>Raskar</w:t>
      </w:r>
      <w:proofErr w:type="spellEnd"/>
      <w:r>
        <w:rPr>
          <w:rFonts w:eastAsia="Times New Roman"/>
        </w:rPr>
        <w:t>, R., Glaeser, E. L., &amp; Hidalgo, C. A. (2017). Computer vision uncovers predictors of physical urban change. Proceedings of the National Academy of Sciences, 114(29), 7571–7576.</w:t>
      </w:r>
    </w:p>
    <w:p w14:paraId="717E0C79" w14:textId="77777777" w:rsidR="00920FD4" w:rsidRDefault="00315FF7">
      <w:pPr>
        <w:spacing w:after="100" w:line="276" w:lineRule="auto"/>
        <w:ind w:left="360" w:hanging="360"/>
      </w:pPr>
      <w:r>
        <w:rPr>
          <w:rFonts w:eastAsia="Times New Roman"/>
        </w:rPr>
        <w:t xml:space="preserve">Román, M. O., Wang, Z., Sun, Q., Kalb, V. L., Miller, S. D., Molthan, A., Schultz, L., Bell, J., Stokes, E. C., Pandey, B., Seto, K. C., Hall, D., Oda, T., Wolfe, R. E., Lin, G., </w:t>
      </w:r>
      <w:proofErr w:type="spellStart"/>
      <w:r>
        <w:rPr>
          <w:rFonts w:eastAsia="Times New Roman"/>
        </w:rPr>
        <w:t>Golpayegani</w:t>
      </w:r>
      <w:proofErr w:type="spellEnd"/>
      <w:r>
        <w:rPr>
          <w:rFonts w:eastAsia="Times New Roman"/>
        </w:rPr>
        <w:t>, N., Devadiga, S., Davidson, C., Sarkar, S., … Masuoka, E. J. (2018). NASA's Black Marble nighttime lights product suite. Remote Sensing of Environment, 210, 113–143.</w:t>
      </w:r>
    </w:p>
    <w:p w14:paraId="0BB1636A" w14:textId="77777777" w:rsidR="00920FD4" w:rsidRDefault="00315FF7">
      <w:pPr>
        <w:spacing w:after="100" w:line="276" w:lineRule="auto"/>
        <w:ind w:left="360" w:hanging="360"/>
      </w:pPr>
      <w:proofErr w:type="spellStart"/>
      <w:r>
        <w:rPr>
          <w:rFonts w:eastAsia="Times New Roman"/>
        </w:rPr>
        <w:t>Tarroja</w:t>
      </w:r>
      <w:proofErr w:type="spellEnd"/>
      <w:r>
        <w:rPr>
          <w:rFonts w:eastAsia="Times New Roman"/>
        </w:rPr>
        <w:t>, B., Peer, R. A. M., Sanders, K. T., &amp; Grubert, E. (2021). How do non-carbon priorities affect zero-emission electricity systems? A case study of freshwater consumption and cost for Senate Bill 100 compliance in California. Applied Energy, 285, 116354.</w:t>
      </w:r>
    </w:p>
    <w:p w14:paraId="2F3F8ABD" w14:textId="77777777" w:rsidR="00920FD4" w:rsidRDefault="00315FF7">
      <w:pPr>
        <w:spacing w:after="100" w:line="276" w:lineRule="auto"/>
        <w:ind w:left="360" w:hanging="360"/>
      </w:pPr>
      <w:r>
        <w:rPr>
          <w:rFonts w:eastAsia="Times New Roman"/>
        </w:rPr>
        <w:t>Wang, Z., Román, M. O., Kalb, V. L., Miller, S. D., Zhang, J., &amp; Shrestha, R. M. (2018). Quantifying uncertainties in nighttime light retrievals from Suomi-NPP and NOAA-20 VIIRS Day/Night Band data. Remote Sensing of Environment, 263, 112557.</w:t>
      </w:r>
    </w:p>
    <w:p w14:paraId="33BA3519" w14:textId="77777777" w:rsidR="00920FD4" w:rsidRDefault="00315FF7">
      <w:pPr>
        <w:spacing w:after="100" w:line="276" w:lineRule="auto"/>
        <w:ind w:left="360" w:hanging="360"/>
      </w:pPr>
      <w:r>
        <w:rPr>
          <w:rFonts w:eastAsia="Times New Roman"/>
        </w:rPr>
        <w:t>Zhang, G., Lu, X., Tan, X., Zhang, X., Wang, S., &amp; Tan, B. (2023). Damage assessment from natural disasters using nighttime-light remote sensing. International Journal of Disaster Risk Reduction, 88, 103605.</w:t>
      </w:r>
    </w:p>
    <w:sectPr w:rsidR="00920F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3792"/>
    <w:multiLevelType w:val="hybridMultilevel"/>
    <w:tmpl w:val="1F3A4ECE"/>
    <w:lvl w:ilvl="0" w:tplc="CA12A34C">
      <w:start w:val="1"/>
      <w:numFmt w:val="bullet"/>
      <w:lvlText w:val="●"/>
      <w:lvlJc w:val="left"/>
      <w:pPr>
        <w:ind w:left="720" w:hanging="360"/>
      </w:pPr>
    </w:lvl>
    <w:lvl w:ilvl="1" w:tplc="2ABCD3CA">
      <w:start w:val="1"/>
      <w:numFmt w:val="bullet"/>
      <w:lvlText w:val="○"/>
      <w:lvlJc w:val="left"/>
      <w:pPr>
        <w:ind w:left="1440" w:hanging="360"/>
      </w:pPr>
    </w:lvl>
    <w:lvl w:ilvl="2" w:tplc="A1444390">
      <w:start w:val="1"/>
      <w:numFmt w:val="bullet"/>
      <w:lvlText w:val="■"/>
      <w:lvlJc w:val="left"/>
      <w:pPr>
        <w:ind w:left="2160" w:hanging="360"/>
      </w:pPr>
    </w:lvl>
    <w:lvl w:ilvl="3" w:tplc="484A8EF8">
      <w:start w:val="1"/>
      <w:numFmt w:val="bullet"/>
      <w:lvlText w:val="●"/>
      <w:lvlJc w:val="left"/>
      <w:pPr>
        <w:ind w:left="2880" w:hanging="360"/>
      </w:pPr>
    </w:lvl>
    <w:lvl w:ilvl="4" w:tplc="2DDCB326">
      <w:start w:val="1"/>
      <w:numFmt w:val="bullet"/>
      <w:lvlText w:val="○"/>
      <w:lvlJc w:val="left"/>
      <w:pPr>
        <w:ind w:left="3600" w:hanging="360"/>
      </w:pPr>
    </w:lvl>
    <w:lvl w:ilvl="5" w:tplc="343ADEE0">
      <w:start w:val="1"/>
      <w:numFmt w:val="bullet"/>
      <w:lvlText w:val="■"/>
      <w:lvlJc w:val="left"/>
      <w:pPr>
        <w:ind w:left="4320" w:hanging="360"/>
      </w:pPr>
    </w:lvl>
    <w:lvl w:ilvl="6" w:tplc="C6B46BC6">
      <w:start w:val="1"/>
      <w:numFmt w:val="bullet"/>
      <w:lvlText w:val="●"/>
      <w:lvlJc w:val="left"/>
      <w:pPr>
        <w:ind w:left="5040" w:hanging="360"/>
      </w:pPr>
    </w:lvl>
    <w:lvl w:ilvl="7" w:tplc="FB4C5506">
      <w:start w:val="1"/>
      <w:numFmt w:val="bullet"/>
      <w:lvlText w:val="●"/>
      <w:lvlJc w:val="left"/>
      <w:pPr>
        <w:ind w:left="5760" w:hanging="360"/>
      </w:pPr>
    </w:lvl>
    <w:lvl w:ilvl="8" w:tplc="2BF4874A">
      <w:start w:val="1"/>
      <w:numFmt w:val="bullet"/>
      <w:lvlText w:val="●"/>
      <w:lvlJc w:val="left"/>
      <w:pPr>
        <w:ind w:left="6480" w:hanging="360"/>
      </w:pPr>
    </w:lvl>
  </w:abstractNum>
  <w:num w:numId="1" w16cid:durableId="213978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FD4"/>
    <w:rsid w:val="002E1DFA"/>
    <w:rsid w:val="00315FF7"/>
    <w:rsid w:val="00466B76"/>
    <w:rsid w:val="004E7B56"/>
    <w:rsid w:val="006C46B2"/>
    <w:rsid w:val="00920FD4"/>
    <w:rsid w:val="00A9732F"/>
    <w:rsid w:val="00D753E5"/>
    <w:rsid w:val="00EC44B7"/>
    <w:rsid w:val="00F60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06B31C"/>
  <w15:docId w15:val="{B104797F-C556-FC4D-8086-44A939ED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Placeholder Text"/>
    <w:basedOn w:val="a0"/>
    <w:uiPriority w:val="99"/>
    <w:semiHidden/>
    <w:rsid w:val="00A973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2165</Words>
  <Characters>12346</Characters>
  <Application>Microsoft Office Word</Application>
  <DocSecurity>0</DocSecurity>
  <Lines>102</Lines>
  <Paragraphs>28</Paragraphs>
  <ScaleCrop>false</ScaleCrop>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Tracking Backup Power from Space</dc:title>
  <dc:creator>Zhiyuan Zhao</dc:creator>
  <cp:lastModifiedBy>Zhao, Zhiyuan</cp:lastModifiedBy>
  <cp:revision>2</cp:revision>
  <dcterms:created xsi:type="dcterms:W3CDTF">2026-05-10T19:41:00Z</dcterms:created>
  <dcterms:modified xsi:type="dcterms:W3CDTF">2026-05-10T19:41:00Z</dcterms:modified>
</cp:coreProperties>
</file>