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D452BC">
      <w:pPr>
        <w:jc w:val="center"/>
        <w:rPr>
          <w:rFonts w:hint="eastAsia"/>
          <w:b/>
          <w:bCs/>
          <w:sz w:val="52"/>
          <w:szCs w:val="52"/>
          <w:lang w:val="en-US" w:eastAsia="zh-CN"/>
        </w:rPr>
      </w:pPr>
    </w:p>
    <w:p w14:paraId="2750636B">
      <w:pPr>
        <w:jc w:val="center"/>
        <w:rPr>
          <w:rFonts w:hint="eastAsia"/>
          <w:b/>
          <w:bCs/>
          <w:sz w:val="52"/>
          <w:szCs w:val="52"/>
          <w:lang w:val="en-US" w:eastAsia="zh-CN"/>
        </w:rPr>
      </w:pPr>
    </w:p>
    <w:p w14:paraId="590CAFE1">
      <w:pPr>
        <w:jc w:val="center"/>
        <w:rPr>
          <w:rFonts w:hint="default"/>
          <w:b/>
          <w:bCs/>
          <w:sz w:val="52"/>
          <w:szCs w:val="52"/>
          <w:lang w:val="en-US" w:eastAsia="zh-CN"/>
        </w:rPr>
      </w:pPr>
      <w:r>
        <w:rPr>
          <w:rFonts w:hint="eastAsia"/>
          <w:b/>
          <w:bCs/>
          <w:sz w:val="52"/>
          <w:szCs w:val="52"/>
          <w:lang w:val="en-US" w:eastAsia="zh-CN"/>
        </w:rPr>
        <w:t>基于大数据技术的互联网金融风控预测用户贷款违约情况的探索性分析研究报告</w:t>
      </w:r>
    </w:p>
    <w:p w14:paraId="2789CFBC">
      <w:pPr>
        <w:jc w:val="center"/>
        <w:rPr>
          <w:rFonts w:hint="eastAsia"/>
          <w:b/>
          <w:bCs/>
          <w:sz w:val="52"/>
          <w:szCs w:val="52"/>
          <w:lang w:val="en-US" w:eastAsia="zh-CN"/>
        </w:rPr>
      </w:pPr>
    </w:p>
    <w:p w14:paraId="3385556D">
      <w:pPr>
        <w:jc w:val="center"/>
        <w:rPr>
          <w:rFonts w:hint="eastAsia"/>
          <w:b/>
          <w:bCs/>
          <w:sz w:val="52"/>
          <w:szCs w:val="52"/>
          <w:lang w:val="en-US" w:eastAsia="zh-CN"/>
        </w:rPr>
      </w:pPr>
    </w:p>
    <w:p w14:paraId="43A2BC9E">
      <w:pPr>
        <w:jc w:val="center"/>
        <w:rPr>
          <w:rFonts w:hint="eastAsia"/>
          <w:b/>
          <w:bCs/>
          <w:sz w:val="52"/>
          <w:szCs w:val="52"/>
          <w:lang w:val="en-US" w:eastAsia="zh-CN"/>
        </w:rPr>
      </w:pPr>
    </w:p>
    <w:p w14:paraId="7721F223">
      <w:pPr>
        <w:jc w:val="center"/>
        <w:rPr>
          <w:rFonts w:hint="eastAsia"/>
          <w:b/>
          <w:bCs/>
          <w:sz w:val="52"/>
          <w:szCs w:val="52"/>
          <w:lang w:val="en-US" w:eastAsia="zh-CN"/>
        </w:rPr>
      </w:pPr>
    </w:p>
    <w:p w14:paraId="69C085D7">
      <w:pPr>
        <w:jc w:val="center"/>
        <w:rPr>
          <w:rFonts w:hint="eastAsia"/>
          <w:b/>
          <w:bCs/>
          <w:sz w:val="52"/>
          <w:szCs w:val="52"/>
          <w:lang w:val="en-US" w:eastAsia="zh-CN"/>
        </w:rPr>
      </w:pPr>
    </w:p>
    <w:p w14:paraId="5B8601DF">
      <w:pPr>
        <w:jc w:val="right"/>
        <w:rPr>
          <w:rFonts w:hint="eastAsia"/>
          <w:b w:val="0"/>
          <w:bCs w:val="0"/>
          <w:sz w:val="44"/>
          <w:szCs w:val="44"/>
          <w:lang w:val="en-US" w:eastAsia="zh-CN"/>
        </w:rPr>
      </w:pPr>
    </w:p>
    <w:p w14:paraId="6B310B10">
      <w:pPr>
        <w:jc w:val="right"/>
        <w:rPr>
          <w:rFonts w:hint="eastAsia"/>
          <w:b w:val="0"/>
          <w:bCs w:val="0"/>
          <w:sz w:val="44"/>
          <w:szCs w:val="44"/>
          <w:lang w:val="en-US" w:eastAsia="zh-CN"/>
        </w:rPr>
      </w:pPr>
    </w:p>
    <w:p w14:paraId="19ACA453">
      <w:pPr>
        <w:jc w:val="right"/>
        <w:rPr>
          <w:rFonts w:hint="eastAsia"/>
          <w:b w:val="0"/>
          <w:bCs w:val="0"/>
          <w:sz w:val="44"/>
          <w:szCs w:val="44"/>
          <w:lang w:val="en-US" w:eastAsia="zh-CN"/>
        </w:rPr>
      </w:pPr>
    </w:p>
    <w:p w14:paraId="396DE84E">
      <w:pPr>
        <w:jc w:val="right"/>
        <w:rPr>
          <w:rFonts w:hint="eastAsia"/>
          <w:b w:val="0"/>
          <w:bCs w:val="0"/>
          <w:sz w:val="44"/>
          <w:szCs w:val="44"/>
          <w:lang w:val="en-US" w:eastAsia="zh-CN"/>
        </w:rPr>
      </w:pPr>
    </w:p>
    <w:p w14:paraId="58EBDC46">
      <w:pPr>
        <w:jc w:val="right"/>
        <w:rPr>
          <w:rFonts w:hint="eastAsia"/>
          <w:b w:val="0"/>
          <w:bCs w:val="0"/>
          <w:sz w:val="44"/>
          <w:szCs w:val="44"/>
          <w:lang w:val="en-US" w:eastAsia="zh-CN"/>
        </w:rPr>
      </w:pPr>
    </w:p>
    <w:p w14:paraId="1D39874F">
      <w:pPr>
        <w:jc w:val="right"/>
        <w:rPr>
          <w:rFonts w:hint="eastAsia"/>
          <w:b w:val="0"/>
          <w:bCs w:val="0"/>
          <w:sz w:val="44"/>
          <w:szCs w:val="44"/>
          <w:lang w:val="en-US" w:eastAsia="zh-CN"/>
        </w:rPr>
      </w:pPr>
    </w:p>
    <w:p w14:paraId="52983713">
      <w:pPr>
        <w:jc w:val="both"/>
        <w:rPr>
          <w:rFonts w:hint="default"/>
          <w:b w:val="0"/>
          <w:bCs w:val="0"/>
          <w:sz w:val="44"/>
          <w:szCs w:val="44"/>
          <w:lang w:val="en-US" w:eastAsia="zh-CN"/>
        </w:rPr>
      </w:pPr>
    </w:p>
    <w:sdt>
      <w:sdtPr>
        <w:rPr>
          <w:rFonts w:ascii="宋体" w:hAnsi="宋体" w:eastAsia="宋体" w:cstheme="minorBidi"/>
          <w:kern w:val="2"/>
          <w:sz w:val="21"/>
          <w:szCs w:val="24"/>
          <w:lang w:val="en-US" w:eastAsia="zh-CN" w:bidi="ar-SA"/>
        </w:rPr>
        <w:id w:val="147464836"/>
        <w15:color w:val="DBDBDB"/>
        <w:docPartObj>
          <w:docPartGallery w:val="Table of Contents"/>
          <w:docPartUnique/>
        </w:docPartObj>
      </w:sdtPr>
      <w:sdtEndP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sdtEndPr>
      <w:sdtContent>
        <w:p w14:paraId="6E1EA051">
          <w:pPr>
            <w:spacing w:before="0" w:beforeLines="0" w:after="0" w:afterLines="0" w:line="240" w:lineRule="auto"/>
            <w:ind w:left="0" w:leftChars="0" w:right="0" w:rightChars="0" w:firstLine="0" w:firstLineChars="0"/>
            <w:jc w:val="cente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t>目录</w:t>
          </w:r>
        </w:p>
        <w:p w14:paraId="661DE40C">
          <w:pPr>
            <w:pStyle w:val="7"/>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TOC \o "1-3" \h \u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_Toc29039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1摘要</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_Toc29039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2</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11D6CB7A">
          <w:pPr>
            <w:pStyle w:val="8"/>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_Toc16046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1.1 研究背景</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_Toc16046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2</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5B1C1336">
          <w:pPr>
            <w:pStyle w:val="8"/>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_Toc1224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1.2 研究概括</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_Toc1224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4</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17D4396A">
          <w:pPr>
            <w:pStyle w:val="7"/>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_Toc10279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2 关键词</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_Toc10279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4</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09F028CB">
          <w:pPr>
            <w:pStyle w:val="7"/>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_Toc8050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3 正文部分</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_Toc8050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4</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2BCC1759">
          <w:pPr>
            <w:pStyle w:val="8"/>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_Toc3597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3.1 所用技术</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_Toc3597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4</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5F9075A5">
          <w:pPr>
            <w:pStyle w:val="8"/>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_Toc6837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3.2数据来源</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_Toc6837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5</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5C375AB3">
          <w:pPr>
            <w:pStyle w:val="8"/>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_Toc10625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3.3 数据分析与清洗：</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_Toc10625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7</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4E8F9AF6">
          <w:pPr>
            <w:pStyle w:val="8"/>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_Toc25670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3.4 特征工程</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_Toc25670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24</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12D95ED4">
          <w:pPr>
            <w:pStyle w:val="8"/>
            <w:tabs>
              <w:tab w:val="right" w:leader="dot" w:pos="8306"/>
            </w:tabs>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_Toc11820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3.5 构建机器学习模型</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_Toc11820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30</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43E2134E">
          <w:pPr>
            <w:pStyle w:val="8"/>
            <w:tabs>
              <w:tab w:val="right" w:leader="dot" w:pos="8306"/>
            </w:tabs>
          </w:pP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HYPERLINK \l _Toc4804 </w:instrText>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3.6 基于模型的预测与评估</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ab/>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begin"/>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instrText xml:space="preserve"> PAGEREF _Toc4804 \h </w:instrTex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separate"/>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t>35</w:t>
          </w:r>
          <w:r>
            <w:rPr>
              <w:rFonts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r>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fldChar w:fldCharType="end"/>
          </w:r>
        </w:p>
        <w:p w14:paraId="19778935">
          <w:pPr>
            <w:jc w:val="both"/>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default" w:ascii="微软雅黑" w:hAnsi="微软雅黑" w:eastAsia="微软雅黑" w:cs="微软雅黑"/>
              <w:bCs w:val="0"/>
              <w:i w:val="0"/>
              <w:iCs w:val="0"/>
              <w:caps w:val="0"/>
              <w:color w:val="333333"/>
              <w:spacing w:val="0"/>
              <w:kern w:val="2"/>
              <w:szCs w:val="28"/>
              <w:shd w:val="clear" w:fill="FFFFFF"/>
              <w:lang w:val="en-US" w:eastAsia="zh-CN" w:bidi="ar-SA"/>
            </w:rPr>
            <w:fldChar w:fldCharType="end"/>
          </w:r>
        </w:p>
      </w:sdtContent>
    </w:sdt>
    <w:p w14:paraId="0C08A692">
      <w:pPr>
        <w:ind w:left="522" w:hanging="442" w:hangingChars="100"/>
        <w:jc w:val="both"/>
        <w:outlineLvl w:val="0"/>
        <w:rPr>
          <w:rFonts w:hint="eastAsia"/>
          <w:b/>
          <w:bCs/>
          <w:sz w:val="44"/>
          <w:szCs w:val="44"/>
          <w:lang w:val="en-US" w:eastAsia="zh-CN"/>
        </w:rPr>
      </w:pPr>
    </w:p>
    <w:p w14:paraId="447636B1">
      <w:pPr>
        <w:jc w:val="both"/>
        <w:outlineLvl w:val="0"/>
        <w:rPr>
          <w:rFonts w:hint="eastAsia"/>
          <w:b/>
          <w:bCs/>
          <w:sz w:val="44"/>
          <w:szCs w:val="44"/>
          <w:lang w:val="en-US" w:eastAsia="zh-CN"/>
        </w:rPr>
      </w:pPr>
    </w:p>
    <w:p w14:paraId="182D08BF">
      <w:pPr>
        <w:jc w:val="both"/>
        <w:outlineLvl w:val="0"/>
        <w:rPr>
          <w:rFonts w:hint="eastAsia"/>
          <w:b/>
          <w:bCs/>
          <w:sz w:val="44"/>
          <w:szCs w:val="44"/>
          <w:lang w:val="en-US" w:eastAsia="zh-CN"/>
        </w:rPr>
      </w:pPr>
    </w:p>
    <w:p w14:paraId="521FF9CD">
      <w:pPr>
        <w:jc w:val="both"/>
        <w:outlineLvl w:val="0"/>
        <w:rPr>
          <w:rFonts w:hint="eastAsia"/>
          <w:b/>
          <w:bCs/>
          <w:sz w:val="44"/>
          <w:szCs w:val="44"/>
          <w:lang w:val="en-US" w:eastAsia="zh-CN"/>
        </w:rPr>
      </w:pPr>
    </w:p>
    <w:p w14:paraId="73496401">
      <w:pPr>
        <w:jc w:val="both"/>
        <w:outlineLvl w:val="0"/>
        <w:rPr>
          <w:rFonts w:hint="eastAsia"/>
          <w:b/>
          <w:bCs/>
          <w:sz w:val="44"/>
          <w:szCs w:val="44"/>
          <w:lang w:val="en-US" w:eastAsia="zh-CN"/>
        </w:rPr>
      </w:pPr>
    </w:p>
    <w:p w14:paraId="4F050C7E">
      <w:pPr>
        <w:jc w:val="both"/>
        <w:outlineLvl w:val="0"/>
        <w:rPr>
          <w:rFonts w:hint="eastAsia"/>
          <w:b/>
          <w:bCs/>
          <w:sz w:val="44"/>
          <w:szCs w:val="44"/>
          <w:lang w:val="en-US" w:eastAsia="zh-CN"/>
        </w:rPr>
      </w:pPr>
    </w:p>
    <w:p w14:paraId="0281C817">
      <w:pPr>
        <w:jc w:val="both"/>
        <w:outlineLvl w:val="0"/>
        <w:rPr>
          <w:rFonts w:hint="eastAsia"/>
          <w:b/>
          <w:bCs/>
          <w:sz w:val="44"/>
          <w:szCs w:val="44"/>
          <w:lang w:val="en-US" w:eastAsia="zh-CN"/>
        </w:rPr>
      </w:pPr>
    </w:p>
    <w:p w14:paraId="0D9F4FE6">
      <w:pPr>
        <w:jc w:val="both"/>
        <w:outlineLvl w:val="0"/>
        <w:rPr>
          <w:rFonts w:hint="eastAsia"/>
          <w:b/>
          <w:bCs/>
          <w:sz w:val="44"/>
          <w:szCs w:val="44"/>
          <w:lang w:val="en-US" w:eastAsia="zh-CN"/>
        </w:rPr>
      </w:pPr>
    </w:p>
    <w:p w14:paraId="37BA347F">
      <w:pPr>
        <w:ind w:left="522" w:hanging="442" w:hangingChars="100"/>
        <w:jc w:val="both"/>
        <w:outlineLvl w:val="0"/>
        <w:rPr>
          <w:rFonts w:hint="eastAsia"/>
          <w:b/>
          <w:bCs/>
          <w:sz w:val="44"/>
          <w:szCs w:val="44"/>
          <w:lang w:val="en-US" w:eastAsia="zh-CN"/>
        </w:rPr>
      </w:pPr>
    </w:p>
    <w:p w14:paraId="48C2D855">
      <w:pPr>
        <w:jc w:val="both"/>
        <w:outlineLvl w:val="0"/>
        <w:rPr>
          <w:rFonts w:hint="default" w:asciiTheme="minorHAnsi" w:hAnsiTheme="minorHAnsi" w:eastAsiaTheme="minorEastAsia" w:cstheme="minorBidi"/>
          <w:b/>
          <w:bCs/>
          <w:kern w:val="2"/>
          <w:sz w:val="44"/>
          <w:szCs w:val="44"/>
          <w:lang w:val="en-US" w:eastAsia="zh-CN" w:bidi="ar-SA"/>
        </w:rPr>
      </w:pPr>
      <w:bookmarkStart w:id="0" w:name="_Toc29039"/>
      <w:r>
        <w:rPr>
          <w:rFonts w:hint="eastAsia" w:cstheme="minorBidi"/>
          <w:b/>
          <w:bCs/>
          <w:kern w:val="2"/>
          <w:sz w:val="44"/>
          <w:szCs w:val="44"/>
          <w:lang w:val="en-US" w:eastAsia="zh-CN" w:bidi="ar-SA"/>
        </w:rPr>
        <w:t>1摘要</w:t>
      </w:r>
      <w:bookmarkEnd w:id="0"/>
    </w:p>
    <w:p w14:paraId="2C993498">
      <w:pPr>
        <w:widowControl w:val="0"/>
        <w:bidi w:val="0"/>
        <w:jc w:val="both"/>
        <w:outlineLvl w:val="1"/>
        <w:rPr>
          <w:rFonts w:ascii="Calibri" w:hAnsi="Calibri" w:eastAsia="宋体" w:cs="Times New Roman"/>
          <w:b/>
          <w:bCs/>
          <w:kern w:val="2"/>
          <w:sz w:val="32"/>
          <w:szCs w:val="32"/>
          <w:lang w:bidi="ar-SA"/>
        </w:rPr>
      </w:pPr>
      <w:bookmarkStart w:id="1" w:name="_Toc16046"/>
      <w:r>
        <w:rPr>
          <w:rFonts w:ascii="Calibri" w:hAnsi="Calibri" w:eastAsia="宋体" w:cs="Times New Roman"/>
          <w:b/>
          <w:bCs/>
          <w:kern w:val="2"/>
          <w:sz w:val="32"/>
          <w:szCs w:val="32"/>
          <w:lang w:bidi="ar-SA"/>
        </w:rPr>
        <w:t>1.1 研究背景</w:t>
      </w:r>
      <w:bookmarkEnd w:id="1"/>
    </w:p>
    <w:p w14:paraId="6B367BC2">
      <w:pPr>
        <w:widowControl w:val="0"/>
        <w:bidi w:val="0"/>
        <w:ind w:firstLine="560" w:firstLineChars="200"/>
        <w:jc w:val="left"/>
        <w:rPr>
          <w:rFonts w:ascii="微软雅黑" w:hAnsi="微软雅黑" w:eastAsia="微软雅黑" w:cs="微软雅黑"/>
          <w:b w:val="0"/>
          <w:bCs w:val="0"/>
          <w:i w:val="0"/>
          <w:iCs w:val="0"/>
          <w:caps w:val="0"/>
          <w:color w:val="333333"/>
          <w:spacing w:val="0"/>
          <w:kern w:val="2"/>
          <w:sz w:val="28"/>
          <w:szCs w:val="28"/>
          <w:shd w:val="clear" w:fill="FFFFFF"/>
          <w:lang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在互联网金融迅猛发展的背景下，风险控制问题已成为行业关注的焦点。基于大数据的风控模型正成为互联网金融领域的研究热点。大数据风控的内涵及其与传统风控在风险识别方面的差异，是本文探讨的核心议题。大数据在商业模式中的应用主要体现在精准营销和大数据风控两个方面，其中精准营销的典型应用场景包括商品推荐和精准广告投放，而大数据风控则在互联网金融领域中扮演着重要角色。金融的本质在于风险管理，风控是金融业务的核心。在金融借贷业务中，如抵押贷款、消费贷款、P2P、供应链金融以及票据融资等，均需依赖数据风控来识别欺诈用户并评估用户信用等级。</w:t>
      </w:r>
    </w:p>
    <w:p w14:paraId="2E97A9CD">
      <w:pPr>
        <w:widowControl w:val="0"/>
        <w:bidi w:val="0"/>
        <w:ind w:firstLine="560" w:firstLineChars="200"/>
        <w:jc w:val="left"/>
        <w:rPr>
          <w:rFonts w:ascii="微软雅黑" w:hAnsi="微软雅黑" w:eastAsia="微软雅黑" w:cs="微软雅黑"/>
          <w:b w:val="0"/>
          <w:bCs w:val="0"/>
          <w:i w:val="0"/>
          <w:iCs w:val="0"/>
          <w:caps w:val="0"/>
          <w:color w:val="333333"/>
          <w:spacing w:val="0"/>
          <w:kern w:val="2"/>
          <w:sz w:val="28"/>
          <w:szCs w:val="28"/>
          <w:shd w:val="clear" w:fill="FFFFFF"/>
          <w:lang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在探讨互联网金融风控时，不得不回顾传统金融风控的实践。传统金融风控主要依赖于信用属性强大的金融数据，通常采用约20个维度的数据进行评分，以识别客户的还款能力和还款意愿。信用相关性高的数据维度大约有十个，包括年龄、职业、收入、学历、工作单位、借贷情况、房产、汽车、单位和还贷记录等。金融企业依据用户提交的数据进行评分，最终得出申请人的信用评分，并据此决定是否放贷及确定贷款额度。此外，与信用相关的数据还包括区域、产品、理财方式、行业、缴款方式、缴款记录、金额、时间和频率等。</w:t>
      </w:r>
    </w:p>
    <w:p w14:paraId="07D166DA">
      <w:pPr>
        <w:widowControl w:val="0"/>
        <w:bidi w:val="0"/>
        <w:ind w:firstLine="560" w:firstLineChars="200"/>
        <w:jc w:val="left"/>
        <w:rPr>
          <w:rFonts w:ascii="微软雅黑" w:hAnsi="微软雅黑" w:eastAsia="微软雅黑" w:cs="微软雅黑"/>
          <w:b w:val="0"/>
          <w:bCs w:val="0"/>
          <w:i w:val="0"/>
          <w:iCs w:val="0"/>
          <w:caps w:val="0"/>
          <w:color w:val="333333"/>
          <w:spacing w:val="0"/>
          <w:kern w:val="2"/>
          <w:sz w:val="28"/>
          <w:szCs w:val="28"/>
          <w:shd w:val="clear" w:fill="FFFFFF"/>
          <w:lang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互联网金融的大数据风控并非完全摒弃传统风控，而是对传统风控的数据维度进行了丰富。在互联网风控中，首先利用信用属性强的金融数据评估借款人的还款能力和还款意愿，随后利用信用属性较弱的行为数据进行补充。通常采用数据关联分析来判断借款人的信用状况，并借助数据模型揭示行为特征与信用风险之间的关系。互联网金融公司运用大数据进行风控时，会采用多维度数据来识别借款人风险。与信用相关的数据越多地被用于借款人风险评估，借款人的信用风险就越能被充分揭示，信用评分也越客观，更接近借款人实际风险水平。</w:t>
      </w:r>
    </w:p>
    <w:p w14:paraId="4902AB60">
      <w:pPr>
        <w:widowControl w:val="0"/>
        <w:bidi w:val="0"/>
        <w:jc w:val="both"/>
        <w:outlineLvl w:val="1"/>
        <w:rPr>
          <w:rFonts w:ascii="Calibri" w:hAnsi="Calibri" w:eastAsia="宋体" w:cs="Times New Roman"/>
          <w:b/>
          <w:bCs/>
          <w:kern w:val="2"/>
          <w:sz w:val="32"/>
          <w:szCs w:val="32"/>
          <w:lang w:bidi="ar-SA"/>
        </w:rPr>
      </w:pPr>
      <w:bookmarkStart w:id="2" w:name="_Toc1224"/>
      <w:r>
        <w:rPr>
          <w:rFonts w:ascii="Calibri" w:hAnsi="Calibri" w:eastAsia="宋体" w:cs="Times New Roman"/>
          <w:b/>
          <w:bCs/>
          <w:kern w:val="2"/>
          <w:sz w:val="32"/>
          <w:szCs w:val="32"/>
          <w:lang w:bidi="ar-SA"/>
        </w:rPr>
        <w:t>1.2 研究概括</w:t>
      </w:r>
      <w:bookmarkEnd w:id="2"/>
    </w:p>
    <w:p w14:paraId="3B8DA744">
      <w:pPr>
        <w:widowControl w:val="0"/>
        <w:bidi w:val="0"/>
        <w:ind w:firstLine="560" w:firstLineChars="200"/>
        <w:jc w:val="left"/>
        <w:rPr>
          <w:rFonts w:ascii="微软雅黑" w:hAnsi="微软雅黑" w:eastAsia="微软雅黑" w:cs="微软雅黑"/>
          <w:b w:val="0"/>
          <w:bCs w:val="0"/>
          <w:i w:val="0"/>
          <w:iCs w:val="0"/>
          <w:caps w:val="0"/>
          <w:color w:val="333333"/>
          <w:spacing w:val="0"/>
          <w:kern w:val="2"/>
          <w:sz w:val="28"/>
          <w:szCs w:val="28"/>
          <w:shd w:val="clear" w:fill="FFFFFF"/>
          <w:lang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贷款业务作为借贷公司的核心业务，既带来了可观的营业收入，也带来了潜在的违约风险。为了在贷款收益与风险之间找到平衡点，借贷方必须对发放的贷款进行风险控制。因此，对每笔贷款进行风险评估成为了一项不可或缺的工作。然而，人工审核贷款发放不仅耗时费力，还会产生高昂的人力成本。为了应对日益增长的贷款审核需求，公司有必要构建一个更高效的审核系统以取代人工审核。</w:t>
      </w:r>
    </w:p>
    <w:p w14:paraId="64D4DC2A">
      <w:pPr>
        <w:widowControl w:val="0"/>
        <w:bidi w:val="0"/>
        <w:ind w:firstLine="560" w:firstLineChars="200"/>
        <w:jc w:val="both"/>
        <w:rPr>
          <w:rFonts w:hint="eastAsia" w:ascii="微软雅黑" w:hAnsi="微软雅黑" w:eastAsia="微软雅黑" w:cs="微软雅黑"/>
          <w:b w:val="0"/>
          <w:bCs w:val="0"/>
          <w:i w:val="0"/>
          <w:iCs w:val="0"/>
          <w:caps w:val="0"/>
          <w:color w:val="333333"/>
          <w:spacing w:val="0"/>
          <w:sz w:val="28"/>
          <w:szCs w:val="28"/>
          <w:shd w:val="clear" w:fill="FFFFFF"/>
          <w:lang w:val="en-US" w:eastAsia="zh-CN"/>
        </w:rPr>
      </w:pPr>
      <w:r>
        <w:rPr>
          <w:rFonts w:ascii="微软雅黑" w:hAnsi="微软雅黑" w:eastAsia="微软雅黑" w:cs="微软雅黑"/>
          <w:b w:val="0"/>
          <w:bCs w:val="0"/>
          <w:i w:val="0"/>
          <w:iCs w:val="0"/>
          <w:caps w:val="0"/>
          <w:color w:val="333333"/>
          <w:spacing w:val="0"/>
          <w:kern w:val="2"/>
          <w:sz w:val="28"/>
          <w:szCs w:val="28"/>
          <w:shd w:val="clear" w:fill="FFFFFF"/>
          <w:lang w:bidi="ar-SA"/>
        </w:rPr>
        <w:t>为了满足不断增长的贷款需求，借贷公司可以利用机器学习模型自动审核贷款申请人的信息。为了构建一个有效的分析模型，必须收集贷款申请人的各项特征，并分析这些特征与违约之间的关系。特征筛选是模型构建过程中的关键环节，不当的特征筛选可能导致模型结果过于宽松或过于严苛。当模型过于严苛时，借贷公司可能会错失潜在收益；而当模型过于宽松时，借贷公司将面临较高的风险。因此，特征筛选至关重要。通过描述性统计分析，我们可以了解每个特征变量与违约的相关性。在掌握了特征变量与违约结果之间的相互关系后，我们可以通过调整特征变量来提高其有效性（例如，将数值型数据中的少数变量转换为分类数据）。最终，通过对清洗后的数据进行建模，我们可以获得一个可靠的模型，以区分潜在的违约者并降低违约风险。</w:t>
      </w:r>
    </w:p>
    <w:p w14:paraId="7D8F59C3">
      <w:pPr>
        <w:widowControl w:val="0"/>
        <w:bidi w:val="0"/>
        <w:ind w:left="522" w:hanging="442" w:hangingChars="100"/>
        <w:jc w:val="both"/>
        <w:outlineLvl w:val="0"/>
        <w:rPr>
          <w:rFonts w:ascii="Calibri" w:hAnsi="Calibri" w:eastAsia="宋体" w:cs="Times New Roman"/>
          <w:b/>
          <w:bCs/>
          <w:kern w:val="2"/>
          <w:sz w:val="44"/>
          <w:szCs w:val="44"/>
          <w:lang w:bidi="ar-SA"/>
        </w:rPr>
      </w:pPr>
      <w:bookmarkStart w:id="3" w:name="_Toc10279"/>
      <w:r>
        <w:rPr>
          <w:rFonts w:ascii="Calibri" w:hAnsi="Calibri" w:eastAsia="宋体" w:cs="Times New Roman"/>
          <w:b/>
          <w:bCs/>
          <w:kern w:val="2"/>
          <w:sz w:val="44"/>
          <w:szCs w:val="44"/>
          <w:lang w:bidi="ar-SA"/>
        </w:rPr>
        <w:t>2 关键词</w:t>
      </w:r>
      <w:bookmarkEnd w:id="3"/>
    </w:p>
    <w:p w14:paraId="48C11586">
      <w:pPr>
        <w:widowControl w:val="0"/>
        <w:bidi w:val="0"/>
        <w:ind w:left="522" w:hanging="320" w:hangingChars="100"/>
        <w:jc w:val="both"/>
        <w:outlineLvl w:val="9"/>
        <w:rPr>
          <w:rFonts w:ascii="Calibri" w:hAnsi="Calibri" w:eastAsia="宋体" w:cs="Times New Roman"/>
          <w:b w:val="0"/>
          <w:bCs w:val="0"/>
          <w:kern w:val="2"/>
          <w:sz w:val="32"/>
          <w:szCs w:val="32"/>
          <w:lang w:bidi="ar-SA"/>
        </w:rPr>
      </w:pPr>
      <w:r>
        <w:rPr>
          <w:rFonts w:ascii="Calibri" w:hAnsi="Calibri" w:eastAsia="宋体" w:cs="Times New Roman"/>
          <w:b w:val="0"/>
          <w:bCs w:val="0"/>
          <w:kern w:val="2"/>
          <w:sz w:val="32"/>
          <w:szCs w:val="32"/>
          <w:lang w:bidi="ar-SA"/>
        </w:rPr>
        <w:t>金融风控，数据分析，贷款违约，机器学习，人工智能</w:t>
      </w:r>
    </w:p>
    <w:p w14:paraId="4AEDC306">
      <w:pPr>
        <w:widowControl w:val="0"/>
        <w:bidi w:val="0"/>
        <w:ind w:left="522" w:hanging="442" w:hangingChars="100"/>
        <w:jc w:val="both"/>
        <w:outlineLvl w:val="0"/>
        <w:rPr>
          <w:rFonts w:ascii="Calibri" w:hAnsi="Calibri" w:eastAsia="宋体" w:cs="Times New Roman"/>
          <w:b/>
          <w:bCs/>
          <w:kern w:val="2"/>
          <w:sz w:val="44"/>
          <w:szCs w:val="44"/>
          <w:lang w:bidi="ar-SA"/>
        </w:rPr>
      </w:pPr>
      <w:bookmarkStart w:id="4" w:name="_Toc8050"/>
      <w:r>
        <w:rPr>
          <w:rFonts w:ascii="Calibri" w:hAnsi="Calibri" w:eastAsia="宋体" w:cs="Times New Roman"/>
          <w:b/>
          <w:bCs/>
          <w:kern w:val="2"/>
          <w:sz w:val="44"/>
          <w:szCs w:val="44"/>
          <w:lang w:bidi="ar-SA"/>
        </w:rPr>
        <w:t>3 正文部分</w:t>
      </w:r>
      <w:bookmarkEnd w:id="4"/>
    </w:p>
    <w:p w14:paraId="752B5288">
      <w:pPr>
        <w:widowControl w:val="0"/>
        <w:bidi w:val="0"/>
        <w:jc w:val="both"/>
        <w:rPr>
          <w:rFonts w:ascii="微软雅黑" w:hAnsi="微软雅黑" w:eastAsia="微软雅黑" w:cs="微软雅黑"/>
          <w:b/>
          <w:bCs/>
          <w:i w:val="0"/>
          <w:iCs w:val="0"/>
          <w:caps w:val="0"/>
          <w:color w:val="333333"/>
          <w:spacing w:val="0"/>
          <w:kern w:val="2"/>
          <w:sz w:val="32"/>
          <w:szCs w:val="32"/>
          <w:shd w:val="clear" w:fill="FFFFFF"/>
          <w:lang w:bidi="ar-SA"/>
        </w:rPr>
      </w:pPr>
      <w:bookmarkStart w:id="5" w:name="_Toc3597"/>
      <w:r>
        <w:rPr>
          <w:rFonts w:ascii="微软雅黑" w:hAnsi="微软雅黑" w:eastAsia="微软雅黑" w:cs="微软雅黑"/>
          <w:b/>
          <w:bCs/>
          <w:i w:val="0"/>
          <w:iCs w:val="0"/>
          <w:caps w:val="0"/>
          <w:color w:val="333333"/>
          <w:spacing w:val="0"/>
          <w:kern w:val="2"/>
          <w:sz w:val="32"/>
          <w:szCs w:val="32"/>
          <w:shd w:val="clear" w:fill="FFFFFF"/>
          <w:lang w:bidi="ar-SA"/>
        </w:rPr>
        <w:t>3.1 所用技术</w:t>
      </w:r>
      <w:bookmarkEnd w:id="5"/>
    </w:p>
    <w:p w14:paraId="43AAFD31">
      <w:pPr>
        <w:widowControl w:val="0"/>
        <w:bidi w:val="0"/>
        <w:ind w:firstLine="560" w:firstLineChars="200"/>
        <w:jc w:val="both"/>
        <w:rPr>
          <w:rFonts w:ascii="微软雅黑" w:hAnsi="微软雅黑" w:eastAsia="微软雅黑" w:cs="微软雅黑"/>
          <w:b w:val="0"/>
          <w:bCs w:val="0"/>
          <w:i w:val="0"/>
          <w:iCs w:val="0"/>
          <w:caps w:val="0"/>
          <w:color w:val="333333"/>
          <w:spacing w:val="0"/>
          <w:kern w:val="2"/>
          <w:sz w:val="28"/>
          <w:szCs w:val="28"/>
          <w:shd w:val="clear" w:fill="FFFFFF"/>
          <w:lang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本研究基于Python语言进行分析，使用的开发环境为Jupyter Notebook。所涉及的库包括：数据分析库（如NumPy、Pandas）、可视化库（如Matplotlib、Seaborn）以及机器学习库（如Scikit-learn）。</w:t>
      </w:r>
    </w:p>
    <w:p w14:paraId="68BBC087">
      <w:pPr>
        <w:widowControl w:val="0"/>
        <w:bidi w:val="0"/>
        <w:jc w:val="both"/>
        <w:rPr>
          <w:rFonts w:hint="eastAsia" w:ascii="微软雅黑" w:hAnsi="微软雅黑" w:eastAsia="微软雅黑" w:cs="微软雅黑"/>
          <w:b w:val="0"/>
          <w:bCs w:val="0"/>
          <w:i w:val="0"/>
          <w:iCs w:val="0"/>
          <w:caps w:val="0"/>
          <w:color w:val="333333"/>
          <w:spacing w:val="0"/>
          <w:sz w:val="28"/>
          <w:szCs w:val="28"/>
          <w:shd w:val="clear" w:fill="FFFFFF"/>
          <w:lang w:val="en-US" w:eastAsia="zh-CN"/>
        </w:rPr>
      </w:pPr>
      <w:r>
        <w:rPr>
          <w:rFonts w:ascii="微软雅黑" w:hAnsi="微软雅黑" w:eastAsia="微软雅黑" w:cs="微软雅黑"/>
          <w:b w:val="0"/>
          <w:bCs w:val="0"/>
          <w:i w:val="0"/>
          <w:iCs w:val="0"/>
          <w:caps w:val="0"/>
          <w:color w:val="333333"/>
          <w:spacing w:val="0"/>
          <w:kern w:val="2"/>
          <w:sz w:val="28"/>
          <w:szCs w:val="28"/>
          <w:shd w:val="clear" w:fill="FFFFFF"/>
          <w:lang w:bidi="ar-SA"/>
        </w:rPr>
        <w:t>分析步骤包括：一、数据采集；二、数据清洗与预处理；三、特征工程；四、建立机器学习模型；五、模型融合。</w:t>
      </w:r>
    </w:p>
    <w:p w14:paraId="73A72562">
      <w:pPr>
        <w:widowControl w:val="0"/>
        <w:bidi w:val="0"/>
        <w:jc w:val="center"/>
        <w:rPr>
          <w:rFonts w:hint="default" w:ascii="Calibri" w:hAnsi="Calibri" w:eastAsia="宋体" w:cs="Times New Roman"/>
          <w:b w:val="0"/>
          <w:bCs w:val="0"/>
          <w:kern w:val="2"/>
          <w:sz w:val="28"/>
          <w:szCs w:val="28"/>
          <w:lang w:val="en-US" w:eastAsia="zh-CN" w:bidi="ar-SA"/>
        </w:rPr>
      </w:pPr>
      <w:r>
        <w:rPr>
          <w:rFonts w:ascii="Calibri" w:hAnsi="Calibri" w:eastAsia="宋体" w:cs="Times New Roman"/>
          <w:b w:val="0"/>
          <w:bCs w:val="0"/>
          <w:kern w:val="2"/>
          <w:sz w:val="28"/>
          <w:szCs w:val="28"/>
          <w:lang w:bidi="ar-SA"/>
        </w:rPr>
        <w:drawing>
          <wp:inline distT="0" distB="0" distL="114300" distR="114300">
            <wp:extent cx="4871720" cy="2404110"/>
            <wp:effectExtent l="0" t="0" r="508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71720" cy="2404110"/>
                    </a:xfrm>
                    <a:prstGeom prst="rect">
                      <a:avLst/>
                    </a:prstGeom>
                    <a:noFill/>
                    <a:ln>
                      <a:noFill/>
                    </a:ln>
                  </pic:spPr>
                </pic:pic>
              </a:graphicData>
            </a:graphic>
          </wp:inline>
        </w:drawing>
      </w:r>
    </w:p>
    <w:p w14:paraId="11F8CB5F">
      <w:pPr>
        <w:widowControl w:val="0"/>
        <w:bidi w:val="0"/>
        <w:jc w:val="both"/>
        <w:rPr>
          <w:rFonts w:hint="default" w:ascii="微软雅黑" w:hAnsi="微软雅黑" w:eastAsia="微软雅黑" w:cs="微软雅黑"/>
          <w:b/>
          <w:bCs/>
          <w:i w:val="0"/>
          <w:iCs w:val="0"/>
          <w:caps w:val="0"/>
          <w:color w:val="333333"/>
          <w:spacing w:val="0"/>
          <w:kern w:val="2"/>
          <w:sz w:val="32"/>
          <w:szCs w:val="32"/>
          <w:shd w:val="clear" w:fill="FFFFFF"/>
          <w:lang w:val="en-US" w:eastAsia="zh-CN" w:bidi="ar-SA"/>
        </w:rPr>
      </w:pPr>
      <w:bookmarkStart w:id="6" w:name="_Toc6837"/>
      <w:r>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t>3.2数据来源</w:t>
      </w:r>
      <w:bookmarkEnd w:id="6"/>
    </w:p>
    <w:p w14:paraId="72FC2329">
      <w:pPr>
        <w:widowControl w:val="0"/>
        <w:ind w:firstLine="560" w:firstLineChars="200"/>
        <w:jc w:val="both"/>
        <w:rPr>
          <w:rFonts w:hint="default" w:ascii="微软雅黑" w:hAnsi="微软雅黑" w:eastAsia="微软雅黑" w:cs="微软雅黑"/>
          <w:b w:val="0"/>
          <w:bCs w:val="0"/>
          <w:i w:val="0"/>
          <w:iCs w:val="0"/>
          <w:caps w:val="0"/>
          <w:color w:val="333333"/>
          <w:spacing w:val="0"/>
          <w:sz w:val="28"/>
          <w:szCs w:val="28"/>
          <w:shd w:val="clear" w:fill="FFFFFF"/>
          <w:lang w:val="en-US" w:eastAsia="zh-CN"/>
        </w:rPr>
      </w:pPr>
      <w:r>
        <w:rPr>
          <w:rFonts w:ascii="微软雅黑" w:hAnsi="微软雅黑" w:eastAsia="微软雅黑" w:cs="微软雅黑"/>
          <w:b w:val="0"/>
          <w:bCs w:val="0"/>
          <w:i w:val="0"/>
          <w:iCs w:val="0"/>
          <w:caps w:val="0"/>
          <w:color w:val="333333"/>
          <w:spacing w:val="0"/>
          <w:kern w:val="2"/>
          <w:sz w:val="28"/>
          <w:szCs w:val="28"/>
          <w:shd w:val="clear" w:fill="FFFFFF"/>
          <w:lang w:bidi="ar-SA"/>
        </w:rPr>
        <w:t>本研究数据源自某信贷平台的贷款记录数据库，数据总量逾120万条，涵盖47个变量字段，其中15个字段为匿名化处理。为便于模型验证，本研究将从中随机抽取80万条记录作为训练集，另外各20万条记录分别作为测试集A和测试集B。同时，将对employmentTitle、purpose、postCode和title等字段进行信息脱敏处理。</w:t>
      </w:r>
    </w:p>
    <w:p w14:paraId="5D28E920">
      <w:pPr>
        <w:ind w:firstLine="420" w:firstLineChars="200"/>
        <w:jc w:val="center"/>
      </w:pPr>
      <w:r>
        <w:drawing>
          <wp:inline distT="0" distB="0" distL="114300" distR="114300">
            <wp:extent cx="5267325" cy="1800860"/>
            <wp:effectExtent l="0" t="0" r="571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325" cy="1800860"/>
                    </a:xfrm>
                    <a:prstGeom prst="rect">
                      <a:avLst/>
                    </a:prstGeom>
                    <a:noFill/>
                    <a:ln>
                      <a:noFill/>
                    </a:ln>
                  </pic:spPr>
                </pic:pic>
              </a:graphicData>
            </a:graphic>
          </wp:inline>
        </w:drawing>
      </w:r>
    </w:p>
    <w:p w14:paraId="49B5D4AF">
      <w:pPr>
        <w:ind w:firstLine="420" w:firstLineChars="200"/>
        <w:jc w:val="center"/>
        <w:rPr>
          <w:rFonts w:hint="default"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训练集数据</w:t>
      </w:r>
    </w:p>
    <w:p w14:paraId="464C50F5">
      <w:pPr>
        <w:ind w:firstLine="420" w:firstLineChars="200"/>
        <w:jc w:val="center"/>
      </w:pPr>
    </w:p>
    <w:p w14:paraId="1B342B0D">
      <w:pPr>
        <w:ind w:firstLine="420" w:firstLineChars="200"/>
      </w:pPr>
    </w:p>
    <w:p w14:paraId="16648BBF">
      <w:pPr>
        <w:ind w:firstLine="420" w:firstLineChars="200"/>
        <w:jc w:val="center"/>
      </w:pPr>
      <w:r>
        <w:drawing>
          <wp:inline distT="0" distB="0" distL="114300" distR="114300">
            <wp:extent cx="5267325" cy="1779905"/>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325" cy="1779905"/>
                    </a:xfrm>
                    <a:prstGeom prst="rect">
                      <a:avLst/>
                    </a:prstGeom>
                    <a:noFill/>
                    <a:ln>
                      <a:noFill/>
                    </a:ln>
                  </pic:spPr>
                </pic:pic>
              </a:graphicData>
            </a:graphic>
          </wp:inline>
        </w:drawing>
      </w:r>
    </w:p>
    <w:p w14:paraId="5E1B7279">
      <w:pPr>
        <w:ind w:firstLine="420" w:firstLineChars="200"/>
        <w:jc w:val="center"/>
        <w:rPr>
          <w:rFonts w:hint="eastAsia"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测试集数据</w:t>
      </w:r>
    </w:p>
    <w:p w14:paraId="2947239B">
      <w:pPr>
        <w:ind w:firstLine="420" w:firstLineChars="200"/>
        <w:jc w:val="center"/>
      </w:pPr>
    </w:p>
    <w:p w14:paraId="14626441">
      <w:pPr>
        <w:ind w:firstLine="420" w:firstLineChars="200"/>
        <w:jc w:val="center"/>
      </w:pPr>
    </w:p>
    <w:p w14:paraId="0B8D4169">
      <w:pPr>
        <w:ind w:firstLine="420" w:firstLineChars="200"/>
        <w:jc w:val="center"/>
      </w:pPr>
    </w:p>
    <w:p w14:paraId="42B98C43">
      <w:pPr>
        <w:ind w:firstLine="420" w:firstLineChars="200"/>
        <w:jc w:val="center"/>
      </w:pPr>
    </w:p>
    <w:p w14:paraId="403A2C2C">
      <w:pPr>
        <w:ind w:firstLine="420" w:firstLineChars="200"/>
        <w:jc w:val="center"/>
      </w:pPr>
    </w:p>
    <w:p w14:paraId="2FF50A06">
      <w:pPr>
        <w:ind w:firstLine="420" w:firstLineChars="200"/>
        <w:jc w:val="center"/>
      </w:pPr>
    </w:p>
    <w:p w14:paraId="6B387DC6">
      <w:pPr>
        <w:ind w:firstLine="420" w:firstLineChars="200"/>
        <w:jc w:val="center"/>
      </w:pPr>
    </w:p>
    <w:p w14:paraId="5833D228">
      <w:pPr>
        <w:ind w:firstLine="420" w:firstLineChars="200"/>
        <w:jc w:val="center"/>
      </w:pPr>
    </w:p>
    <w:p w14:paraId="1389F7D9">
      <w:pPr>
        <w:ind w:firstLine="420" w:firstLineChars="200"/>
        <w:jc w:val="center"/>
      </w:pPr>
    </w:p>
    <w:p w14:paraId="5C1D4158">
      <w:pPr>
        <w:ind w:firstLine="420" w:firstLineChars="200"/>
        <w:jc w:val="center"/>
      </w:pPr>
    </w:p>
    <w:p w14:paraId="2D707D5E">
      <w:pPr>
        <w:ind w:firstLine="420" w:firstLineChars="200"/>
        <w:jc w:val="center"/>
      </w:pPr>
    </w:p>
    <w:p w14:paraId="32B8C4CB">
      <w:pPr>
        <w:ind w:firstLine="420" w:firstLineChars="200"/>
        <w:jc w:val="center"/>
      </w:pPr>
    </w:p>
    <w:p w14:paraId="3F84D8A4">
      <w:pPr>
        <w:ind w:firstLine="420" w:firstLineChars="200"/>
        <w:jc w:val="center"/>
      </w:pPr>
    </w:p>
    <w:p w14:paraId="4245996C">
      <w:pPr>
        <w:ind w:firstLine="420" w:firstLineChars="200"/>
        <w:jc w:val="center"/>
      </w:pPr>
    </w:p>
    <w:p w14:paraId="119B11C9">
      <w:pPr>
        <w:ind w:firstLine="420" w:firstLineChars="200"/>
        <w:jc w:val="center"/>
      </w:pPr>
    </w:p>
    <w:p w14:paraId="0EB94282">
      <w:pPr>
        <w:ind w:firstLine="420" w:firstLineChars="200"/>
        <w:jc w:val="center"/>
      </w:pPr>
      <w:r>
        <w:drawing>
          <wp:inline distT="0" distB="0" distL="114300" distR="114300">
            <wp:extent cx="3599815" cy="4679950"/>
            <wp:effectExtent l="0" t="0" r="1206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3599815" cy="4679950"/>
                    </a:xfrm>
                    <a:prstGeom prst="rect">
                      <a:avLst/>
                    </a:prstGeom>
                    <a:noFill/>
                    <a:ln>
                      <a:noFill/>
                    </a:ln>
                  </pic:spPr>
                </pic:pic>
              </a:graphicData>
            </a:graphic>
          </wp:inline>
        </w:drawing>
      </w:r>
      <w:r>
        <w:drawing>
          <wp:inline distT="0" distB="0" distL="114300" distR="114300">
            <wp:extent cx="3268980" cy="2595245"/>
            <wp:effectExtent l="0" t="0" r="762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268980" cy="2595245"/>
                    </a:xfrm>
                    <a:prstGeom prst="rect">
                      <a:avLst/>
                    </a:prstGeom>
                    <a:noFill/>
                    <a:ln>
                      <a:noFill/>
                    </a:ln>
                  </pic:spPr>
                </pic:pic>
              </a:graphicData>
            </a:graphic>
          </wp:inline>
        </w:drawing>
      </w:r>
    </w:p>
    <w:p w14:paraId="44B97942">
      <w:pPr>
        <w:ind w:firstLine="420" w:firstLineChars="200"/>
        <w:jc w:val="center"/>
        <w:rPr>
          <w:rFonts w:hint="default"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各特征含义</w:t>
      </w:r>
    </w:p>
    <w:p w14:paraId="64C0DCFE">
      <w:pPr>
        <w:ind w:firstLine="420" w:firstLineChars="200"/>
        <w:jc w:val="center"/>
      </w:pPr>
    </w:p>
    <w:p w14:paraId="200E4148">
      <w:pPr>
        <w:ind w:firstLine="420" w:firstLineChars="200"/>
      </w:pPr>
    </w:p>
    <w:p w14:paraId="40D292D4">
      <w:pPr>
        <w:widowControl w:val="0"/>
        <w:bidi w:val="0"/>
        <w:jc w:val="both"/>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pPr>
      <w:bookmarkStart w:id="7" w:name="_Toc10625"/>
      <w:r>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t>3.3 数据分析与清洗：</w:t>
      </w:r>
      <w:bookmarkEnd w:id="7"/>
    </w:p>
    <w:p w14:paraId="444B4F43">
      <w:pPr>
        <w:widowControl w:val="0"/>
        <w:bidi w:val="0"/>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ascii="微软雅黑" w:hAnsi="微软雅黑" w:eastAsia="微软雅黑" w:cs="微软雅黑"/>
          <w:b/>
          <w:bCs/>
          <w:i w:val="0"/>
          <w:iCs w:val="0"/>
          <w:caps w:val="0"/>
          <w:color w:val="333333"/>
          <w:spacing w:val="0"/>
          <w:kern w:val="2"/>
          <w:sz w:val="28"/>
          <w:szCs w:val="28"/>
          <w:shd w:val="clear" w:fill="FFFFFF"/>
          <w:lang w:bidi="ar-SA"/>
        </w:rPr>
        <w:t>3.3.1：对训练集数据进行量级及特征维度的审视，分析数据缺失情况以及数据类型。据图示，训练集数据量达800,000条，特征维度为47，其中22个特征存在缺失值。数据类型涵盖整型、浮点型及文本型。</w:t>
      </w:r>
    </w:p>
    <w:p w14:paraId="5DAA9827">
      <w:pPr>
        <w:ind w:firstLine="420" w:firstLineChars="200"/>
        <w:jc w:val="center"/>
      </w:pPr>
      <w:r>
        <w:drawing>
          <wp:inline distT="0" distB="0" distL="114300" distR="114300">
            <wp:extent cx="2131695" cy="516890"/>
            <wp:effectExtent l="0" t="0" r="190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131695" cy="516890"/>
                    </a:xfrm>
                    <a:prstGeom prst="rect">
                      <a:avLst/>
                    </a:prstGeom>
                    <a:noFill/>
                    <a:ln>
                      <a:noFill/>
                    </a:ln>
                  </pic:spPr>
                </pic:pic>
              </a:graphicData>
            </a:graphic>
          </wp:inline>
        </w:drawing>
      </w:r>
      <w:r>
        <w:drawing>
          <wp:inline distT="0" distB="0" distL="114300" distR="114300">
            <wp:extent cx="2765425" cy="579755"/>
            <wp:effectExtent l="0" t="0" r="8255"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765425" cy="579755"/>
                    </a:xfrm>
                    <a:prstGeom prst="rect">
                      <a:avLst/>
                    </a:prstGeom>
                    <a:noFill/>
                    <a:ln>
                      <a:noFill/>
                    </a:ln>
                  </pic:spPr>
                </pic:pic>
              </a:graphicData>
            </a:graphic>
          </wp:inline>
        </w:drawing>
      </w:r>
      <w:r>
        <w:drawing>
          <wp:inline distT="0" distB="0" distL="114300" distR="114300">
            <wp:extent cx="5269230" cy="1675765"/>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9230" cy="1675765"/>
                    </a:xfrm>
                    <a:prstGeom prst="rect">
                      <a:avLst/>
                    </a:prstGeom>
                    <a:noFill/>
                    <a:ln>
                      <a:noFill/>
                    </a:ln>
                  </pic:spPr>
                </pic:pic>
              </a:graphicData>
            </a:graphic>
          </wp:inline>
        </w:drawing>
      </w:r>
    </w:p>
    <w:p w14:paraId="65792BE6">
      <w:pPr>
        <w:ind w:firstLine="420" w:firstLineChars="200"/>
        <w:rPr>
          <w:rFonts w:hint="eastAsia"/>
          <w:lang w:val="en-US" w:eastAsia="zh-CN"/>
        </w:rPr>
      </w:pPr>
    </w:p>
    <w:p w14:paraId="25475F4B">
      <w:pPr>
        <w:ind w:firstLine="420" w:firstLineChars="200"/>
        <w:jc w:val="center"/>
      </w:pPr>
      <w:r>
        <w:drawing>
          <wp:inline distT="0" distB="0" distL="114300" distR="114300">
            <wp:extent cx="2404745" cy="4137025"/>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rcRect l="14812" r="5845" b="-463"/>
                    <a:stretch>
                      <a:fillRect/>
                    </a:stretch>
                  </pic:blipFill>
                  <pic:spPr>
                    <a:xfrm>
                      <a:off x="0" y="0"/>
                      <a:ext cx="2404745" cy="4137025"/>
                    </a:xfrm>
                    <a:prstGeom prst="rect">
                      <a:avLst/>
                    </a:prstGeom>
                    <a:noFill/>
                    <a:ln>
                      <a:noFill/>
                    </a:ln>
                  </pic:spPr>
                </pic:pic>
              </a:graphicData>
            </a:graphic>
          </wp:inline>
        </w:drawing>
      </w:r>
      <w:r>
        <w:drawing>
          <wp:inline distT="0" distB="0" distL="114300" distR="114300">
            <wp:extent cx="2319020" cy="2317750"/>
            <wp:effectExtent l="0" t="0" r="1270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319020" cy="2317750"/>
                    </a:xfrm>
                    <a:prstGeom prst="rect">
                      <a:avLst/>
                    </a:prstGeom>
                    <a:noFill/>
                    <a:ln>
                      <a:noFill/>
                    </a:ln>
                  </pic:spPr>
                </pic:pic>
              </a:graphicData>
            </a:graphic>
          </wp:inline>
        </w:drawing>
      </w:r>
    </w:p>
    <w:p w14:paraId="27ADED5E">
      <w:pPr>
        <w:ind w:firstLine="420" w:firstLineChars="200"/>
        <w:jc w:val="center"/>
        <w:rPr>
          <w:rFonts w:hint="eastAsia"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分析数据缺失情况以及数据类型</w:t>
      </w:r>
    </w:p>
    <w:p w14:paraId="092B1F23">
      <w:pPr>
        <w:widowControl w:val="0"/>
        <w:bidi w:val="0"/>
        <w:ind w:firstLine="560" w:firstLineChars="200"/>
        <w:jc w:val="left"/>
        <w:rPr>
          <w:rFonts w:hint="default" w:ascii="微软雅黑" w:hAnsi="微软雅黑" w:eastAsia="微软雅黑" w:cs="微软雅黑"/>
          <w:b/>
          <w:bCs/>
          <w:i w:val="0"/>
          <w:iCs w:val="0"/>
          <w:caps w:val="0"/>
          <w:color w:val="333333"/>
          <w:spacing w:val="0"/>
          <w:kern w:val="2"/>
          <w:sz w:val="28"/>
          <w:szCs w:val="28"/>
          <w:shd w:val="clear" w:fill="FFFFFF"/>
          <w:lang w:val="en-US" w:eastAsia="zh-CN" w:bidi="ar-SA"/>
        </w:rPr>
      </w:pPr>
      <w:r>
        <w:rPr>
          <w:rFonts w:ascii="微软雅黑" w:hAnsi="微软雅黑" w:eastAsia="微软雅黑" w:cs="微软雅黑"/>
          <w:b/>
          <w:bCs/>
          <w:i w:val="0"/>
          <w:iCs w:val="0"/>
          <w:caps w:val="0"/>
          <w:color w:val="333333"/>
          <w:spacing w:val="0"/>
          <w:kern w:val="2"/>
          <w:sz w:val="28"/>
          <w:szCs w:val="28"/>
          <w:shd w:val="clear" w:fill="FFFFFF"/>
          <w:lang w:bidi="ar-SA"/>
        </w:rPr>
        <w:t>3.3.2：对训练集中的各个特征变量进行数据量、平均值、标准偏差以及极值（包括前百分位数的最大值）的统计分析</w:t>
      </w:r>
    </w:p>
    <w:p w14:paraId="736BA20D">
      <w:pPr>
        <w:ind w:firstLine="420" w:firstLineChars="200"/>
      </w:pPr>
      <w:r>
        <w:drawing>
          <wp:inline distT="0" distB="0" distL="114300" distR="114300">
            <wp:extent cx="5272405" cy="143827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2405" cy="1438275"/>
                    </a:xfrm>
                    <a:prstGeom prst="rect">
                      <a:avLst/>
                    </a:prstGeom>
                    <a:noFill/>
                    <a:ln>
                      <a:noFill/>
                    </a:ln>
                  </pic:spPr>
                </pic:pic>
              </a:graphicData>
            </a:graphic>
          </wp:inline>
        </w:drawing>
      </w:r>
    </w:p>
    <w:p w14:paraId="10C7B2BE">
      <w:pPr>
        <w:ind w:firstLine="420" w:firstLineChars="200"/>
        <w:jc w:val="center"/>
        <w:rPr>
          <w:rFonts w:hint="eastAsia" w:ascii="微软雅黑" w:hAnsi="微软雅黑" w:eastAsia="微软雅黑" w:cs="微软雅黑"/>
          <w:b/>
          <w:bCs/>
          <w:i w:val="0"/>
          <w:iCs w:val="0"/>
          <w:caps w:val="0"/>
          <w:color w:val="333333"/>
          <w:spacing w:val="0"/>
          <w:sz w:val="21"/>
          <w:szCs w:val="21"/>
          <w:shd w:val="clear" w:fill="FFFFFF"/>
          <w:lang w:val="en-US" w:eastAsia="zh-CN"/>
        </w:rPr>
      </w:pPr>
      <w:bookmarkStart w:id="11" w:name="_GoBack"/>
      <w:bookmarkEnd w:id="11"/>
      <w:r>
        <w:rPr>
          <w:rFonts w:hint="eastAsia" w:ascii="微软雅黑" w:hAnsi="微软雅黑" w:eastAsia="微软雅黑" w:cs="微软雅黑"/>
          <w:b/>
          <w:bCs/>
          <w:i w:val="0"/>
          <w:iCs w:val="0"/>
          <w:caps w:val="0"/>
          <w:color w:val="333333"/>
          <w:spacing w:val="0"/>
          <w:sz w:val="21"/>
          <w:szCs w:val="21"/>
          <w:shd w:val="clear" w:fill="FFFFFF"/>
          <w:lang w:val="en-US" w:eastAsia="zh-CN"/>
        </w:rPr>
        <w:t>特征变量进行统计分析</w:t>
      </w:r>
    </w:p>
    <w:p w14:paraId="5AA58A7B">
      <w:pPr>
        <w:ind w:firstLine="420" w:firstLineChars="200"/>
      </w:pPr>
    </w:p>
    <w:p w14:paraId="2FD0DE60">
      <w:pPr>
        <w:widowControl w:val="0"/>
        <w:bidi w:val="0"/>
        <w:ind w:firstLine="560" w:firstLineChars="200"/>
        <w:jc w:val="left"/>
        <w:rPr>
          <w:rFonts w:hint="default" w:ascii="微软雅黑" w:hAnsi="微软雅黑" w:eastAsia="微软雅黑" w:cs="微软雅黑"/>
          <w:b/>
          <w:bCs/>
          <w:i w:val="0"/>
          <w:iCs w:val="0"/>
          <w:caps w:val="0"/>
          <w:color w:val="333333"/>
          <w:spacing w:val="0"/>
          <w:kern w:val="2"/>
          <w:sz w:val="28"/>
          <w:szCs w:val="28"/>
          <w:shd w:val="clear" w:fill="FFFFFF"/>
          <w:lang w:val="en-US" w:eastAsia="zh-CN" w:bidi="ar-SA"/>
        </w:rPr>
      </w:pPr>
      <w:r>
        <w:rPr>
          <w:rFonts w:ascii="微软雅黑" w:hAnsi="微软雅黑" w:eastAsia="微软雅黑" w:cs="微软雅黑"/>
          <w:b/>
          <w:bCs/>
          <w:i w:val="0"/>
          <w:iCs w:val="0"/>
          <w:caps w:val="0"/>
          <w:color w:val="333333"/>
          <w:spacing w:val="0"/>
          <w:kern w:val="2"/>
          <w:sz w:val="28"/>
          <w:szCs w:val="28"/>
          <w:shd w:val="clear" w:fill="FFFFFF"/>
          <w:lang w:bidi="ar-SA"/>
        </w:rPr>
        <w:t>3.3.3：缺失数据的分析与填补</w:t>
      </w:r>
    </w:p>
    <w:p w14:paraId="65FB0D97">
      <w:pPr>
        <w:widowControl w:val="0"/>
        <w:bidi w:val="0"/>
        <w:ind w:firstLine="560" w:firstLineChars="200"/>
        <w:jc w:val="left"/>
        <w:rPr>
          <w:rFonts w:ascii="微软雅黑" w:hAnsi="微软雅黑" w:eastAsia="微软雅黑" w:cs="微软雅黑"/>
          <w:b w:val="0"/>
          <w:bCs w:val="0"/>
          <w:i w:val="0"/>
          <w:iCs w:val="0"/>
          <w:caps w:val="0"/>
          <w:color w:val="333333"/>
          <w:spacing w:val="0"/>
          <w:kern w:val="2"/>
          <w:sz w:val="28"/>
          <w:szCs w:val="28"/>
          <w:shd w:val="clear" w:fill="FFFFFF"/>
          <w:lang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根据</w:t>
      </w: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3.3.3</w:t>
      </w:r>
      <w:r>
        <w:rPr>
          <w:rFonts w:ascii="微软雅黑" w:hAnsi="微软雅黑" w:eastAsia="微软雅黑" w:cs="微软雅黑"/>
          <w:b w:val="0"/>
          <w:bCs w:val="0"/>
          <w:i w:val="0"/>
          <w:iCs w:val="0"/>
          <w:caps w:val="0"/>
          <w:color w:val="333333"/>
          <w:spacing w:val="0"/>
          <w:kern w:val="2"/>
          <w:sz w:val="28"/>
          <w:szCs w:val="28"/>
          <w:shd w:val="clear" w:fill="FFFFFF"/>
          <w:lang w:bidi="ar-SA"/>
        </w:rPr>
        <w:t>节的分析结果，训练集中共有22个特征列存在缺失值。</w:t>
      </w:r>
    </w:p>
    <w:p w14:paraId="1B7F4749">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为探究缺失值特征之间的相关性，本研究对缺失特征进行了深入分析。首先，纵向审视数据集，识别出含有缺失值（"nan"）的列，并统计各列中"nan"的数量。此举旨在评估某一列中"nan"值的频率是否显著，若某一列中"nan"值过多，则该列对标签（label）的影响可能微乎其微，从而可考虑将其排除。反之，若缺失值较少，则通常采用填充策略。此外，通过横向比较，若数据集中存在大量样本在多数列上均缺失数据，且样本量充足，可考虑将这些样本删除。</w:t>
      </w:r>
    </w:p>
    <w:p w14:paraId="0A159E8A">
      <w:pPr>
        <w:jc w:val="center"/>
      </w:pPr>
      <w:r>
        <w:drawing>
          <wp:inline distT="0" distB="0" distL="114300" distR="114300">
            <wp:extent cx="5243830" cy="3042285"/>
            <wp:effectExtent l="0" t="0" r="1397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43830" cy="3042285"/>
                    </a:xfrm>
                    <a:prstGeom prst="rect">
                      <a:avLst/>
                    </a:prstGeom>
                    <a:noFill/>
                    <a:ln>
                      <a:noFill/>
                    </a:ln>
                  </pic:spPr>
                </pic:pic>
              </a:graphicData>
            </a:graphic>
          </wp:inline>
        </w:drawing>
      </w:r>
    </w:p>
    <w:p w14:paraId="52251CA8">
      <w:pPr>
        <w:ind w:firstLine="420" w:firstLineChars="200"/>
        <w:jc w:val="center"/>
        <w:rPr>
          <w:rFonts w:hint="default"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Nan可视化</w:t>
      </w:r>
    </w:p>
    <w:p w14:paraId="76583475">
      <w:pPr>
        <w:widowControl w:val="0"/>
        <w:bidi w:val="0"/>
        <w:ind w:firstLine="560" w:firstLineChars="200"/>
        <w:jc w:val="left"/>
        <w:rPr>
          <w:rFonts w:ascii="微软雅黑" w:hAnsi="微软雅黑" w:eastAsia="微软雅黑" w:cs="微软雅黑"/>
          <w:b w:val="0"/>
          <w:bCs w:val="0"/>
          <w:i w:val="0"/>
          <w:iCs w:val="0"/>
          <w:caps w:val="0"/>
          <w:color w:val="333333"/>
          <w:spacing w:val="0"/>
          <w:kern w:val="2"/>
          <w:sz w:val="28"/>
          <w:szCs w:val="28"/>
          <w:shd w:val="clear" w:fill="FFFFFF"/>
          <w:lang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观察图表数据，可发现就业年限及若干匿名特征的缺失数据量较大，而其他部分特征的缺失值较少，可予以忽略（直接删除，但需注意数据重新排序）。</w:t>
      </w:r>
    </w:p>
    <w:p w14:paraId="0BF40E03">
      <w:pPr>
        <w:widowControl w:val="0"/>
        <w:bidi w:val="0"/>
        <w:ind w:firstLine="560" w:firstLineChars="200"/>
        <w:jc w:val="left"/>
        <w:rPr>
          <w:rFonts w:ascii="微软雅黑" w:hAnsi="微软雅黑" w:eastAsia="微软雅黑" w:cs="微软雅黑"/>
          <w:b w:val="0"/>
          <w:bCs w:val="0"/>
          <w:i w:val="0"/>
          <w:iCs w:val="0"/>
          <w:caps w:val="0"/>
          <w:color w:val="333333"/>
          <w:spacing w:val="0"/>
          <w:kern w:val="2"/>
          <w:sz w:val="28"/>
          <w:szCs w:val="28"/>
          <w:shd w:val="clear" w:fill="FFFFFF"/>
          <w:lang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接下来，将对缺失值进行清洗与填充处理：</w:t>
      </w:r>
    </w:p>
    <w:p w14:paraId="6208D6CF">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ascii="微软雅黑" w:hAnsi="微软雅黑" w:eastAsia="微软雅黑" w:cs="微软雅黑"/>
          <w:b w:val="0"/>
          <w:bCs w:val="0"/>
          <w:i w:val="0"/>
          <w:iCs w:val="0"/>
          <w:caps w:val="0"/>
          <w:color w:val="333333"/>
          <w:spacing w:val="0"/>
          <w:kern w:val="2"/>
          <w:sz w:val="28"/>
          <w:szCs w:val="28"/>
          <w:shd w:val="clear" w:fill="FFFFFF"/>
          <w:lang w:bidi="ar-SA"/>
        </w:rPr>
        <w:t>分析表明，在本数据集中，可采用填充特征平均值的方法来替代缺失数据（在数据分析实践中，对于数值型变量，通常采用均值或极值填充缺失值；对于文本型变量，则常利用sklearn.preprocessing模块中的LabelEncoder进行数值编码，以实现对数据及缺失值的直接处理）。</w:t>
      </w:r>
    </w:p>
    <w:p w14:paraId="37BD9EB9">
      <w:pPr>
        <w:jc w:val="center"/>
      </w:pPr>
      <w:r>
        <w:drawing>
          <wp:inline distT="0" distB="0" distL="114300" distR="114300">
            <wp:extent cx="5269865" cy="1392555"/>
            <wp:effectExtent l="0" t="0" r="317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9865" cy="1392555"/>
                    </a:xfrm>
                    <a:prstGeom prst="rect">
                      <a:avLst/>
                    </a:prstGeom>
                    <a:noFill/>
                    <a:ln>
                      <a:noFill/>
                    </a:ln>
                  </pic:spPr>
                </pic:pic>
              </a:graphicData>
            </a:graphic>
          </wp:inline>
        </w:drawing>
      </w:r>
    </w:p>
    <w:p w14:paraId="7FB70055">
      <w:pPr>
        <w:jc w:val="center"/>
      </w:pPr>
      <w:r>
        <w:drawing>
          <wp:inline distT="0" distB="0" distL="114300" distR="114300">
            <wp:extent cx="5271770" cy="541020"/>
            <wp:effectExtent l="0" t="0" r="12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1770" cy="541020"/>
                    </a:xfrm>
                    <a:prstGeom prst="rect">
                      <a:avLst/>
                    </a:prstGeom>
                    <a:noFill/>
                    <a:ln>
                      <a:noFill/>
                    </a:ln>
                  </pic:spPr>
                </pic:pic>
              </a:graphicData>
            </a:graphic>
          </wp:inline>
        </w:drawing>
      </w:r>
    </w:p>
    <w:p w14:paraId="62A6A25C">
      <w:pPr>
        <w:jc w:val="center"/>
      </w:pPr>
      <w:r>
        <w:drawing>
          <wp:inline distT="0" distB="0" distL="114300" distR="114300">
            <wp:extent cx="5264785" cy="79248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4785" cy="792480"/>
                    </a:xfrm>
                    <a:prstGeom prst="rect">
                      <a:avLst/>
                    </a:prstGeom>
                    <a:noFill/>
                    <a:ln>
                      <a:noFill/>
                    </a:ln>
                  </pic:spPr>
                </pic:pic>
              </a:graphicData>
            </a:graphic>
          </wp:inline>
        </w:drawing>
      </w:r>
    </w:p>
    <w:p w14:paraId="150139C1">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清洗结果：</w:t>
      </w:r>
    </w:p>
    <w:p w14:paraId="5DEB2A01">
      <w:pPr>
        <w:jc w:val="center"/>
      </w:pPr>
      <w:r>
        <w:drawing>
          <wp:inline distT="0" distB="0" distL="114300" distR="114300">
            <wp:extent cx="4389120" cy="12496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389120" cy="1249680"/>
                    </a:xfrm>
                    <a:prstGeom prst="rect">
                      <a:avLst/>
                    </a:prstGeom>
                    <a:noFill/>
                    <a:ln>
                      <a:noFill/>
                    </a:ln>
                  </pic:spPr>
                </pic:pic>
              </a:graphicData>
            </a:graphic>
          </wp:inline>
        </w:drawing>
      </w:r>
    </w:p>
    <w:p w14:paraId="6C0EA236">
      <w:pPr>
        <w:ind w:firstLine="420" w:firstLineChars="200"/>
        <w:jc w:val="center"/>
        <w:rPr>
          <w:rFonts w:hint="eastAsia"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缺失值进行清洗与填充处理</w:t>
      </w:r>
    </w:p>
    <w:p w14:paraId="23A05465">
      <w:pPr>
        <w:widowControl w:val="0"/>
        <w:bidi w:val="0"/>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3.3.4：处理文本型数据</w:t>
      </w:r>
    </w:p>
    <w:p w14:paraId="1E6087C6">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在文本型数据处理过程中，通常采纳两种编码策略。其一为直接将文本型数据通过标签编码器（label encoder）进行数值化处理（标签编码器的作用在于将标签转换为数值形式。例如，若标签为一系列地名，由于地名无法直接输入至sklearn的分类模型中作为训练标签，因此需先将地名转换为数字形式）。其二为独热编码（one-hot编码），该方法通过将离散型特征转换为one-hot编码形式，使得特征间距离的计算更为合理。经过one-hot编码处理的离散特征，其每一维度均可视为连续特征，从而可以采用与连续型特征相同的归一化方法，对每一维度特征进行归一化处理。在本研究中，根据特征的具体属性，本人同时采用了标签编码器方法对数据进行编码处理（鉴于文本型特征值数据存在较多的不同值）。</w:t>
      </w:r>
    </w:p>
    <w:p w14:paraId="1F607F3E">
      <w:pPr>
        <w:ind w:firstLine="420" w:firstLineChars="200"/>
      </w:pPr>
      <w:r>
        <w:drawing>
          <wp:inline distT="0" distB="0" distL="114300" distR="114300">
            <wp:extent cx="4933315" cy="1809750"/>
            <wp:effectExtent l="0" t="0" r="444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933315" cy="1809750"/>
                    </a:xfrm>
                    <a:prstGeom prst="rect">
                      <a:avLst/>
                    </a:prstGeom>
                    <a:noFill/>
                    <a:ln>
                      <a:noFill/>
                    </a:ln>
                  </pic:spPr>
                </pic:pic>
              </a:graphicData>
            </a:graphic>
          </wp:inline>
        </w:drawing>
      </w:r>
    </w:p>
    <w:p w14:paraId="66CFD951">
      <w:pPr>
        <w:ind w:firstLine="420" w:firstLineChars="200"/>
      </w:pPr>
      <w:r>
        <w:drawing>
          <wp:inline distT="0" distB="0" distL="114300" distR="114300">
            <wp:extent cx="2349500" cy="3284855"/>
            <wp:effectExtent l="0" t="0" r="1270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349500" cy="3284855"/>
                    </a:xfrm>
                    <a:prstGeom prst="rect">
                      <a:avLst/>
                    </a:prstGeom>
                    <a:noFill/>
                    <a:ln>
                      <a:noFill/>
                    </a:ln>
                  </pic:spPr>
                </pic:pic>
              </a:graphicData>
            </a:graphic>
          </wp:inline>
        </w:drawing>
      </w:r>
      <w:r>
        <w:drawing>
          <wp:inline distT="0" distB="0" distL="114300" distR="114300">
            <wp:extent cx="2196465" cy="3299460"/>
            <wp:effectExtent l="0" t="0" r="133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196465" cy="3299460"/>
                    </a:xfrm>
                    <a:prstGeom prst="rect">
                      <a:avLst/>
                    </a:prstGeom>
                    <a:noFill/>
                    <a:ln>
                      <a:noFill/>
                    </a:ln>
                  </pic:spPr>
                </pic:pic>
              </a:graphicData>
            </a:graphic>
          </wp:inline>
        </w:drawing>
      </w:r>
    </w:p>
    <w:p w14:paraId="13FC7A2E">
      <w:pPr>
        <w:ind w:firstLine="420" w:firstLineChars="200"/>
        <w:jc w:val="center"/>
        <w:rPr>
          <w:rFonts w:hint="eastAsia"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处理文本型数据</w:t>
      </w:r>
    </w:p>
    <w:p w14:paraId="57783FF7">
      <w:pPr>
        <w:ind w:firstLine="420" w:firstLineChars="200"/>
        <w:rPr>
          <w:rFonts w:hint="default"/>
          <w:lang w:val="en-US" w:eastAsia="zh-CN"/>
        </w:rPr>
      </w:pPr>
    </w:p>
    <w:p w14:paraId="5FED9613">
      <w:pPr>
        <w:widowControl w:val="0"/>
        <w:bidi w:val="0"/>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3.3.5 删除冗余特征列</w:t>
      </w:r>
    </w:p>
    <w:p w14:paraId="36F35B40">
      <w:pPr>
        <w:widowControl w:val="0"/>
        <w:bidi w:val="0"/>
        <w:ind w:firstLine="562" w:firstLineChars="200"/>
        <w:jc w:val="both"/>
        <w:rPr>
          <w:rFonts w:hint="eastAsia"/>
          <w:b/>
          <w:bCs/>
          <w:sz w:val="28"/>
          <w:szCs w:val="28"/>
          <w:lang w:val="en-US" w:eastAsia="zh-CN"/>
        </w:rPr>
      </w:pPr>
      <w:r>
        <w:rPr>
          <w:rFonts w:ascii="Calibri" w:hAnsi="Calibri" w:eastAsia="宋体" w:cs="Times New Roman"/>
          <w:b/>
          <w:bCs/>
          <w:kern w:val="2"/>
          <w:sz w:val="28"/>
          <w:szCs w:val="28"/>
          <w:lang w:bidi="ar-SA"/>
        </w:rPr>
        <w:t>在特征选择过程中，通常会移除对模型构建影响较小的特征列。在此过程中，需依据数据特性进行差异化分析。例如，若特征列中的数据具有唯一性，则该特征列对模型的预测能力通常贡献有限。</w:t>
      </w:r>
    </w:p>
    <w:p w14:paraId="2AE57E33">
      <w:pPr>
        <w:ind w:firstLine="420" w:firstLineChars="200"/>
      </w:pPr>
      <w:r>
        <w:drawing>
          <wp:inline distT="0" distB="0" distL="114300" distR="114300">
            <wp:extent cx="4453890" cy="1173480"/>
            <wp:effectExtent l="0" t="0" r="1143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453890" cy="1173480"/>
                    </a:xfrm>
                    <a:prstGeom prst="rect">
                      <a:avLst/>
                    </a:prstGeom>
                    <a:noFill/>
                    <a:ln>
                      <a:noFill/>
                    </a:ln>
                  </pic:spPr>
                </pic:pic>
              </a:graphicData>
            </a:graphic>
          </wp:inline>
        </w:drawing>
      </w:r>
    </w:p>
    <w:p w14:paraId="2DDF8532">
      <w:pPr>
        <w:widowControl w:val="0"/>
        <w:bidi w:val="0"/>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3.3.6：移除数据集中的重复项</w:t>
      </w:r>
    </w:p>
    <w:p w14:paraId="6FF41094">
      <w:pPr>
        <w:ind w:firstLine="420" w:firstLineChars="200"/>
      </w:pPr>
      <w:r>
        <w:drawing>
          <wp:inline distT="0" distB="0" distL="114300" distR="114300">
            <wp:extent cx="3154680" cy="89154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154680" cy="891540"/>
                    </a:xfrm>
                    <a:prstGeom prst="rect">
                      <a:avLst/>
                    </a:prstGeom>
                    <a:noFill/>
                    <a:ln>
                      <a:noFill/>
                    </a:ln>
                  </pic:spPr>
                </pic:pic>
              </a:graphicData>
            </a:graphic>
          </wp:inline>
        </w:drawing>
      </w:r>
    </w:p>
    <w:p w14:paraId="5D7778C8">
      <w:pPr>
        <w:widowControl w:val="0"/>
        <w:bidi w:val="0"/>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3.3.7 特征间相关性分析</w:t>
      </w:r>
    </w:p>
    <w:p w14:paraId="277E4B6F">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进行数据相关性分析时，通常利用data.corr()函数来评估数据集中各变量间的相关性。该函数的返回值范围为[-1,1]，其中值接近-1表示变量间存在负相关关系，类似于反比例函数；值接近1则表示变量间存在正相关关系。data.corr()函数默认采用皮尔森相关系数，这是一种基础且直观的方法，用于揭示特征与响应变量之间的关系，主要衡量变量间的线性相关性。此外，该方法亦可应用于特征选择过程。</w:t>
      </w:r>
    </w:p>
    <w:p w14:paraId="302C66AB">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通过相关性筛选，可以识别出与目标变量（标签）相关且具有解释意义的特征。同时，依据相关性分析结果，可对与目标变量相关性较高的特征进行深入探讨。例如，数据分析揭示了subGrade（贷款等级子级）、interestRate（贷款利率）以及term（贷款期限，以年为单位）等特征与违约行为之间存在较高的相关性。</w:t>
      </w:r>
    </w:p>
    <w:p w14:paraId="156EB820">
      <w:pPr>
        <w:ind w:firstLine="480" w:firstLineChars="200"/>
        <w:rPr>
          <w:rFonts w:hint="default" w:ascii="宋体" w:hAnsi="宋体" w:eastAsia="宋体" w:cs="宋体"/>
          <w:sz w:val="24"/>
          <w:szCs w:val="24"/>
          <w:lang w:val="en-US" w:eastAsia="zh-CN"/>
        </w:rPr>
      </w:pPr>
    </w:p>
    <w:p w14:paraId="52EED5A6">
      <w:pPr>
        <w:ind w:firstLine="420" w:firstLineChars="200"/>
        <w:jc w:val="center"/>
      </w:pPr>
      <w:r>
        <w:drawing>
          <wp:inline distT="0" distB="0" distL="114300" distR="114300">
            <wp:extent cx="3431540" cy="4037965"/>
            <wp:effectExtent l="0" t="0" r="1270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5"/>
                    <a:stretch>
                      <a:fillRect/>
                    </a:stretch>
                  </pic:blipFill>
                  <pic:spPr>
                    <a:xfrm>
                      <a:off x="0" y="0"/>
                      <a:ext cx="3431540" cy="4037965"/>
                    </a:xfrm>
                    <a:prstGeom prst="rect">
                      <a:avLst/>
                    </a:prstGeom>
                    <a:noFill/>
                    <a:ln>
                      <a:noFill/>
                    </a:ln>
                  </pic:spPr>
                </pic:pic>
              </a:graphicData>
            </a:graphic>
          </wp:inline>
        </w:drawing>
      </w:r>
    </w:p>
    <w:p w14:paraId="708287EF">
      <w:pPr>
        <w:ind w:firstLine="420" w:firstLineChars="200"/>
      </w:pPr>
    </w:p>
    <w:p w14:paraId="26D2B17F">
      <w:pPr>
        <w:ind w:firstLine="420" w:firstLineChars="200"/>
        <w:jc w:val="center"/>
      </w:pPr>
      <w:r>
        <w:drawing>
          <wp:inline distT="0" distB="0" distL="114300" distR="114300">
            <wp:extent cx="3757930" cy="3051810"/>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6"/>
                    <a:stretch>
                      <a:fillRect/>
                    </a:stretch>
                  </pic:blipFill>
                  <pic:spPr>
                    <a:xfrm>
                      <a:off x="0" y="0"/>
                      <a:ext cx="3757930" cy="3051810"/>
                    </a:xfrm>
                    <a:prstGeom prst="rect">
                      <a:avLst/>
                    </a:prstGeom>
                    <a:noFill/>
                    <a:ln>
                      <a:noFill/>
                    </a:ln>
                  </pic:spPr>
                </pic:pic>
              </a:graphicData>
            </a:graphic>
          </wp:inline>
        </w:drawing>
      </w:r>
    </w:p>
    <w:p w14:paraId="12BD9D2C">
      <w:pPr>
        <w:ind w:firstLine="420" w:firstLineChars="200"/>
        <w:jc w:val="center"/>
        <w:rPr>
          <w:rFonts w:hint="default"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各个特征之间的相关性</w:t>
      </w:r>
    </w:p>
    <w:p w14:paraId="40DE74EF">
      <w:pPr>
        <w:ind w:firstLine="420" w:firstLineChars="200"/>
        <w:jc w:val="center"/>
      </w:pPr>
    </w:p>
    <w:p w14:paraId="44E73D57">
      <w:pPr>
        <w:ind w:firstLine="420" w:firstLineChars="200"/>
        <w:jc w:val="center"/>
      </w:pPr>
      <w:r>
        <w:drawing>
          <wp:inline distT="0" distB="0" distL="114300" distR="114300">
            <wp:extent cx="5772785" cy="2921000"/>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stretch>
                      <a:fillRect/>
                    </a:stretch>
                  </pic:blipFill>
                  <pic:spPr>
                    <a:xfrm>
                      <a:off x="0" y="0"/>
                      <a:ext cx="5772785" cy="2921000"/>
                    </a:xfrm>
                    <a:prstGeom prst="rect">
                      <a:avLst/>
                    </a:prstGeom>
                    <a:noFill/>
                    <a:ln>
                      <a:noFill/>
                    </a:ln>
                  </pic:spPr>
                </pic:pic>
              </a:graphicData>
            </a:graphic>
          </wp:inline>
        </w:drawing>
      </w:r>
    </w:p>
    <w:p w14:paraId="5A0948F3">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经相关性分析，subGrade贷款等级的子级、interestRate（贷款利率）以及term（贷款期限，以年为单位）与违约行为之间存在显著的相关性。因此，本研究通过</w:t>
      </w:r>
    </w:p>
    <w:p w14:paraId="37691BA5">
      <w:pPr>
        <w:widowControl w:val="0"/>
        <w:bidi w:val="0"/>
        <w:ind w:firstLine="560" w:firstLineChars="200"/>
        <w:jc w:val="left"/>
        <w:rPr>
          <w:rFonts w:hint="default"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3.3.8</w:t>
      </w:r>
      <w:r>
        <w:rPr>
          <w:rFonts w:hint="default" w:ascii="微软雅黑" w:hAnsi="微软雅黑" w:eastAsia="微软雅黑" w:cs="微软雅黑"/>
          <w:b/>
          <w:bCs/>
          <w:i w:val="0"/>
          <w:iCs w:val="0"/>
          <w:caps w:val="0"/>
          <w:color w:val="333333"/>
          <w:spacing w:val="0"/>
          <w:kern w:val="2"/>
          <w:sz w:val="28"/>
          <w:szCs w:val="28"/>
          <w:shd w:val="clear" w:fill="FFFFFF"/>
          <w:lang w:val="en-US" w:eastAsia="zh-CN" w:bidi="ar-SA"/>
        </w:rPr>
        <w:t>数字特征</w:t>
      </w: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的</w:t>
      </w:r>
      <w:r>
        <w:rPr>
          <w:rFonts w:hint="default" w:ascii="微软雅黑" w:hAnsi="微软雅黑" w:eastAsia="微软雅黑" w:cs="微软雅黑"/>
          <w:b/>
          <w:bCs/>
          <w:i w:val="0"/>
          <w:iCs w:val="0"/>
          <w:caps w:val="0"/>
          <w:color w:val="333333"/>
          <w:spacing w:val="0"/>
          <w:kern w:val="2"/>
          <w:sz w:val="28"/>
          <w:szCs w:val="28"/>
          <w:shd w:val="clear" w:fill="FFFFFF"/>
          <w:lang w:val="en-US" w:eastAsia="zh-CN" w:bidi="ar-SA"/>
        </w:rPr>
        <w:t>分布可视化</w:t>
      </w: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（特征的分布情况分析）</w:t>
      </w:r>
    </w:p>
    <w:p w14:paraId="2CB29E0D">
      <w:pPr>
        <w:ind w:firstLine="420" w:firstLineChars="200"/>
        <w:jc w:val="center"/>
      </w:pPr>
      <w:r>
        <w:drawing>
          <wp:inline distT="0" distB="0" distL="114300" distR="114300">
            <wp:extent cx="2247900" cy="4844415"/>
            <wp:effectExtent l="0" t="0" r="762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rcRect t="498" r="28545"/>
                    <a:stretch>
                      <a:fillRect/>
                    </a:stretch>
                  </pic:blipFill>
                  <pic:spPr>
                    <a:xfrm>
                      <a:off x="0" y="0"/>
                      <a:ext cx="2247900" cy="4844415"/>
                    </a:xfrm>
                    <a:prstGeom prst="rect">
                      <a:avLst/>
                    </a:prstGeom>
                    <a:noFill/>
                    <a:ln>
                      <a:noFill/>
                    </a:ln>
                  </pic:spPr>
                </pic:pic>
              </a:graphicData>
            </a:graphic>
          </wp:inline>
        </w:drawing>
      </w:r>
      <w:r>
        <w:drawing>
          <wp:inline distT="0" distB="0" distL="114300" distR="114300">
            <wp:extent cx="2139950" cy="4841875"/>
            <wp:effectExtent l="0" t="0" r="889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9"/>
                    <a:srcRect l="16667" t="-135"/>
                    <a:stretch>
                      <a:fillRect/>
                    </a:stretch>
                  </pic:blipFill>
                  <pic:spPr>
                    <a:xfrm>
                      <a:off x="0" y="0"/>
                      <a:ext cx="2139950" cy="4841875"/>
                    </a:xfrm>
                    <a:prstGeom prst="rect">
                      <a:avLst/>
                    </a:prstGeom>
                    <a:noFill/>
                    <a:ln>
                      <a:noFill/>
                    </a:ln>
                  </pic:spPr>
                </pic:pic>
              </a:graphicData>
            </a:graphic>
          </wp:inline>
        </w:drawing>
      </w:r>
    </w:p>
    <w:p w14:paraId="0AB3A739">
      <w:pPr>
        <w:ind w:firstLine="420" w:firstLineChars="200"/>
        <w:jc w:val="center"/>
      </w:pPr>
      <w:r>
        <w:drawing>
          <wp:inline distT="0" distB="0" distL="114300" distR="114300">
            <wp:extent cx="2061845" cy="6124575"/>
            <wp:effectExtent l="0" t="0" r="1079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rcRect t="894" r="26272"/>
                    <a:stretch>
                      <a:fillRect/>
                    </a:stretch>
                  </pic:blipFill>
                  <pic:spPr>
                    <a:xfrm>
                      <a:off x="0" y="0"/>
                      <a:ext cx="2061845" cy="6124575"/>
                    </a:xfrm>
                    <a:prstGeom prst="rect">
                      <a:avLst/>
                    </a:prstGeom>
                    <a:noFill/>
                    <a:ln>
                      <a:noFill/>
                    </a:ln>
                  </pic:spPr>
                </pic:pic>
              </a:graphicData>
            </a:graphic>
          </wp:inline>
        </w:drawing>
      </w:r>
      <w:r>
        <w:drawing>
          <wp:inline distT="0" distB="0" distL="114300" distR="114300">
            <wp:extent cx="2865120" cy="41757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2865120" cy="4175760"/>
                    </a:xfrm>
                    <a:prstGeom prst="rect">
                      <a:avLst/>
                    </a:prstGeom>
                    <a:noFill/>
                    <a:ln>
                      <a:noFill/>
                    </a:ln>
                  </pic:spPr>
                </pic:pic>
              </a:graphicData>
            </a:graphic>
          </wp:inline>
        </w:drawing>
      </w:r>
    </w:p>
    <w:p w14:paraId="688C5E7C">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数值可视化的功能：通过观察数据的数值分布，实现对数据的深入分析，并识别特征趋势以指导相应的决策制定。</w:t>
      </w:r>
    </w:p>
    <w:p w14:paraId="67192E64">
      <w:pPr>
        <w:widowControl w:val="0"/>
        <w:bidi w:val="0"/>
        <w:ind w:firstLine="560" w:firstLineChars="200"/>
        <w:jc w:val="left"/>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相关性分析揭示：SubGrade（信誉等级）对标签具有显著影响。因此，有必要对这一特征进行专项的数据可视化分析（见下图）。分析结果表明，信誉等级中人数最多的为C1，而最少的为G5。人数较多的等级包括C1、B4、B5、B3和C2，而人数较少的则为G1、G2、G3、G4和G5。基于此，若旨在降低违约率，策略上应考虑提升用户的信誉等级，进而制定针对性的决策。</w:t>
      </w:r>
      <w:r>
        <w:drawing>
          <wp:inline distT="0" distB="0" distL="114300" distR="114300">
            <wp:extent cx="5208905" cy="2001520"/>
            <wp:effectExtent l="0" t="0" r="3175"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2"/>
                    <a:stretch>
                      <a:fillRect/>
                    </a:stretch>
                  </pic:blipFill>
                  <pic:spPr>
                    <a:xfrm>
                      <a:off x="0" y="0"/>
                      <a:ext cx="5208905" cy="2001520"/>
                    </a:xfrm>
                    <a:prstGeom prst="rect">
                      <a:avLst/>
                    </a:prstGeom>
                    <a:noFill/>
                    <a:ln>
                      <a:noFill/>
                    </a:ln>
                  </pic:spPr>
                </pic:pic>
              </a:graphicData>
            </a:graphic>
          </wp:inline>
        </w:drawing>
      </w:r>
    </w:p>
    <w:p w14:paraId="7D70D947">
      <w:pPr>
        <w:ind w:firstLine="420" w:firstLineChars="200"/>
      </w:pPr>
    </w:p>
    <w:p w14:paraId="0B68266B">
      <w:pPr>
        <w:ind w:firstLine="420" w:firstLineChars="200"/>
      </w:pPr>
    </w:p>
    <w:p w14:paraId="2DC316AD">
      <w:pPr>
        <w:ind w:firstLine="420" w:firstLineChars="200"/>
        <w:rPr>
          <w:rFonts w:hint="eastAsia"/>
          <w:lang w:val="en-US" w:eastAsia="zh-CN"/>
        </w:rPr>
      </w:pPr>
    </w:p>
    <w:p w14:paraId="2984DF29">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同时，贷款利率（interestRate）作为一项具有显著影响的特征，其在单独特征可视化分析中显示出，贷款利率主要分布在8至15的区间内。其中，以10.99的贷款利率为最多，尽管存在少数个体的贷款利率较高，但这些高值仅占少数。基于此，可以针对贷款利率制定相应的策略，以期降低违约率。</w:t>
      </w:r>
    </w:p>
    <w:p w14:paraId="101B042C">
      <w:pPr>
        <w:ind w:firstLine="420" w:firstLineChars="200"/>
      </w:pPr>
      <w:r>
        <w:drawing>
          <wp:inline distT="0" distB="0" distL="114300" distR="114300">
            <wp:extent cx="4911090" cy="2862580"/>
            <wp:effectExtent l="0" t="0" r="1143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stretch>
                      <a:fillRect/>
                    </a:stretch>
                  </pic:blipFill>
                  <pic:spPr>
                    <a:xfrm>
                      <a:off x="0" y="0"/>
                      <a:ext cx="4911090" cy="2862580"/>
                    </a:xfrm>
                    <a:prstGeom prst="rect">
                      <a:avLst/>
                    </a:prstGeom>
                    <a:noFill/>
                    <a:ln>
                      <a:noFill/>
                    </a:ln>
                  </pic:spPr>
                </pic:pic>
              </a:graphicData>
            </a:graphic>
          </wp:inline>
        </w:drawing>
      </w:r>
    </w:p>
    <w:p w14:paraId="1A35B5DA">
      <w:pPr>
        <w:ind w:firstLine="420" w:firstLineChars="200"/>
      </w:pPr>
    </w:p>
    <w:p w14:paraId="3C361D19">
      <w:pPr>
        <w:ind w:firstLine="420" w:firstLineChars="200"/>
      </w:pPr>
    </w:p>
    <w:p w14:paraId="6D3489F0">
      <w:pPr>
        <w:ind w:firstLine="420" w:firstLineChars="200"/>
        <w:rPr>
          <w:rFonts w:hint="default"/>
          <w:lang w:val="en-US" w:eastAsia="zh-CN"/>
        </w:rPr>
      </w:pPr>
    </w:p>
    <w:p w14:paraId="0B1A21B3">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通过数值可视化筛选出一些对标签影响较小的数据（像唯一值）可直接删除。比如：特征policyCode唯一：可通过train_data['policyCode'].value_counts()验证</w:t>
      </w:r>
    </w:p>
    <w:p w14:paraId="136F1A1D">
      <w:pPr>
        <w:ind w:firstLine="420" w:firstLineChars="200"/>
      </w:pPr>
      <w:r>
        <w:drawing>
          <wp:inline distT="0" distB="0" distL="114300" distR="114300">
            <wp:extent cx="3467100" cy="830580"/>
            <wp:effectExtent l="0" t="0" r="762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4"/>
                    <a:stretch>
                      <a:fillRect/>
                    </a:stretch>
                  </pic:blipFill>
                  <pic:spPr>
                    <a:xfrm>
                      <a:off x="0" y="0"/>
                      <a:ext cx="3467100" cy="830580"/>
                    </a:xfrm>
                    <a:prstGeom prst="rect">
                      <a:avLst/>
                    </a:prstGeom>
                    <a:noFill/>
                    <a:ln>
                      <a:noFill/>
                    </a:ln>
                  </pic:spPr>
                </pic:pic>
              </a:graphicData>
            </a:graphic>
          </wp:inline>
        </w:drawing>
      </w:r>
    </w:p>
    <w:p w14:paraId="2E35283F">
      <w:pPr>
        <w:ind w:firstLine="420" w:firstLineChars="200"/>
      </w:pPr>
    </w:p>
    <w:p w14:paraId="29E9287A">
      <w:pPr>
        <w:ind w:firstLine="420" w:firstLineChars="200"/>
        <w:rPr>
          <w:rFonts w:hint="default"/>
          <w:lang w:val="en-US" w:eastAsia="zh-CN"/>
        </w:rPr>
      </w:pPr>
    </w:p>
    <w:p w14:paraId="5DA79BCD">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在进行数据分析时，可对特征变量进行正态性检验，以判断其是否遵循正态分布规律。对于那些不满足正态分布假设的变量，可考虑采用对数转换（log transformation）以检验其是否能更接近正态分布。在处理数据集时，若需进行标准化处理，必须明确先前进行正态化处理的原因。正态化的原因在于，在某些情况下，正态分布的数据能够加速模型的收敛过程，同时某些模型如高斯混合模型（GMM）和K最近邻（KNN）算法要求输入数据必须符合正态分布。确保数据分布不过度偏斜是重要的，因为极端的偏态分布可能会对模型的预测性能产生不利影响。</w:t>
      </w:r>
    </w:p>
    <w:p w14:paraId="002DF00A">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对贷款利率数据进行正态分布的观察，并采用对数转换（log transformation），鉴于贷款利率数据通常呈现正态分布特性。</w:t>
      </w:r>
    </w:p>
    <w:p w14:paraId="1FDF0DBE">
      <w:pPr>
        <w:ind w:firstLine="420" w:firstLineChars="200"/>
      </w:pPr>
      <w:r>
        <w:drawing>
          <wp:inline distT="0" distB="0" distL="114300" distR="114300">
            <wp:extent cx="5270500" cy="138239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5270500" cy="1382395"/>
                    </a:xfrm>
                    <a:prstGeom prst="rect">
                      <a:avLst/>
                    </a:prstGeom>
                    <a:noFill/>
                    <a:ln>
                      <a:noFill/>
                    </a:ln>
                  </pic:spPr>
                </pic:pic>
              </a:graphicData>
            </a:graphic>
          </wp:inline>
        </w:drawing>
      </w:r>
    </w:p>
    <w:p w14:paraId="170955E4">
      <w:pPr>
        <w:ind w:firstLine="420" w:firstLineChars="200"/>
        <w:jc w:val="center"/>
      </w:pPr>
      <w:r>
        <w:drawing>
          <wp:inline distT="0" distB="0" distL="114300" distR="114300">
            <wp:extent cx="5269230" cy="2171065"/>
            <wp:effectExtent l="0" t="0" r="381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5269230" cy="2171065"/>
                    </a:xfrm>
                    <a:prstGeom prst="rect">
                      <a:avLst/>
                    </a:prstGeom>
                    <a:noFill/>
                    <a:ln>
                      <a:noFill/>
                    </a:ln>
                  </pic:spPr>
                </pic:pic>
              </a:graphicData>
            </a:graphic>
          </wp:inline>
        </w:drawing>
      </w:r>
    </w:p>
    <w:p w14:paraId="36591EBC"/>
    <w:p w14:paraId="72E7209D">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在对subGrade进行数值化处理后，即赋予其数值（0对应A1，1对应A2，3对应A3，依此类推至35对应G5），其分布情况亦呈现出与正态分布相吻合的特征。</w:t>
      </w:r>
    </w:p>
    <w:p w14:paraId="50705916">
      <w:pPr>
        <w:ind w:firstLine="420" w:firstLineChars="200"/>
      </w:pPr>
    </w:p>
    <w:p w14:paraId="22A8AC4A">
      <w:pPr>
        <w:ind w:left="630" w:leftChars="200" w:hanging="210" w:hangingChars="100"/>
        <w:jc w:val="left"/>
        <w:rPr>
          <w:rFonts w:hint="default" w:ascii="微软雅黑" w:hAnsi="微软雅黑" w:eastAsia="微软雅黑" w:cs="微软雅黑"/>
          <w:b/>
          <w:bCs/>
          <w:i w:val="0"/>
          <w:iCs w:val="0"/>
          <w:caps w:val="0"/>
          <w:color w:val="333333"/>
          <w:spacing w:val="0"/>
          <w:kern w:val="2"/>
          <w:sz w:val="28"/>
          <w:szCs w:val="28"/>
          <w:shd w:val="clear" w:fill="FFFFFF"/>
          <w:lang w:val="en-US" w:eastAsia="zh-CN" w:bidi="ar-SA"/>
        </w:rPr>
      </w:pPr>
      <w:r>
        <w:drawing>
          <wp:inline distT="0" distB="0" distL="114300" distR="114300">
            <wp:extent cx="5266690" cy="2128520"/>
            <wp:effectExtent l="0" t="0" r="635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7"/>
                    <a:stretch>
                      <a:fillRect/>
                    </a:stretch>
                  </pic:blipFill>
                  <pic:spPr>
                    <a:xfrm>
                      <a:off x="0" y="0"/>
                      <a:ext cx="5266690" cy="2128520"/>
                    </a:xfrm>
                    <a:prstGeom prst="rect">
                      <a:avLst/>
                    </a:prstGeom>
                    <a:noFill/>
                    <a:ln>
                      <a:noFill/>
                    </a:ln>
                  </pic:spPr>
                </pic:pic>
              </a:graphicData>
            </a:graphic>
          </wp:inline>
        </w:drawing>
      </w: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3.3.9</w:t>
      </w:r>
      <w:r>
        <w:rPr>
          <w:rFonts w:hint="default" w:ascii="微软雅黑" w:hAnsi="微软雅黑" w:eastAsia="微软雅黑" w:cs="微软雅黑"/>
          <w:b/>
          <w:bCs/>
          <w:i w:val="0"/>
          <w:iCs w:val="0"/>
          <w:caps w:val="0"/>
          <w:color w:val="333333"/>
          <w:spacing w:val="0"/>
          <w:kern w:val="2"/>
          <w:sz w:val="28"/>
          <w:szCs w:val="28"/>
          <w:shd w:val="clear" w:fill="FFFFFF"/>
          <w:lang w:val="en-US" w:eastAsia="zh-CN" w:bidi="ar-SA"/>
        </w:rPr>
        <w:t>单一变量分布可视化</w:t>
      </w:r>
    </w:p>
    <w:p w14:paraId="5A1EC365">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Term贷款年限分布可视化情况（由贷款年限可知主要分为五年和三年两种，在这两种中更多的人选择了5年）</w:t>
      </w:r>
    </w:p>
    <w:p w14:paraId="288E0020">
      <w:r>
        <w:drawing>
          <wp:inline distT="0" distB="0" distL="114300" distR="114300">
            <wp:extent cx="4998720" cy="415290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8"/>
                    <a:stretch>
                      <a:fillRect/>
                    </a:stretch>
                  </pic:blipFill>
                  <pic:spPr>
                    <a:xfrm>
                      <a:off x="0" y="0"/>
                      <a:ext cx="4998720" cy="4152900"/>
                    </a:xfrm>
                    <a:prstGeom prst="rect">
                      <a:avLst/>
                    </a:prstGeom>
                    <a:noFill/>
                    <a:ln>
                      <a:noFill/>
                    </a:ln>
                  </pic:spPr>
                </pic:pic>
              </a:graphicData>
            </a:graphic>
          </wp:inline>
        </w:drawing>
      </w:r>
    </w:p>
    <w:p w14:paraId="513D0A80">
      <w:pPr>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3.3.10根据y值的不同观察特征的分布情况（根据是否违约来观察特征）</w:t>
      </w:r>
    </w:p>
    <w:p w14:paraId="4FB81EC5">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观察图示数据，左侧分布代表违约用户，右侧分布代表非违约用户。分析图中grade信誉等级数据，违约用户中C级占比最高，而B级在非违约用户中占据较大比例。据此可推断，非违约用户的平均信誉等级高于违约用户，从而得出结论：违约用户群体中信誉等级较低。</w:t>
      </w:r>
    </w:p>
    <w:p w14:paraId="4E7E1C13">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在考察employmentLength（就业年限）这一指标时，发现违约用户与非违约用户在就业年限上差异不显著，难以作为有效区分依据。</w:t>
      </w:r>
    </w:p>
    <w:p w14:paraId="23FE60B3">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针对term（贷款期限）这一变量进行分析，结果显示在贷款期限为5年的群体中，违约用户所占比例高于非违约用户。因此，从贷款期限角度出发，可制定相应策略以降低违约率。</w:t>
      </w:r>
    </w:p>
    <w:p w14:paraId="3ADF49E1">
      <w:pPr>
        <w:widowControl w:val="0"/>
        <w:ind w:firstLine="560" w:firstLineChars="200"/>
        <w:jc w:val="both"/>
        <w:rPr>
          <w:rFonts w:hint="default" w:ascii="Calibri" w:hAnsi="Calibri" w:eastAsia="宋体" w:cs="Times New Roman"/>
          <w:b w:val="0"/>
          <w:bCs w:val="0"/>
          <w:kern w:val="2"/>
          <w:sz w:val="28"/>
          <w:szCs w:val="28"/>
          <w:lang w:val="en-US" w:eastAsia="zh-CN" w:bidi="ar-SA"/>
        </w:rPr>
      </w:pPr>
    </w:p>
    <w:p w14:paraId="105B0698">
      <w:pPr>
        <w:rPr>
          <w:rFonts w:hint="default"/>
          <w:lang w:val="en-US" w:eastAsia="zh-CN"/>
        </w:rPr>
      </w:pPr>
      <w:r>
        <w:drawing>
          <wp:inline distT="0" distB="0" distL="114300" distR="114300">
            <wp:extent cx="5270500" cy="1242695"/>
            <wp:effectExtent l="0" t="0" r="254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9"/>
                    <a:stretch>
                      <a:fillRect/>
                    </a:stretch>
                  </pic:blipFill>
                  <pic:spPr>
                    <a:xfrm>
                      <a:off x="0" y="0"/>
                      <a:ext cx="5270500" cy="1242695"/>
                    </a:xfrm>
                    <a:prstGeom prst="rect">
                      <a:avLst/>
                    </a:prstGeom>
                    <a:noFill/>
                    <a:ln>
                      <a:noFill/>
                    </a:ln>
                  </pic:spPr>
                </pic:pic>
              </a:graphicData>
            </a:graphic>
          </wp:inline>
        </w:drawing>
      </w:r>
    </w:p>
    <w:p w14:paraId="30F48F1F">
      <w:pPr>
        <w:jc w:val="center"/>
      </w:pPr>
      <w:r>
        <w:drawing>
          <wp:inline distT="0" distB="0" distL="114300" distR="114300">
            <wp:extent cx="5200650" cy="4417695"/>
            <wp:effectExtent l="0" t="0" r="1143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0"/>
                    <a:stretch>
                      <a:fillRect/>
                    </a:stretch>
                  </pic:blipFill>
                  <pic:spPr>
                    <a:xfrm>
                      <a:off x="0" y="0"/>
                      <a:ext cx="5200650" cy="4417695"/>
                    </a:xfrm>
                    <a:prstGeom prst="rect">
                      <a:avLst/>
                    </a:prstGeom>
                    <a:noFill/>
                    <a:ln>
                      <a:noFill/>
                    </a:ln>
                  </pic:spPr>
                </pic:pic>
              </a:graphicData>
            </a:graphic>
          </wp:inline>
        </w:drawing>
      </w:r>
    </w:p>
    <w:p w14:paraId="1BF07B76">
      <w:pPr>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3.3.11异常值的处理</w:t>
      </w:r>
    </w:p>
    <w:p w14:paraId="2D1F6D04">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常用方法3σ原则（前提是数据服从正太分布）</w:t>
      </w:r>
    </w:p>
    <w:p w14:paraId="1B206071">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如果数据服从正态分布，在3σ原则下，异常值被定义为⼀组测定值中与平均值的偏差超过三倍标准差的值。</w:t>
      </w:r>
    </w:p>
    <w:p w14:paraId="00D0AD7E">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在正态分布下，距离平均值3σ之外的值出现的概率为 P(|x-µ|&gt;3σ)&lt;=0.003，）（概率约99.7%）属于极个别的⼩概率事件。</w:t>
      </w:r>
    </w:p>
    <w:p w14:paraId="3943A3BB">
      <w:pPr>
        <w:jc w:val="center"/>
        <w:rPr>
          <w:rFonts w:hint="eastAsia" w:eastAsiaTheme="minorEastAsia"/>
          <w:lang w:eastAsia="zh-CN"/>
        </w:rPr>
      </w:pPr>
      <w:r>
        <w:drawing>
          <wp:inline distT="0" distB="0" distL="114300" distR="114300">
            <wp:extent cx="4135755" cy="2780665"/>
            <wp:effectExtent l="0" t="0" r="9525"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1"/>
                    <a:stretch>
                      <a:fillRect/>
                    </a:stretch>
                  </pic:blipFill>
                  <pic:spPr>
                    <a:xfrm>
                      <a:off x="0" y="0"/>
                      <a:ext cx="4135755" cy="2780665"/>
                    </a:xfrm>
                    <a:prstGeom prst="rect">
                      <a:avLst/>
                    </a:prstGeom>
                    <a:noFill/>
                    <a:ln>
                      <a:noFill/>
                    </a:ln>
                  </pic:spPr>
                </pic:pic>
              </a:graphicData>
            </a:graphic>
          </wp:inline>
        </w:drawing>
      </w:r>
    </w:p>
    <w:p w14:paraId="5B2ADD28">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如果数据不服从正态分布，也可以⽤远离平均值的多少倍标准差来描述</w:t>
      </w:r>
    </w:p>
    <w:p w14:paraId="043D6583">
      <w:pPr>
        <w:jc w:val="center"/>
      </w:pPr>
      <w:r>
        <w:drawing>
          <wp:inline distT="0" distB="0" distL="114300" distR="114300">
            <wp:extent cx="5272405" cy="5236845"/>
            <wp:effectExtent l="0" t="0" r="635"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2"/>
                    <a:stretch>
                      <a:fillRect/>
                    </a:stretch>
                  </pic:blipFill>
                  <pic:spPr>
                    <a:xfrm>
                      <a:off x="0" y="0"/>
                      <a:ext cx="5272405" cy="5236845"/>
                    </a:xfrm>
                    <a:prstGeom prst="rect">
                      <a:avLst/>
                    </a:prstGeom>
                    <a:noFill/>
                    <a:ln>
                      <a:noFill/>
                    </a:ln>
                  </pic:spPr>
                </pic:pic>
              </a:graphicData>
            </a:graphic>
          </wp:inline>
        </w:drawing>
      </w:r>
    </w:p>
    <w:p w14:paraId="56AD0242">
      <w:pPr>
        <w:widowControl w:val="0"/>
        <w:bidi w:val="0"/>
        <w:ind w:firstLine="420" w:firstLineChars="200"/>
        <w:jc w:val="cente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sz w:val="21"/>
          <w:szCs w:val="21"/>
          <w:shd w:val="clear" w:fill="FFFFFF"/>
          <w:lang w:val="en-US" w:eastAsia="zh-CN"/>
        </w:rPr>
        <w:t>箱线图（处理函数如图）</w:t>
      </w:r>
    </w:p>
    <w:p w14:paraId="65E4F6CE">
      <w:pPr>
        <w:jc w:val="center"/>
        <w:rPr>
          <w:rFonts w:hint="default"/>
          <w:lang w:val="en-US" w:eastAsia="zh-CN"/>
        </w:rPr>
      </w:pPr>
    </w:p>
    <w:p w14:paraId="6D497828">
      <w:pPr>
        <w:ind w:firstLine="420" w:firstLineChars="200"/>
      </w:pPr>
    </w:p>
    <w:p w14:paraId="132C6965">
      <w:pPr>
        <w:ind w:firstLine="420" w:firstLineChars="200"/>
      </w:pPr>
    </w:p>
    <w:p w14:paraId="69ACBC46">
      <w:pPr>
        <w:ind w:firstLine="420" w:firstLineChars="200"/>
      </w:pPr>
    </w:p>
    <w:p w14:paraId="7BE04391">
      <w:pPr>
        <w:ind w:firstLine="420" w:firstLineChars="200"/>
      </w:pPr>
    </w:p>
    <w:p w14:paraId="232C2B3D">
      <w:pPr>
        <w:ind w:firstLine="420" w:firstLineChars="200"/>
      </w:pPr>
    </w:p>
    <w:p w14:paraId="55A5347C">
      <w:pPr>
        <w:ind w:firstLine="420" w:firstLineChars="200"/>
      </w:pPr>
    </w:p>
    <w:p w14:paraId="3FF224E1">
      <w:pPr>
        <w:ind w:firstLine="420" w:firstLineChars="200"/>
      </w:pPr>
    </w:p>
    <w:p w14:paraId="5C5F03F4">
      <w:pPr>
        <w:ind w:firstLine="420" w:firstLineChars="200"/>
      </w:pPr>
    </w:p>
    <w:p w14:paraId="1CD942D6">
      <w:pPr>
        <w:ind w:firstLine="420" w:firstLineChars="200"/>
      </w:pPr>
    </w:p>
    <w:p w14:paraId="62015FAB">
      <w:pPr>
        <w:ind w:firstLine="420" w:firstLineChars="200"/>
      </w:pPr>
    </w:p>
    <w:p w14:paraId="2293CF35">
      <w:pPr>
        <w:ind w:firstLine="420" w:firstLineChars="200"/>
      </w:pPr>
    </w:p>
    <w:p w14:paraId="30C291B2">
      <w:pPr>
        <w:ind w:firstLine="420" w:firstLineChars="200"/>
      </w:pPr>
    </w:p>
    <w:p w14:paraId="504CD197">
      <w:pPr>
        <w:ind w:firstLine="420" w:firstLineChars="200"/>
      </w:pPr>
    </w:p>
    <w:p w14:paraId="15E4AD79">
      <w:pPr>
        <w:widowControl w:val="0"/>
        <w:bidi w:val="0"/>
        <w:jc w:val="both"/>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pPr>
      <w:bookmarkStart w:id="8" w:name="_Toc25670"/>
      <w:r>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t>3.4 特征工程</w:t>
      </w:r>
      <w:bookmarkEnd w:id="8"/>
    </w:p>
    <w:p w14:paraId="30312EB1">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特征工程在机器学习乃至深度学习领域占据着至关重要的地位，其在实际应用中的时间投入通常也是最多的。</w:t>
      </w:r>
    </w:p>
    <w:p w14:paraId="459D4C45">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（在建模之前，特征的选择、新特征的构建以及无量纲化处理等特征处理步骤）对模型构建具有决定性影响。</w:t>
      </w:r>
    </w:p>
    <w:p w14:paraId="511FE296">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特征工程的核心方法论可概括为：提出问题、建立假设、进行论证。在特征工程的不同阶段，提出不同的问题，建立相应的假设，并采用适宜的方法，构成了特征工程的全部内容。</w:t>
      </w:r>
    </w:p>
    <w:p w14:paraId="6F27806E">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无量纲化（亦称无量纲化或无量纲化处理）是指通过适当的变量替换，去除方程中涉及物理量的部分或全部单位，旨在简化实验或计算过程，是科学研究中一种关键的处理策略。</w:t>
      </w:r>
    </w:p>
    <w:p w14:paraId="0FBA8B6C">
      <w:pPr>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3.4.1 特征的无量纲化处理</w:t>
      </w:r>
    </w:p>
    <w:p w14:paraId="1965930C">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（一）特征归一化的优势</w:t>
      </w:r>
    </w:p>
    <w:p w14:paraId="578D471D">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1、数据量纲的差异性；数量级的显著差异</w:t>
      </w:r>
    </w:p>
    <w:p w14:paraId="161BABCF">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（经过标准化处理后，原始数据转化为无量纲化指标测评值，各指标值处于同一数量级别，便于进行综合测评分析。</w:t>
      </w:r>
    </w:p>
    <w:p w14:paraId="70704733">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若直接使用原始指标值进行分析，则数值较高的指标在综合分析中的作用会被过分强调，而数值水平较低的指标的作用则相对减弱。）</w:t>
      </w:r>
    </w:p>
    <w:p w14:paraId="7F2E5A83">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2、避免数值问题：过大的数值可能引发数值问题。</w:t>
      </w:r>
    </w:p>
    <w:p w14:paraId="2A12FAE6">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3、平衡各特征的贡献度</w:t>
      </w:r>
    </w:p>
    <w:p w14:paraId="48CA7DCD">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某些分类器需要计算样本间的距离（例如欧氏距离），如KNN算法。若某一特征的值域范围极大，则距离计算将主要依赖于该特征，这与实际情况可能不符（例如，在某些情况下，值域范围较小的特征可能更为重要）。</w:t>
      </w:r>
    </w:p>
    <w:p w14:paraId="653D175D">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4、满足某些模型求解的需求：加速梯度下降法寻找最优解的过程）</w:t>
      </w:r>
    </w:p>
    <w:p w14:paraId="3E94D57B">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注意：在进行特征的无量纲化处理时，需将标签单独提取出来。</w:t>
      </w:r>
    </w:p>
    <w:p w14:paraId="1A2A42EE">
      <w:pPr>
        <w:ind w:left="319" w:leftChars="152" w:firstLine="0" w:firstLineChars="0"/>
        <w:jc w:val="center"/>
        <w:rPr>
          <w:rFonts w:hint="eastAsia"/>
          <w:b w:val="0"/>
          <w:bCs w:val="0"/>
          <w:sz w:val="28"/>
          <w:szCs w:val="28"/>
          <w:lang w:val="en-US" w:eastAsia="zh-CN"/>
        </w:rPr>
      </w:pPr>
      <w:r>
        <w:drawing>
          <wp:inline distT="0" distB="0" distL="114300" distR="114300">
            <wp:extent cx="3268980" cy="47244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3"/>
                    <a:stretch>
                      <a:fillRect/>
                    </a:stretch>
                  </pic:blipFill>
                  <pic:spPr>
                    <a:xfrm>
                      <a:off x="0" y="0"/>
                      <a:ext cx="3268980" cy="472440"/>
                    </a:xfrm>
                    <a:prstGeom prst="rect">
                      <a:avLst/>
                    </a:prstGeom>
                    <a:noFill/>
                    <a:ln>
                      <a:noFill/>
                    </a:ln>
                  </pic:spPr>
                </pic:pic>
              </a:graphicData>
            </a:graphic>
          </wp:inline>
        </w:drawing>
      </w:r>
    </w:p>
    <w:p w14:paraId="0CF66B3E">
      <w:pPr>
        <w:ind w:left="319" w:leftChars="152" w:firstLine="0" w:firstLineChars="0"/>
        <w:jc w:val="center"/>
      </w:pPr>
      <w:r>
        <w:drawing>
          <wp:inline distT="0" distB="0" distL="114300" distR="114300">
            <wp:extent cx="3361055" cy="574040"/>
            <wp:effectExtent l="0" t="0" r="698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4"/>
                    <a:stretch>
                      <a:fillRect/>
                    </a:stretch>
                  </pic:blipFill>
                  <pic:spPr>
                    <a:xfrm>
                      <a:off x="0" y="0"/>
                      <a:ext cx="3361055" cy="574040"/>
                    </a:xfrm>
                    <a:prstGeom prst="rect">
                      <a:avLst/>
                    </a:prstGeom>
                    <a:noFill/>
                    <a:ln>
                      <a:noFill/>
                    </a:ln>
                  </pic:spPr>
                </pic:pic>
              </a:graphicData>
            </a:graphic>
          </wp:inline>
        </w:drawing>
      </w:r>
    </w:p>
    <w:p w14:paraId="04EA1EB2">
      <w:pPr>
        <w:ind w:left="319" w:leftChars="152" w:firstLine="0" w:firstLineChars="0"/>
        <w:jc w:val="both"/>
      </w:pPr>
    </w:p>
    <w:p w14:paraId="29B236BF">
      <w:pPr>
        <w:ind w:left="319" w:leftChars="152" w:firstLine="0" w:firstLineChars="0"/>
        <w:jc w:val="center"/>
      </w:pPr>
      <w:r>
        <w:drawing>
          <wp:inline distT="0" distB="0" distL="114300" distR="114300">
            <wp:extent cx="5267325" cy="2058035"/>
            <wp:effectExtent l="0" t="0" r="571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5"/>
                    <a:stretch>
                      <a:fillRect/>
                    </a:stretch>
                  </pic:blipFill>
                  <pic:spPr>
                    <a:xfrm>
                      <a:off x="0" y="0"/>
                      <a:ext cx="5267325" cy="2058035"/>
                    </a:xfrm>
                    <a:prstGeom prst="rect">
                      <a:avLst/>
                    </a:prstGeom>
                    <a:noFill/>
                    <a:ln>
                      <a:noFill/>
                    </a:ln>
                  </pic:spPr>
                </pic:pic>
              </a:graphicData>
            </a:graphic>
          </wp:inline>
        </w:drawing>
      </w:r>
    </w:p>
    <w:p w14:paraId="153D8403">
      <w:pPr>
        <w:ind w:left="319" w:leftChars="152" w:firstLine="0" w:firstLineChars="0"/>
        <w:jc w:val="center"/>
      </w:pPr>
      <w:r>
        <w:drawing>
          <wp:inline distT="0" distB="0" distL="114300" distR="114300">
            <wp:extent cx="5269865" cy="2035810"/>
            <wp:effectExtent l="0" t="0" r="317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6"/>
                    <a:stretch>
                      <a:fillRect/>
                    </a:stretch>
                  </pic:blipFill>
                  <pic:spPr>
                    <a:xfrm>
                      <a:off x="0" y="0"/>
                      <a:ext cx="5269865" cy="2035810"/>
                    </a:xfrm>
                    <a:prstGeom prst="rect">
                      <a:avLst/>
                    </a:prstGeom>
                    <a:noFill/>
                    <a:ln>
                      <a:noFill/>
                    </a:ln>
                  </pic:spPr>
                </pic:pic>
              </a:graphicData>
            </a:graphic>
          </wp:inline>
        </w:drawing>
      </w:r>
    </w:p>
    <w:p w14:paraId="28F9E74C">
      <w:pPr>
        <w:ind w:firstLine="560" w:firstLineChars="200"/>
        <w:jc w:val="left"/>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bCs/>
          <w:i w:val="0"/>
          <w:iCs w:val="0"/>
          <w:caps w:val="0"/>
          <w:color w:val="333333"/>
          <w:spacing w:val="0"/>
          <w:kern w:val="2"/>
          <w:sz w:val="28"/>
          <w:szCs w:val="28"/>
          <w:shd w:val="clear" w:fill="FFFFFF"/>
          <w:lang w:val="en-US" w:eastAsia="zh-CN" w:bidi="ar-SA"/>
        </w:rPr>
        <w:t>3.4.2 特征选择及其对贷款违约预测的重要性分析</w:t>
      </w:r>
    </w:p>
    <w:p w14:paraId="7DFA2199">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特征提取过程中，通常选取与预测结果相关性较高的特征。为此，本研究采用机器学习库sklearn中的SelectFromModel方法进行特征选择，旨在通过减少特征数量以提升机器学习模型的运行效率。在大多数情况下，通过剔除少量特征即可实现模型运行速度的提升。</w:t>
      </w:r>
    </w:p>
    <w:p w14:paraId="4205EB22">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（1）SelectFromModel 是一种基础分类器，它依据特征的重要性权重进行特征选择。该方法适用于任何具有coef_或feature_importances_属性的估计器。若估计器的coef_或feature_importances_值低于设定的threshold参数阈值，则认为这些特征不重要或可被移除。）</w:t>
      </w:r>
    </w:p>
    <w:p w14:paraId="0B9C44F0">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（2）threshold 参数用于设定特征选择的阈值。该参数保留重要性更高或相等的特征，而剔除重要性较低的特征。当threshold设置为None时，若估计器的惩罚参数显式或隐式设置为l1（例如Lasso），则默认阈值为1e-5；否则，默认使用特征重要性的均值（mean）作为阈值。</w:t>
      </w:r>
    </w:p>
    <w:p w14:paraId="0D5CD144">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（3）特征重要性评估：通过以下公式对特征的重要性进行评估。</w:t>
      </w:r>
    </w:p>
    <w:p w14:paraId="7357638E">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drawing>
          <wp:inline distT="0" distB="0" distL="114300" distR="114300">
            <wp:extent cx="5669915" cy="1075690"/>
            <wp:effectExtent l="0" t="0" r="14605" b="635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47"/>
                    <a:stretch>
                      <a:fillRect/>
                    </a:stretch>
                  </pic:blipFill>
                  <pic:spPr>
                    <a:xfrm>
                      <a:off x="0" y="0"/>
                      <a:ext cx="5669915" cy="1075690"/>
                    </a:xfrm>
                    <a:prstGeom prst="rect">
                      <a:avLst/>
                    </a:prstGeom>
                    <a:noFill/>
                    <a:ln w="9525">
                      <a:noFill/>
                    </a:ln>
                  </pic:spPr>
                </pic:pic>
              </a:graphicData>
            </a:graphic>
          </wp:inline>
        </w:drawing>
      </w:r>
    </w:p>
    <w:p w14:paraId="1838FAD0">
      <w:pPr>
        <w:widowControl w:val="0"/>
        <w:bidi w:val="0"/>
        <w:ind w:firstLine="560" w:firstLineChars="200"/>
        <w:jc w:val="left"/>
        <w:rPr>
          <w:rFonts w:ascii="宋体" w:hAnsi="宋体" w:eastAsia="宋体" w:cs="宋体"/>
          <w:sz w:val="24"/>
          <w:szCs w:val="24"/>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4）交叉验证：本研究采用10折交叉验证方法，将数据集划分为10个子集，并进行一次交叉验证。实际上，该过程涉及十次模型训练和测试，每次将一个子集作为测试集，其余九个子集作为训练集。通过十次循环，最终对模型的十次测试结果求平均值。交叉验证的优势在于：1）它能够评估模型在新数据上的预测性能，从而在一定程度上减少过拟合现象；2）它能够从有限的数据集中尽可能多地提取有效信息。</w:t>
      </w:r>
      <w:r>
        <w:rPr>
          <w:rFonts w:ascii="宋体" w:hAnsi="宋体" w:eastAsia="宋体" w:cs="宋体"/>
          <w:sz w:val="24"/>
          <w:szCs w:val="24"/>
        </w:rPr>
        <w:drawing>
          <wp:inline distT="0" distB="0" distL="114300" distR="114300">
            <wp:extent cx="4900930" cy="2086610"/>
            <wp:effectExtent l="0" t="0" r="6350" b="127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48"/>
                    <a:srcRect b="3918"/>
                    <a:stretch>
                      <a:fillRect/>
                    </a:stretch>
                  </pic:blipFill>
                  <pic:spPr>
                    <a:xfrm>
                      <a:off x="0" y="0"/>
                      <a:ext cx="4900930" cy="2086610"/>
                    </a:xfrm>
                    <a:prstGeom prst="rect">
                      <a:avLst/>
                    </a:prstGeom>
                    <a:noFill/>
                    <a:ln w="9525">
                      <a:noFill/>
                    </a:ln>
                  </pic:spPr>
                </pic:pic>
              </a:graphicData>
            </a:graphic>
          </wp:inline>
        </w:drawing>
      </w:r>
    </w:p>
    <w:p w14:paraId="6A6ABE59">
      <w:pPr>
        <w:ind w:firstLine="420" w:firstLineChars="200"/>
        <w:jc w:val="center"/>
      </w:pPr>
      <w:r>
        <w:drawing>
          <wp:inline distT="0" distB="0" distL="114300" distR="114300">
            <wp:extent cx="4732655" cy="2712085"/>
            <wp:effectExtent l="0" t="0" r="698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9"/>
                    <a:stretch>
                      <a:fillRect/>
                    </a:stretch>
                  </pic:blipFill>
                  <pic:spPr>
                    <a:xfrm>
                      <a:off x="0" y="0"/>
                      <a:ext cx="4732655" cy="2712085"/>
                    </a:xfrm>
                    <a:prstGeom prst="rect">
                      <a:avLst/>
                    </a:prstGeom>
                    <a:noFill/>
                    <a:ln>
                      <a:noFill/>
                    </a:ln>
                  </pic:spPr>
                </pic:pic>
              </a:graphicData>
            </a:graphic>
          </wp:inline>
        </w:drawing>
      </w:r>
    </w:p>
    <w:p w14:paraId="15B616C3">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在本研究中，我们采纳随机森林算法作为分类器，其阈值设定为特征重要性评分的最大值，即X_SFM=SFM(RFC_,threshold=i).fit_transform(X,Y)。</w:t>
      </w:r>
    </w:p>
    <w:p w14:paraId="479329BF">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其中，b=(RFC_.feature_importances_).max()。</w:t>
      </w:r>
    </w:p>
    <w:p w14:paraId="741ECD1D">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通过调整阈值threshold的数值，我们能够控制训练集中特征的数量。为了对预测结果进行初步评估，我们采用了交叉验证方法，并利用随机森林模型辅助选择模型。此外，通过matplotlib绘制不同特征的预测分数图谱，我们旨在选取一个特征数量较少但不影响整体预测准确性的模型，从而提升模型的运行效率。</w:t>
      </w:r>
    </w:p>
    <w:p w14:paraId="0E7A8A8E">
      <w:pPr>
        <w:ind w:firstLine="480" w:firstLineChars="200"/>
        <w:rPr>
          <w:rFonts w:hint="default" w:ascii="宋体" w:hAnsi="宋体" w:eastAsia="宋体" w:cs="宋体"/>
          <w:sz w:val="24"/>
          <w:szCs w:val="24"/>
          <w:lang w:val="en-US" w:eastAsia="zh-CN"/>
        </w:rPr>
      </w:pPr>
    </w:p>
    <w:p w14:paraId="050F5613">
      <w:pPr>
        <w:ind w:firstLine="420" w:firstLineChars="200"/>
        <w:jc w:val="center"/>
      </w:pPr>
      <w:r>
        <w:drawing>
          <wp:inline distT="0" distB="0" distL="114300" distR="114300">
            <wp:extent cx="5312410" cy="1851025"/>
            <wp:effectExtent l="0" t="0" r="635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0"/>
                    <a:stretch>
                      <a:fillRect/>
                    </a:stretch>
                  </pic:blipFill>
                  <pic:spPr>
                    <a:xfrm>
                      <a:off x="0" y="0"/>
                      <a:ext cx="5312410" cy="1851025"/>
                    </a:xfrm>
                    <a:prstGeom prst="rect">
                      <a:avLst/>
                    </a:prstGeom>
                    <a:noFill/>
                    <a:ln>
                      <a:noFill/>
                    </a:ln>
                  </pic:spPr>
                </pic:pic>
              </a:graphicData>
            </a:graphic>
          </wp:inline>
        </w:drawing>
      </w:r>
    </w:p>
    <w:p w14:paraId="44176DE0">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观察图示数据，可见阈值（threshold）与特征重要性（feature_importances_）在0.05至0.06区间内呈现出较高的数值。</w:t>
      </w:r>
    </w:p>
    <w:p w14:paraId="32FE6869">
      <w:pPr>
        <w:ind w:firstLine="420" w:firstLineChars="200"/>
        <w:jc w:val="center"/>
      </w:pPr>
      <w:r>
        <w:drawing>
          <wp:inline distT="0" distB="0" distL="114300" distR="114300">
            <wp:extent cx="4472940" cy="131064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1"/>
                    <a:stretch>
                      <a:fillRect/>
                    </a:stretch>
                  </pic:blipFill>
                  <pic:spPr>
                    <a:xfrm>
                      <a:off x="0" y="0"/>
                      <a:ext cx="4472940" cy="1310640"/>
                    </a:xfrm>
                    <a:prstGeom prst="rect">
                      <a:avLst/>
                    </a:prstGeom>
                    <a:noFill/>
                    <a:ln>
                      <a:noFill/>
                    </a:ln>
                  </pic:spPr>
                </pic:pic>
              </a:graphicData>
            </a:graphic>
          </wp:inline>
        </w:drawing>
      </w:r>
    </w:p>
    <w:p w14:paraId="0F3FDCCE">
      <w:pPr>
        <w:rPr>
          <w:rFonts w:hint="default" w:eastAsiaTheme="minorEastAsia"/>
          <w:lang w:val="en-US" w:eastAsia="zh-CN"/>
        </w:rPr>
      </w:pPr>
      <w:r>
        <w:rPr>
          <w:rFonts w:hint="eastAsia"/>
          <w:lang w:val="en-US" w:eastAsia="zh-CN"/>
        </w:rPr>
        <w:t>-</w:t>
      </w:r>
    </w:p>
    <w:p w14:paraId="72F142DD">
      <w:pPr>
        <w:ind w:firstLine="420" w:firstLineChars="200"/>
        <w:jc w:val="center"/>
      </w:pPr>
      <w:r>
        <w:drawing>
          <wp:inline distT="0" distB="0" distL="114300" distR="114300">
            <wp:extent cx="3369310" cy="3901440"/>
            <wp:effectExtent l="0" t="0" r="139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2"/>
                    <a:stretch>
                      <a:fillRect/>
                    </a:stretch>
                  </pic:blipFill>
                  <pic:spPr>
                    <a:xfrm>
                      <a:off x="0" y="0"/>
                      <a:ext cx="3369310" cy="3901440"/>
                    </a:xfrm>
                    <a:prstGeom prst="rect">
                      <a:avLst/>
                    </a:prstGeom>
                    <a:noFill/>
                    <a:ln>
                      <a:noFill/>
                    </a:ln>
                  </pic:spPr>
                </pic:pic>
              </a:graphicData>
            </a:graphic>
          </wp:inline>
        </w:drawing>
      </w:r>
    </w:p>
    <w:p w14:paraId="2219EA75">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利用feature_importances_函数进行特征重要性分析，发现dti（债务收入比）、interestRate（贷款利率）、revolBal（信贷周转余额合计）、revolUtil（循环额度利用率，即借款人使用的相对于所有可用循环信贷的信贷金额）、postCode（公开可用的策略_代码=1新产品不公开可用的策略_代码=2）、earliesCreditLine（借款人最早报告的信用额度开立的月份）以及annualincome（年收入）等特征对贷款违约结果具有显著影响。其中，债务收入比对贷款违约的影响最为显著。</w:t>
      </w:r>
    </w:p>
    <w:p w14:paraId="5C0CC531">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相对而言，policyCode（借款人在贷款申请中提供的邮政编码的前3位数字）、pubRec（贬损公共记录的数量）、pubRecBankruptcies（公开记录清除的数量）、initialListStatus（贷款的初始列表状态）以及applicationType（表明贷款是个人申请还是与两个共同借款人的联合申请）等特征对贷款违约的影响微乎其微。</w:t>
      </w:r>
    </w:p>
    <w:p w14:paraId="4C9F9ED5">
      <w:pPr>
        <w:ind w:firstLine="420" w:firstLineChars="200"/>
        <w:jc w:val="center"/>
      </w:pPr>
      <w:r>
        <w:drawing>
          <wp:inline distT="0" distB="0" distL="114300" distR="114300">
            <wp:extent cx="5069205" cy="2314575"/>
            <wp:effectExtent l="0" t="0" r="571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3"/>
                    <a:stretch>
                      <a:fillRect/>
                    </a:stretch>
                  </pic:blipFill>
                  <pic:spPr>
                    <a:xfrm>
                      <a:off x="0" y="0"/>
                      <a:ext cx="5069205" cy="2314575"/>
                    </a:xfrm>
                    <a:prstGeom prst="rect">
                      <a:avLst/>
                    </a:prstGeom>
                    <a:noFill/>
                    <a:ln>
                      <a:noFill/>
                    </a:ln>
                  </pic:spPr>
                </pic:pic>
              </a:graphicData>
            </a:graphic>
          </wp:inline>
        </w:drawing>
      </w:r>
    </w:p>
    <w:p w14:paraId="42D63E9D">
      <w:pPr>
        <w:ind w:firstLine="420" w:firstLineChars="200"/>
        <w:jc w:val="center"/>
      </w:pPr>
    </w:p>
    <w:p w14:paraId="30A309D6">
      <w:pPr>
        <w:ind w:firstLine="420" w:firstLineChars="200"/>
        <w:jc w:val="center"/>
      </w:pPr>
    </w:p>
    <w:p w14:paraId="4885A031">
      <w:pPr>
        <w:ind w:firstLine="420" w:firstLineChars="200"/>
        <w:jc w:val="center"/>
      </w:pPr>
    </w:p>
    <w:p w14:paraId="6027EF34">
      <w:pPr>
        <w:ind w:firstLine="420" w:firstLineChars="200"/>
        <w:jc w:val="center"/>
      </w:pPr>
    </w:p>
    <w:p w14:paraId="415AEFE3">
      <w:pPr>
        <w:ind w:firstLine="420" w:firstLineChars="200"/>
        <w:jc w:val="center"/>
      </w:pPr>
    </w:p>
    <w:p w14:paraId="7E516BA2">
      <w:pPr>
        <w:ind w:firstLine="420" w:firstLineChars="200"/>
        <w:jc w:val="center"/>
      </w:pPr>
    </w:p>
    <w:p w14:paraId="42E34A17">
      <w:pPr>
        <w:ind w:firstLine="420" w:firstLineChars="200"/>
        <w:jc w:val="center"/>
      </w:pPr>
    </w:p>
    <w:p w14:paraId="0E7FBE81">
      <w:pPr>
        <w:ind w:firstLine="420" w:firstLineChars="200"/>
        <w:jc w:val="center"/>
      </w:pPr>
    </w:p>
    <w:p w14:paraId="4F4BBBE1">
      <w:pPr>
        <w:ind w:firstLine="420" w:firstLineChars="200"/>
        <w:jc w:val="center"/>
      </w:pPr>
    </w:p>
    <w:p w14:paraId="60883BDE">
      <w:pPr>
        <w:ind w:firstLine="420" w:firstLineChars="200"/>
        <w:jc w:val="center"/>
      </w:pPr>
    </w:p>
    <w:p w14:paraId="027B1FA8">
      <w:pPr>
        <w:ind w:firstLine="420" w:firstLineChars="200"/>
        <w:jc w:val="center"/>
      </w:pPr>
    </w:p>
    <w:p w14:paraId="00389419">
      <w:pPr>
        <w:ind w:firstLine="420" w:firstLineChars="200"/>
        <w:jc w:val="center"/>
      </w:pPr>
    </w:p>
    <w:p w14:paraId="197BB4CF">
      <w:pPr>
        <w:ind w:firstLine="420" w:firstLineChars="200"/>
        <w:jc w:val="center"/>
      </w:pPr>
    </w:p>
    <w:p w14:paraId="75AE59E7">
      <w:pPr>
        <w:ind w:firstLine="420" w:firstLineChars="200"/>
        <w:jc w:val="center"/>
      </w:pPr>
    </w:p>
    <w:p w14:paraId="421512C4">
      <w:pPr>
        <w:ind w:firstLine="420" w:firstLineChars="200"/>
        <w:jc w:val="center"/>
      </w:pPr>
    </w:p>
    <w:p w14:paraId="39308122">
      <w:pPr>
        <w:ind w:firstLine="420" w:firstLineChars="200"/>
        <w:jc w:val="center"/>
      </w:pPr>
    </w:p>
    <w:p w14:paraId="1EB31140">
      <w:pPr>
        <w:ind w:firstLine="420" w:firstLineChars="200"/>
        <w:jc w:val="center"/>
      </w:pPr>
    </w:p>
    <w:p w14:paraId="320E4117">
      <w:pPr>
        <w:ind w:firstLine="420" w:firstLineChars="200"/>
        <w:jc w:val="center"/>
      </w:pPr>
    </w:p>
    <w:p w14:paraId="010F64A2">
      <w:pPr>
        <w:ind w:firstLine="420" w:firstLineChars="200"/>
        <w:jc w:val="center"/>
      </w:pPr>
    </w:p>
    <w:p w14:paraId="5C8D5F41">
      <w:pPr>
        <w:ind w:firstLine="420" w:firstLineChars="200"/>
        <w:jc w:val="center"/>
      </w:pPr>
    </w:p>
    <w:p w14:paraId="2D9FE09B">
      <w:pPr>
        <w:ind w:firstLine="420" w:firstLineChars="200"/>
        <w:jc w:val="center"/>
      </w:pPr>
    </w:p>
    <w:p w14:paraId="6D0F4E40">
      <w:pPr>
        <w:ind w:firstLine="420" w:firstLineChars="200"/>
        <w:jc w:val="center"/>
      </w:pPr>
    </w:p>
    <w:p w14:paraId="1708CF78">
      <w:pPr>
        <w:ind w:firstLine="420" w:firstLineChars="200"/>
        <w:jc w:val="center"/>
      </w:pPr>
    </w:p>
    <w:p w14:paraId="4CEB69E6">
      <w:pPr>
        <w:ind w:firstLine="420" w:firstLineChars="200"/>
        <w:jc w:val="center"/>
      </w:pPr>
    </w:p>
    <w:p w14:paraId="0DB39B9B">
      <w:pPr>
        <w:ind w:firstLine="420" w:firstLineChars="200"/>
        <w:jc w:val="center"/>
      </w:pPr>
    </w:p>
    <w:p w14:paraId="058EF6A3">
      <w:pPr>
        <w:ind w:firstLine="420" w:firstLineChars="200"/>
        <w:jc w:val="center"/>
      </w:pPr>
    </w:p>
    <w:p w14:paraId="18662067">
      <w:pPr>
        <w:ind w:firstLine="420" w:firstLineChars="200"/>
        <w:jc w:val="center"/>
      </w:pPr>
    </w:p>
    <w:p w14:paraId="70B47508">
      <w:pPr>
        <w:ind w:firstLine="420" w:firstLineChars="200"/>
        <w:jc w:val="center"/>
      </w:pPr>
    </w:p>
    <w:p w14:paraId="3DF2532D">
      <w:pPr>
        <w:ind w:firstLine="420" w:firstLineChars="200"/>
        <w:rPr>
          <w:rFonts w:hint="default"/>
          <w:lang w:val="en-US" w:eastAsia="zh-CN"/>
        </w:rPr>
      </w:pPr>
    </w:p>
    <w:p w14:paraId="510BFD96">
      <w:pPr>
        <w:widowControl w:val="0"/>
        <w:bidi w:val="0"/>
        <w:jc w:val="both"/>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pPr>
      <w:bookmarkStart w:id="9" w:name="_Toc11820"/>
      <w:r>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t>3.5 构建机器学习模型</w:t>
      </w:r>
      <w:bookmarkEnd w:id="9"/>
    </w:p>
    <w:p w14:paraId="23A1307F">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到目前为止，已处理的训练集数据包括以下三个：</w:t>
      </w:r>
    </w:p>
    <w:p w14:paraId="77E6B0CB">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经过数据预处理后的数据集。</w:t>
      </w:r>
    </w:p>
    <w:p w14:paraId="3AD197D6">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在数据预处理基础上实施特征工程后的数据集。</w:t>
      </w:r>
    </w:p>
    <w:p w14:paraId="043E3B7D">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在数据预处理和异常值剔除后进行特征工程的数据集。</w:t>
      </w:r>
    </w:p>
    <w:p w14:paraId="2D5A9C9A">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鉴于该数据集属于离散型数据类别，因此选择分类算法进行处理。</w:t>
      </w:r>
    </w:p>
    <w:p w14:paraId="77D46B2A">
      <w:pPr>
        <w:widowControl w:val="0"/>
        <w:bidi w:val="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由于数据集规模较大，支持向量机和KNN算法并不适宜处理此类数据。故选取随机森林分类器、逻辑回归分类器和梯度提升树分类器作为初始模型。通过这些模型对数据进行评分（score），并返回预测的R2值。R2的计算公式为：R2 =（1-u/v），其中u为（y_true - y_pred）** 2的总和，v为（y_true - y_true.mean()）** 2的总和。</w:t>
      </w:r>
    </w:p>
    <w:p w14:paraId="7DC532D6">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3EA2236B">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参数调整：采用交叉验证方法对模型参数进行调整，并绘制相应的学习曲线。图示为梯度提升树的学习曲线，主要调整参数为树的数量，观察到树的数量在100至120之间时模型拟合效果较佳；在逻辑回归中，初步调整参数包括C值、正则化方式和max_iter等（正则化强度的倒数。默认值为1.0。C值越小，对损失函数的惩罚越重，正则化效果越强，对过拟合的惩罚也越严厉，参数Theta也会相应减小）。随机森林中最重要的调整参数为树的数量，此外还包括计算属性的方法（基尼系数或信息增益）、树的最大深度、叶子节点的最小和最大样本数，以及在分支时考虑的特征数量等。</w:t>
      </w:r>
    </w:p>
    <w:p w14:paraId="3C62A9DF">
      <w:pPr>
        <w:numPr>
          <w:ilvl w:val="0"/>
          <w:numId w:val="0"/>
        </w:numPr>
        <w:ind w:leftChars="152"/>
        <w:jc w:val="center"/>
      </w:pPr>
      <w:r>
        <w:rPr>
          <w:rFonts w:ascii="宋体" w:hAnsi="宋体" w:eastAsia="宋体" w:cs="宋体"/>
          <w:sz w:val="24"/>
          <w:szCs w:val="24"/>
        </w:rPr>
        <w:drawing>
          <wp:inline distT="0" distB="0" distL="114300" distR="114300">
            <wp:extent cx="5072380" cy="2665095"/>
            <wp:effectExtent l="0" t="0" r="2540" b="1905"/>
            <wp:docPr id="5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descr="IMG_256"/>
                    <pic:cNvPicPr>
                      <a:picLocks noChangeAspect="1"/>
                    </pic:cNvPicPr>
                  </pic:nvPicPr>
                  <pic:blipFill>
                    <a:blip r:embed="rId54"/>
                    <a:stretch>
                      <a:fillRect/>
                    </a:stretch>
                  </pic:blipFill>
                  <pic:spPr>
                    <a:xfrm>
                      <a:off x="0" y="0"/>
                      <a:ext cx="5072380" cy="2665095"/>
                    </a:xfrm>
                    <a:prstGeom prst="rect">
                      <a:avLst/>
                    </a:prstGeom>
                    <a:noFill/>
                    <a:ln w="9525">
                      <a:noFill/>
                    </a:ln>
                  </pic:spPr>
                </pic:pic>
              </a:graphicData>
            </a:graphic>
          </wp:inline>
        </w:drawing>
      </w:r>
      <w:r>
        <w:drawing>
          <wp:inline distT="0" distB="0" distL="114300" distR="114300">
            <wp:extent cx="5140960" cy="2315210"/>
            <wp:effectExtent l="0" t="0" r="10160"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55"/>
                    <a:stretch>
                      <a:fillRect/>
                    </a:stretch>
                  </pic:blipFill>
                  <pic:spPr>
                    <a:xfrm>
                      <a:off x="0" y="0"/>
                      <a:ext cx="5140960" cy="2315210"/>
                    </a:xfrm>
                    <a:prstGeom prst="rect">
                      <a:avLst/>
                    </a:prstGeom>
                    <a:noFill/>
                    <a:ln>
                      <a:noFill/>
                    </a:ln>
                  </pic:spPr>
                </pic:pic>
              </a:graphicData>
            </a:graphic>
          </wp:inline>
        </w:drawing>
      </w:r>
    </w:p>
    <w:p w14:paraId="73DBB22E">
      <w:pPr>
        <w:numPr>
          <w:ilvl w:val="0"/>
          <w:numId w:val="0"/>
        </w:numPr>
        <w:ind w:leftChars="152"/>
        <w:jc w:val="left"/>
      </w:pPr>
    </w:p>
    <w:p w14:paraId="6B1C85DC">
      <w:pPr>
        <w:numPr>
          <w:ilvl w:val="0"/>
          <w:numId w:val="0"/>
        </w:numPr>
        <w:ind w:leftChars="152"/>
        <w:jc w:val="center"/>
      </w:pPr>
      <w:r>
        <w:drawing>
          <wp:inline distT="0" distB="0" distL="114300" distR="114300">
            <wp:extent cx="5267325" cy="1586230"/>
            <wp:effectExtent l="0" t="0" r="5715" b="1397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6"/>
                    <a:stretch>
                      <a:fillRect/>
                    </a:stretch>
                  </pic:blipFill>
                  <pic:spPr>
                    <a:xfrm>
                      <a:off x="0" y="0"/>
                      <a:ext cx="5267325" cy="1586230"/>
                    </a:xfrm>
                    <a:prstGeom prst="rect">
                      <a:avLst/>
                    </a:prstGeom>
                    <a:noFill/>
                    <a:ln>
                      <a:noFill/>
                    </a:ln>
                  </pic:spPr>
                </pic:pic>
              </a:graphicData>
            </a:graphic>
          </wp:inline>
        </w:drawing>
      </w:r>
    </w:p>
    <w:p w14:paraId="6A93BD7C">
      <w:pPr>
        <w:numPr>
          <w:ilvl w:val="0"/>
          <w:numId w:val="0"/>
        </w:numPr>
        <w:ind w:leftChars="152"/>
        <w:jc w:val="left"/>
      </w:pPr>
    </w:p>
    <w:p w14:paraId="6499382C">
      <w:pPr>
        <w:numPr>
          <w:ilvl w:val="0"/>
          <w:numId w:val="0"/>
        </w:numPr>
        <w:ind w:leftChars="152"/>
        <w:jc w:val="center"/>
      </w:pPr>
      <w:r>
        <w:drawing>
          <wp:inline distT="0" distB="0" distL="114300" distR="114300">
            <wp:extent cx="5273040" cy="2664460"/>
            <wp:effectExtent l="0" t="0" r="0" b="254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7"/>
                    <a:stretch>
                      <a:fillRect/>
                    </a:stretch>
                  </pic:blipFill>
                  <pic:spPr>
                    <a:xfrm>
                      <a:off x="0" y="0"/>
                      <a:ext cx="5273040" cy="2664460"/>
                    </a:xfrm>
                    <a:prstGeom prst="rect">
                      <a:avLst/>
                    </a:prstGeom>
                    <a:noFill/>
                    <a:ln>
                      <a:noFill/>
                    </a:ln>
                  </pic:spPr>
                </pic:pic>
              </a:graphicData>
            </a:graphic>
          </wp:inline>
        </w:drawing>
      </w:r>
    </w:p>
    <w:p w14:paraId="672957A0">
      <w:pPr>
        <w:numPr>
          <w:ilvl w:val="0"/>
          <w:numId w:val="0"/>
        </w:numPr>
        <w:ind w:leftChars="152"/>
        <w:jc w:val="left"/>
      </w:pPr>
    </w:p>
    <w:p w14:paraId="336D05B7">
      <w:pPr>
        <w:widowControl w:val="0"/>
        <w:bidi w:val="0"/>
        <w:ind w:firstLine="560" w:firstLineChars="200"/>
        <w:jc w:val="left"/>
        <w:rPr>
          <w:rFonts w:hint="default"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通过实施模型测试与参数调整，对三组数据进行建模分析后发现：在三组数据的测试过程中，第三组数据（经过数据清洗、特征工程以及异常值处理）的性能最优，显著优于第一组数据（仅进行简单清洗）和第二组数据（简单清洗与特征工程相结合）。进一步分析表明，第二组数据相较于第一组数据亦展现出更佳的性能（简单清洗数据的R^2平均值介于0.7900至0.8050之间，而加入特征工程后的平均值稳定在0.8至0.81之间，且运行速度较仅进行简单清洗的数据有显著提升）。此外，结合异常值处理与特征工程的数据处理结果显示，R^2平均值稳定在0.84至0.85之间。由此可见，异常值处理和特征工程对于构建更为精确的模型具有积极影响。</w:t>
      </w:r>
    </w:p>
    <w:p w14:paraId="3E741482">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4C3DD7BA">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322B5F99">
      <w:pPr>
        <w:numPr>
          <w:ilvl w:val="0"/>
          <w:numId w:val="0"/>
        </w:numPr>
        <w:ind w:leftChars="152"/>
        <w:jc w:val="left"/>
      </w:pPr>
    </w:p>
    <w:p w14:paraId="5411264E">
      <w:pPr>
        <w:numPr>
          <w:ilvl w:val="0"/>
          <w:numId w:val="0"/>
        </w:numPr>
        <w:ind w:leftChars="152"/>
        <w:jc w:val="center"/>
      </w:pPr>
      <w:r>
        <w:drawing>
          <wp:inline distT="0" distB="0" distL="114300" distR="114300">
            <wp:extent cx="3893820" cy="3135630"/>
            <wp:effectExtent l="0" t="0" r="7620" b="381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8"/>
                    <a:stretch>
                      <a:fillRect/>
                    </a:stretch>
                  </pic:blipFill>
                  <pic:spPr>
                    <a:xfrm>
                      <a:off x="0" y="0"/>
                      <a:ext cx="3893820" cy="3135630"/>
                    </a:xfrm>
                    <a:prstGeom prst="rect">
                      <a:avLst/>
                    </a:prstGeom>
                    <a:noFill/>
                    <a:ln>
                      <a:noFill/>
                    </a:ln>
                  </pic:spPr>
                </pic:pic>
              </a:graphicData>
            </a:graphic>
          </wp:inline>
        </w:drawing>
      </w:r>
    </w:p>
    <w:p w14:paraId="45C8FC60">
      <w:pPr>
        <w:widowControl w:val="0"/>
        <w:bidi w:val="0"/>
        <w:ind w:firstLine="420" w:firstLineChars="200"/>
        <w:jc w:val="center"/>
        <w:rPr>
          <w:rFonts w:hint="default"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简单清洗的数据进行的跑分</w:t>
      </w:r>
    </w:p>
    <w:p w14:paraId="216C1A26">
      <w:pPr>
        <w:numPr>
          <w:ilvl w:val="0"/>
          <w:numId w:val="0"/>
        </w:numPr>
        <w:ind w:leftChars="152"/>
        <w:jc w:val="left"/>
      </w:pPr>
    </w:p>
    <w:p w14:paraId="3DA17405">
      <w:pPr>
        <w:numPr>
          <w:ilvl w:val="0"/>
          <w:numId w:val="0"/>
        </w:numPr>
        <w:ind w:leftChars="152"/>
        <w:jc w:val="left"/>
      </w:pPr>
    </w:p>
    <w:p w14:paraId="348830E7">
      <w:pPr>
        <w:widowControl w:val="0"/>
        <w:bidi w:val="0"/>
        <w:ind w:firstLine="560" w:firstLineChars="200"/>
        <w:jc w:val="cente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drawing>
          <wp:inline distT="0" distB="0" distL="114300" distR="114300">
            <wp:extent cx="3305175" cy="3155315"/>
            <wp:effectExtent l="0" t="0" r="1905" b="14605"/>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59"/>
                    <a:stretch>
                      <a:fillRect/>
                    </a:stretch>
                  </pic:blipFill>
                  <pic:spPr>
                    <a:xfrm>
                      <a:off x="0" y="0"/>
                      <a:ext cx="3305175" cy="3155315"/>
                    </a:xfrm>
                    <a:prstGeom prst="rect">
                      <a:avLst/>
                    </a:prstGeom>
                    <a:noFill/>
                    <a:ln>
                      <a:noFill/>
                    </a:ln>
                  </pic:spPr>
                </pic:pic>
              </a:graphicData>
            </a:graphic>
          </wp:inline>
        </w:drawing>
      </w:r>
    </w:p>
    <w:p w14:paraId="390EDA40">
      <w:pPr>
        <w:widowControl w:val="0"/>
        <w:bidi w:val="0"/>
        <w:ind w:firstLine="420" w:firstLineChars="200"/>
        <w:jc w:val="center"/>
        <w:rPr>
          <w:rFonts w:hint="eastAsia"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特征工程后的建立的模型</w:t>
      </w:r>
    </w:p>
    <w:p w14:paraId="1FA21544">
      <w:pPr>
        <w:widowControl w:val="0"/>
        <w:bidi w:val="0"/>
        <w:ind w:firstLine="560" w:firstLineChars="200"/>
        <w:jc w:val="cente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376E30D0">
      <w:pPr>
        <w:widowControl w:val="0"/>
        <w:bidi w:val="0"/>
        <w:ind w:firstLine="560" w:firstLineChars="200"/>
        <w:jc w:val="cente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49FFD895">
      <w:pPr>
        <w:widowControl w:val="0"/>
        <w:bidi w:val="0"/>
        <w:ind w:firstLine="560" w:firstLineChars="200"/>
        <w:jc w:val="cente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19106AEE">
      <w:pPr>
        <w:widowControl w:val="0"/>
        <w:bidi w:val="0"/>
        <w:ind w:firstLine="560" w:firstLineChars="200"/>
        <w:jc w:val="cente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14570E1A">
      <w:pPr>
        <w:widowControl w:val="0"/>
        <w:bidi w:val="0"/>
        <w:ind w:firstLine="560" w:firstLineChars="200"/>
        <w:jc w:val="cente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3807DC24">
      <w:pPr>
        <w:widowControl w:val="0"/>
        <w:bidi w:val="0"/>
        <w:ind w:firstLine="560" w:firstLineChars="200"/>
        <w:jc w:val="cente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0FE662DA">
      <w:pPr>
        <w:numPr>
          <w:ilvl w:val="0"/>
          <w:numId w:val="0"/>
        </w:numPr>
        <w:ind w:leftChars="152"/>
        <w:jc w:val="left"/>
      </w:pPr>
    </w:p>
    <w:p w14:paraId="66327235">
      <w:pPr>
        <w:numPr>
          <w:ilvl w:val="0"/>
          <w:numId w:val="0"/>
        </w:numPr>
        <w:ind w:leftChars="152"/>
        <w:jc w:val="center"/>
      </w:pPr>
      <w:r>
        <w:drawing>
          <wp:inline distT="0" distB="0" distL="114300" distR="114300">
            <wp:extent cx="2103120" cy="3730625"/>
            <wp:effectExtent l="0" t="0" r="0" b="3175"/>
            <wp:docPr id="6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pic:cNvPicPr>
                      <a:picLocks noChangeAspect="1"/>
                    </pic:cNvPicPr>
                  </pic:nvPicPr>
                  <pic:blipFill>
                    <a:blip r:embed="rId60"/>
                    <a:stretch>
                      <a:fillRect/>
                    </a:stretch>
                  </pic:blipFill>
                  <pic:spPr>
                    <a:xfrm>
                      <a:off x="0" y="0"/>
                      <a:ext cx="2103120" cy="3730625"/>
                    </a:xfrm>
                    <a:prstGeom prst="rect">
                      <a:avLst/>
                    </a:prstGeom>
                    <a:noFill/>
                    <a:ln>
                      <a:noFill/>
                    </a:ln>
                  </pic:spPr>
                </pic:pic>
              </a:graphicData>
            </a:graphic>
          </wp:inline>
        </w:drawing>
      </w:r>
      <w:r>
        <w:drawing>
          <wp:inline distT="0" distB="0" distL="114300" distR="114300">
            <wp:extent cx="2155190" cy="3085465"/>
            <wp:effectExtent l="0" t="0" r="8890" b="8255"/>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
                    <pic:cNvPicPr>
                      <a:picLocks noChangeAspect="1"/>
                    </pic:cNvPicPr>
                  </pic:nvPicPr>
                  <pic:blipFill>
                    <a:blip r:embed="rId61"/>
                    <a:stretch>
                      <a:fillRect/>
                    </a:stretch>
                  </pic:blipFill>
                  <pic:spPr>
                    <a:xfrm>
                      <a:off x="0" y="0"/>
                      <a:ext cx="2155190" cy="3085465"/>
                    </a:xfrm>
                    <a:prstGeom prst="rect">
                      <a:avLst/>
                    </a:prstGeom>
                    <a:noFill/>
                    <a:ln>
                      <a:noFill/>
                    </a:ln>
                  </pic:spPr>
                </pic:pic>
              </a:graphicData>
            </a:graphic>
          </wp:inline>
        </w:drawing>
      </w:r>
    </w:p>
    <w:p w14:paraId="63491995">
      <w:pPr>
        <w:widowControl w:val="0"/>
        <w:bidi w:val="0"/>
        <w:ind w:firstLine="420" w:firstLineChars="200"/>
        <w:jc w:val="center"/>
        <w:rPr>
          <w:rFonts w:hint="default"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对异常值进行处理和特征工程后的数据建立的模型</w:t>
      </w:r>
    </w:p>
    <w:p w14:paraId="3427BB49">
      <w:pPr>
        <w:numPr>
          <w:ilvl w:val="0"/>
          <w:numId w:val="0"/>
        </w:numPr>
        <w:ind w:leftChars="152"/>
        <w:jc w:val="left"/>
      </w:pPr>
    </w:p>
    <w:p w14:paraId="0BA474F4">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经过综合考量，本研究最终选定第三组数据作为训练集以开展模型训练。通过反复的实验和参数调整，最终确立了模型结构（如图所示）。</w:t>
      </w:r>
    </w:p>
    <w:p w14:paraId="3D91B143">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1B826DDD">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3DEBEDDC">
      <w:pPr>
        <w:widowControl w:val="0"/>
        <w:bidi w:val="0"/>
        <w:ind w:firstLine="560" w:firstLineChars="20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2E863374">
      <w:pPr>
        <w:widowControl w:val="0"/>
        <w:bidi w:val="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p>
    <w:p w14:paraId="570F6656">
      <w:pPr>
        <w:widowControl w:val="0"/>
        <w:bidi w:val="0"/>
        <w:jc w:val="both"/>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pPr>
      <w:bookmarkStart w:id="10" w:name="_Toc4804"/>
      <w:r>
        <w:rPr>
          <w:rFonts w:hint="eastAsia" w:ascii="微软雅黑" w:hAnsi="微软雅黑" w:eastAsia="微软雅黑" w:cs="微软雅黑"/>
          <w:b/>
          <w:bCs/>
          <w:i w:val="0"/>
          <w:iCs w:val="0"/>
          <w:caps w:val="0"/>
          <w:color w:val="333333"/>
          <w:spacing w:val="0"/>
          <w:kern w:val="2"/>
          <w:sz w:val="32"/>
          <w:szCs w:val="32"/>
          <w:shd w:val="clear" w:fill="FFFFFF"/>
          <w:lang w:val="en-US" w:eastAsia="zh-CN" w:bidi="ar-SA"/>
        </w:rPr>
        <w:t>3.6 基于模型的预测与评估</w:t>
      </w:r>
      <w:bookmarkEnd w:id="10"/>
    </w:p>
    <w:p w14:paraId="606ECE2C">
      <w:pPr>
        <w:widowControl w:val="0"/>
        <w:numPr>
          <w:ilvl w:val="0"/>
          <w:numId w:val="0"/>
        </w:numPr>
        <w:bidi w:val="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ascii="Calibri" w:hAnsi="Calibri" w:eastAsia="宋体" w:cs="Times New Roman"/>
          <w:b w:val="0"/>
          <w:bCs w:val="0"/>
          <w:kern w:val="2"/>
          <w:sz w:val="28"/>
          <w:szCs w:val="28"/>
          <w:lang w:bidi="ar-SA"/>
        </w:rPr>
        <w:t xml:space="preserve">   </w:t>
      </w: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 xml:space="preserve"> 模型构建完成后，利用训练集对新的测试集进行预测，以获得预测数据。predict_proba函数与predict函数不同，其输出为各类结果的概率值。而predict函数则直接给出预测结果（0代表非违约，1代表违约）。</w:t>
      </w:r>
    </w:p>
    <w:p w14:paraId="5182E1EA">
      <w:pPr>
        <w:numPr>
          <w:ilvl w:val="0"/>
          <w:numId w:val="0"/>
        </w:numPr>
        <w:jc w:val="center"/>
      </w:pPr>
      <w:r>
        <w:drawing>
          <wp:inline distT="0" distB="0" distL="114300" distR="114300">
            <wp:extent cx="2559050" cy="1962150"/>
            <wp:effectExtent l="0" t="0" r="1270" b="381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
                    <pic:cNvPicPr>
                      <a:picLocks noChangeAspect="1"/>
                    </pic:cNvPicPr>
                  </pic:nvPicPr>
                  <pic:blipFill>
                    <a:blip r:embed="rId62"/>
                    <a:stretch>
                      <a:fillRect/>
                    </a:stretch>
                  </pic:blipFill>
                  <pic:spPr>
                    <a:xfrm>
                      <a:off x="0" y="0"/>
                      <a:ext cx="2559050" cy="1962150"/>
                    </a:xfrm>
                    <a:prstGeom prst="rect">
                      <a:avLst/>
                    </a:prstGeom>
                    <a:noFill/>
                    <a:ln>
                      <a:noFill/>
                    </a:ln>
                  </pic:spPr>
                </pic:pic>
              </a:graphicData>
            </a:graphic>
          </wp:inline>
        </w:drawing>
      </w:r>
      <w:r>
        <w:drawing>
          <wp:inline distT="0" distB="0" distL="114300" distR="114300">
            <wp:extent cx="2621280" cy="1826260"/>
            <wp:effectExtent l="0" t="0" r="0" b="2540"/>
            <wp:docPr id="6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
                    <pic:cNvPicPr>
                      <a:picLocks noChangeAspect="1"/>
                    </pic:cNvPicPr>
                  </pic:nvPicPr>
                  <pic:blipFill>
                    <a:blip r:embed="rId63"/>
                    <a:srcRect r="2491" b="51041"/>
                    <a:stretch>
                      <a:fillRect/>
                    </a:stretch>
                  </pic:blipFill>
                  <pic:spPr>
                    <a:xfrm>
                      <a:off x="0" y="0"/>
                      <a:ext cx="2621280" cy="1826260"/>
                    </a:xfrm>
                    <a:prstGeom prst="rect">
                      <a:avLst/>
                    </a:prstGeom>
                    <a:noFill/>
                    <a:ln>
                      <a:noFill/>
                    </a:ln>
                  </pic:spPr>
                </pic:pic>
              </a:graphicData>
            </a:graphic>
          </wp:inline>
        </w:drawing>
      </w:r>
    </w:p>
    <w:p w14:paraId="6054A116">
      <w:pPr>
        <w:numPr>
          <w:ilvl w:val="0"/>
          <w:numId w:val="0"/>
        </w:numPr>
        <w:jc w:val="center"/>
      </w:pPr>
      <w:r>
        <w:drawing>
          <wp:inline distT="0" distB="0" distL="114300" distR="114300">
            <wp:extent cx="3375660" cy="2548255"/>
            <wp:effectExtent l="0" t="0" r="7620" b="12065"/>
            <wp:docPr id="6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4"/>
                    <pic:cNvPicPr>
                      <a:picLocks noChangeAspect="1"/>
                    </pic:cNvPicPr>
                  </pic:nvPicPr>
                  <pic:blipFill>
                    <a:blip r:embed="rId64"/>
                    <a:srcRect t="4452"/>
                    <a:stretch>
                      <a:fillRect/>
                    </a:stretch>
                  </pic:blipFill>
                  <pic:spPr>
                    <a:xfrm>
                      <a:off x="0" y="0"/>
                      <a:ext cx="3375660" cy="2548255"/>
                    </a:xfrm>
                    <a:prstGeom prst="rect">
                      <a:avLst/>
                    </a:prstGeom>
                    <a:noFill/>
                    <a:ln>
                      <a:noFill/>
                    </a:ln>
                  </pic:spPr>
                </pic:pic>
              </a:graphicData>
            </a:graphic>
          </wp:inline>
        </w:drawing>
      </w:r>
    </w:p>
    <w:p w14:paraId="39CC65D8">
      <w:pPr>
        <w:widowControl w:val="0"/>
        <w:bidi w:val="0"/>
        <w:ind w:firstLine="420" w:firstLineChars="200"/>
        <w:jc w:val="center"/>
        <w:rPr>
          <w:rFonts w:hint="default"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模型的评估</w:t>
      </w:r>
    </w:p>
    <w:p w14:paraId="14E57DE9">
      <w:pPr>
        <w:widowControl w:val="0"/>
        <w:numPr>
          <w:ilvl w:val="0"/>
          <w:numId w:val="0"/>
        </w:numPr>
        <w:bidi w:val="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在本研究中，我们采用了ROC曲线下面积（Area Under Curve, AUC）作为评估指标。该指标定义为ROC曲线与坐标轴所围成的区域面积，其值域上限为1。鉴于ROC曲线通常位于等误判率直线（y=x）之上，AUC的取值范围介于0.5至1之间。AUC值越接近1，表明检测方法的鉴别能力越强；而当AUC值等于0.5时，表明该检测方法无鉴别能力，不具备实际应用价值。</w:t>
      </w:r>
    </w:p>
    <w:p w14:paraId="66AC528E">
      <w:pPr>
        <w:widowControl w:val="0"/>
        <w:numPr>
          <w:ilvl w:val="0"/>
          <w:numId w:val="0"/>
        </w:numPr>
        <w:bidi w:val="0"/>
        <w:jc w:val="left"/>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pPr>
      <w:r>
        <w:rPr>
          <w:rFonts w:hint="eastAsia" w:ascii="微软雅黑" w:hAnsi="微软雅黑" w:eastAsia="微软雅黑" w:cs="微软雅黑"/>
          <w:b w:val="0"/>
          <w:bCs w:val="0"/>
          <w:i w:val="0"/>
          <w:iCs w:val="0"/>
          <w:caps w:val="0"/>
          <w:color w:val="333333"/>
          <w:spacing w:val="0"/>
          <w:kern w:val="2"/>
          <w:sz w:val="28"/>
          <w:szCs w:val="28"/>
          <w:shd w:val="clear" w:fill="FFFFFF"/>
          <w:lang w:val="en-US" w:eastAsia="zh-CN" w:bidi="ar-SA"/>
        </w:rPr>
        <w:t>在模型正负样本比例失衡的情况下，AUC评估模型展现出其独特的优势，能够有效地评估模型性能。</w:t>
      </w:r>
    </w:p>
    <w:p w14:paraId="7A8F5355">
      <w:pPr>
        <w:numPr>
          <w:ilvl w:val="0"/>
          <w:numId w:val="0"/>
        </w:numPr>
        <w:ind w:leftChars="152"/>
        <w:jc w:val="center"/>
        <w:rPr>
          <w:rFonts w:hint="default"/>
          <w:b/>
          <w:bCs/>
          <w:sz w:val="44"/>
          <w:szCs w:val="44"/>
          <w:lang w:val="en-US" w:eastAsia="zh-CN"/>
        </w:rPr>
      </w:pPr>
      <w:r>
        <w:drawing>
          <wp:inline distT="0" distB="0" distL="114300" distR="114300">
            <wp:extent cx="3429000" cy="1252855"/>
            <wp:effectExtent l="0" t="0" r="0" b="12065"/>
            <wp:docPr id="6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5"/>
                    <pic:cNvPicPr>
                      <a:picLocks noChangeAspect="1"/>
                    </pic:cNvPicPr>
                  </pic:nvPicPr>
                  <pic:blipFill>
                    <a:blip r:embed="rId65"/>
                    <a:stretch>
                      <a:fillRect/>
                    </a:stretch>
                  </pic:blipFill>
                  <pic:spPr>
                    <a:xfrm>
                      <a:off x="0" y="0"/>
                      <a:ext cx="3429000" cy="1252855"/>
                    </a:xfrm>
                    <a:prstGeom prst="rect">
                      <a:avLst/>
                    </a:prstGeom>
                    <a:noFill/>
                    <a:ln>
                      <a:noFill/>
                    </a:ln>
                  </pic:spPr>
                </pic:pic>
              </a:graphicData>
            </a:graphic>
          </wp:inline>
        </w:drawing>
      </w:r>
    </w:p>
    <w:p w14:paraId="0BD5FF34">
      <w:pPr>
        <w:widowControl w:val="0"/>
        <w:bidi w:val="0"/>
        <w:ind w:firstLine="420" w:firstLineChars="200"/>
        <w:jc w:val="center"/>
        <w:rPr>
          <w:rFonts w:hint="default" w:ascii="微软雅黑" w:hAnsi="微软雅黑" w:eastAsia="微软雅黑" w:cs="微软雅黑"/>
          <w:b/>
          <w:bCs/>
          <w:i w:val="0"/>
          <w:iCs w:val="0"/>
          <w:caps w:val="0"/>
          <w:color w:val="333333"/>
          <w:spacing w:val="0"/>
          <w:sz w:val="21"/>
          <w:szCs w:val="21"/>
          <w:shd w:val="clear" w:fill="FFFFFF"/>
          <w:lang w:val="en-US" w:eastAsia="zh-CN"/>
        </w:rPr>
      </w:pPr>
      <w:r>
        <w:rPr>
          <w:rFonts w:hint="eastAsia" w:ascii="微软雅黑" w:hAnsi="微软雅黑" w:eastAsia="微软雅黑" w:cs="微软雅黑"/>
          <w:b/>
          <w:bCs/>
          <w:i w:val="0"/>
          <w:iCs w:val="0"/>
          <w:caps w:val="0"/>
          <w:color w:val="333333"/>
          <w:spacing w:val="0"/>
          <w:sz w:val="21"/>
          <w:szCs w:val="21"/>
          <w:shd w:val="clear" w:fill="FFFFFF"/>
          <w:lang w:val="en-US" w:eastAsia="zh-CN"/>
        </w:rPr>
        <w:t>模型的预测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NkNzVmNDA1YTM5NjFkYWIxMmNjNTY2MWU3MzU4OTEifQ=="/>
  </w:docVars>
  <w:rsids>
    <w:rsidRoot w:val="00000000"/>
    <w:rsid w:val="028429BF"/>
    <w:rsid w:val="0C2D00DB"/>
    <w:rsid w:val="0F710EEC"/>
    <w:rsid w:val="28B3475F"/>
    <w:rsid w:val="336B0CE6"/>
    <w:rsid w:val="45FD45B4"/>
    <w:rsid w:val="495379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4">
    <w:name w:val="toc 3"/>
    <w:basedOn w:val="1"/>
    <w:next w:val="1"/>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iPriority w:val="0"/>
  </w:style>
  <w:style w:type="paragraph" w:styleId="8">
    <w:name w:val="toc 2"/>
    <w:basedOn w:val="1"/>
    <w:next w:val="1"/>
    <w:qFormat/>
    <w:uiPriority w:val="0"/>
    <w:pPr>
      <w:ind w:left="420" w:leftChars="200"/>
    </w:p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rFonts w:ascii="Times New Roman" w:hAnsi="Times New Roman" w:eastAsia="宋体" w:cs="Times New Roman"/>
      <w:sz w:val="20"/>
      <w:szCs w:val="20"/>
    </w:rPr>
  </w:style>
  <w:style w:type="paragraph" w:customStyle="1" w:styleId="15">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7157</Words>
  <Characters>8221</Characters>
  <Lines>0</Lines>
  <Paragraphs>0</Paragraphs>
  <TotalTime>96</TotalTime>
  <ScaleCrop>false</ScaleCrop>
  <LinksUpToDate>false</LinksUpToDate>
  <CharactersWithSpaces>8297</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2022-06-05T11:35:00Z</dcterms:created>
  <dc:creator>海贝</dc:creator>
  <cp:lastModifiedBy>WPS_1668156645</cp:lastModifiedBy>
  <dcterms:modified xsi:type="dcterms:W3CDTF">2024-12-24T17:05:03Z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CB4BECE65C85427296656DA1A98DCA3C</vt:lpwstr>
  </property>
  <property fmtid="{D5CDD505-2E9C-101B-9397-08002B2CF9AE}" pid="4" name="KSOTemplateDocerSaveRecord">
    <vt:lpwstr>eyJoZGlkIjoiYWNkNzVmNDA1YTM5NjFkYWIxMmNjNTY2MWU3MzU4OTEiLCJ1c2VySWQiOiIxNDM5MjYyMjgyIn0=</vt:lpwstr>
  </property>
</Properties>
</file>