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300"/>
        <w:jc w:val="center"/>
      </w:pPr>
      <w:r>
        <w:drawing>
          <wp:inline distT="0" distB="0" distL="0" distR="0">
            <wp:extent cx="3238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162175"/>
                    </a:xfrm>
                    <a:prstGeom prst="rect">
                      <a:avLst/>
                    </a:prstGeom>
                  </pic:spPr>
                </pic:pic>
              </a:graphicData>
            </a:graphic>
          </wp:inline>
        </w:drawing>
      </w:r>
    </w:p>
    <w:p>
      <w:pPr>
        <w:spacing w:after="80" w:before="200"/>
        <w:jc w:val="center"/>
      </w:pPr>
      <w:r>
        <w:rPr>
          <w:rFonts w:ascii="Arial" w:cs="Arial" w:eastAsia="Arial" w:hAnsi="Arial"/>
          <w:b/>
          <w:bCs/>
          <w:color w:val="C9A227"/>
          <w:spacing w:val="60"/>
          <w:sz w:val="20"/>
          <w:szCs w:val="20"/>
        </w:rPr>
        <w:t xml:space="preserve">PRODUCT DEFINITION DOCUMENT</w:t>
      </w:r>
    </w:p>
    <w:p>
      <w:pPr>
        <w:spacing w:after="100"/>
        <w:jc w:val="center"/>
      </w:pPr>
      <w:r>
        <w:rPr>
          <w:rFonts w:ascii="Arial" w:cs="Arial" w:eastAsia="Arial" w:hAnsi="Arial"/>
          <w:b/>
          <w:bCs/>
          <w:color w:val="0A2A5E"/>
          <w:sz w:val="48"/>
          <w:szCs w:val="48"/>
        </w:rPr>
        <w:t xml:space="preserve">Spain Relocation Hub</w:t>
      </w:r>
    </w:p>
    <w:p>
      <w:pPr>
        <w:pBdr>
          <w:bottom w:val="single" w:color="C9A227" w:sz="12" w:space="10"/>
        </w:pBdr>
        <w:spacing w:after="300"/>
        <w:jc w:val="center"/>
      </w:pPr>
      <w:r>
        <w:rPr>
          <w:rFonts w:ascii="Arial" w:cs="Arial" w:eastAsia="Arial" w:hAnsi="Arial"/>
          <w:color w:val="2C2F36"/>
          <w:sz w:val="22"/>
          <w:szCs w:val="22"/>
        </w:rPr>
        <w:t xml:space="preserve">Multilingual Lead-Generation Landing Page  ·  Phase 1</w:t>
      </w:r>
    </w:p>
    <w:p>
      <w:pPr>
        <w:spacing w:after="400" w:before="0"/>
      </w:pP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600"/>
        <w:gridCol w:w="6400"/>
      </w:tblGrid>
      <w:tr>
        <w:trPr>
          <w:tblHeader/>
        </w:trPr>
        <w:tc>
          <w:tcPr>
            <w:tcW w:type="dxa" w:w="26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Field</w:t>
            </w:r>
          </w:p>
        </w:tc>
        <w:tc>
          <w:tcPr>
            <w:tcW w:type="dxa" w:w="64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Detail</w:t>
            </w:r>
          </w:p>
        </w:tc>
      </w:tr>
      <w:tr>
        <w:tc>
          <w:tcPr>
            <w:tcW w:type="dxa" w:w="2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Document</w:t>
            </w:r>
          </w:p>
        </w:tc>
        <w:tc>
          <w:tcPr>
            <w:tcW w:type="dxa" w:w="6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Product Definition Document (PDD)</w:t>
            </w:r>
          </w:p>
        </w:tc>
      </w:tr>
      <w:tr>
        <w:tc>
          <w:tcPr>
            <w:tcW w:type="dxa" w:w="2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Product</w:t>
            </w:r>
          </w:p>
        </w:tc>
        <w:tc>
          <w:tcPr>
            <w:tcW w:type="dxa" w:w="6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Spain Relocation Hub (SRH) — corporate website</w:t>
            </w:r>
          </w:p>
        </w:tc>
      </w:tr>
      <w:tr>
        <w:tc>
          <w:tcPr>
            <w:tcW w:type="dxa" w:w="2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Version</w:t>
            </w:r>
          </w:p>
        </w:tc>
        <w:tc>
          <w:tcPr>
            <w:tcW w:type="dxa" w:w="6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1.0</w:t>
            </w:r>
          </w:p>
        </w:tc>
      </w:tr>
      <w:tr>
        <w:tc>
          <w:tcPr>
            <w:tcW w:type="dxa" w:w="2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Status</w:t>
            </w:r>
          </w:p>
        </w:tc>
        <w:tc>
          <w:tcPr>
            <w:tcW w:type="dxa" w:w="6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Draft for client review</w:t>
            </w:r>
          </w:p>
        </w:tc>
      </w:tr>
      <w:tr>
        <w:tc>
          <w:tcPr>
            <w:tcW w:type="dxa" w:w="2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Date</w:t>
            </w:r>
          </w:p>
        </w:tc>
        <w:tc>
          <w:tcPr>
            <w:tcW w:type="dxa" w:w="6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August 2026</w:t>
            </w:r>
          </w:p>
        </w:tc>
      </w:tr>
      <w:tr>
        <w:tc>
          <w:tcPr>
            <w:tcW w:type="dxa" w:w="2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Prepared by</w:t>
            </w:r>
          </w:p>
        </w:tc>
        <w:tc>
          <w:tcPr>
            <w:tcW w:type="dxa" w:w="6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LucrumTech</w:t>
            </w:r>
          </w:p>
        </w:tc>
      </w:tr>
      <w:tr>
        <w:tc>
          <w:tcPr>
            <w:tcW w:type="dxa" w:w="2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Language editions</w:t>
            </w:r>
          </w:p>
        </w:tc>
        <w:tc>
          <w:tcPr>
            <w:tcW w:type="dxa" w:w="6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English · Українська · Español</w:t>
            </w:r>
          </w:p>
        </w:tc>
      </w:tr>
      <w:tr>
        <w:tc>
          <w:tcPr>
            <w:tcW w:type="dxa" w:w="2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Classification</w:t>
            </w:r>
          </w:p>
        </w:tc>
        <w:tc>
          <w:tcPr>
            <w:tcW w:type="dxa" w:w="6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Confidential — Client and Partner Use Only</w:t>
            </w:r>
          </w:p>
        </w:tc>
      </w:tr>
    </w:tbl>
    <w:p>
      <w:pPr>
        <w:spacing w:after="300" w:before="0"/>
      </w:pPr>
    </w:p>
    <w:p>
      <w:pPr>
        <w:spacing w:after="120" w:before="60" w:line="276"/>
        <w:jc w:val="center"/>
      </w:pPr>
      <w:r>
        <w:rPr>
          <w:rFonts w:ascii="Arial" w:cs="Arial" w:eastAsia="Arial" w:hAnsi="Arial"/>
          <w:b w:val="false"/>
          <w:bCs w:val="false"/>
          <w:i/>
          <w:iCs/>
          <w:color w:val="2C2F36"/>
          <w:sz w:val="18"/>
          <w:szCs w:val="18"/>
        </w:rPr>
        <w:t xml:space="preserve">This document defines the product scope, functional and non-functional requirements, content structure, and success criteria for the Spain Relocation Hub website. It is the single reference point for design, development, content production, and acceptance.</w:t>
      </w:r>
    </w:p>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1. Executive Summary</w:t>
      </w:r>
    </w:p>
    <w:p>
      <w:pPr>
        <w:spacing w:after="120" w:before="60" w:line="276"/>
        <w:jc w:val="left"/>
      </w:pPr>
      <w:r>
        <w:rPr>
          <w:rFonts w:ascii="Arial" w:cs="Arial" w:eastAsia="Arial" w:hAnsi="Arial"/>
          <w:b w:val="false"/>
          <w:bCs w:val="false"/>
          <w:i w:val="false"/>
          <w:iCs w:val="false"/>
          <w:color w:val="2C2F36"/>
          <w:sz w:val="20"/>
          <w:szCs w:val="20"/>
        </w:rPr>
        <w:t xml:space="preserve">Spain Relocation Hub (SRH) is a relocation services company that helps individuals, families, and business owners move to Spain. The company consolidates services that a relocating client would otherwise have to source from five or six separate providers: property, residency and legalisation, insurance, vehicles, business set-up, and everyday practical adaptation.</w:t>
      </w:r>
    </w:p>
    <w:p>
      <w:pPr>
        <w:spacing w:after="120" w:before="60" w:line="276"/>
        <w:jc w:val="left"/>
      </w:pPr>
      <w:r>
        <w:rPr>
          <w:rFonts w:ascii="Arial" w:cs="Arial" w:eastAsia="Arial" w:hAnsi="Arial"/>
          <w:b w:val="false"/>
          <w:bCs w:val="false"/>
          <w:i w:val="false"/>
          <w:iCs w:val="false"/>
          <w:color w:val="2C2F36"/>
          <w:sz w:val="20"/>
          <w:szCs w:val="20"/>
        </w:rPr>
        <w:t xml:space="preserve">The commercial problem is not service delivery — SRH already delivers through a network of vetted partners. The problem is demand capture. Prospective clients research relocation for weeks or months across forums, chat groups, and social media, and SRH currently has no owned digital asset that converts that research activity into qualified enquiries.</w:t>
      </w:r>
    </w:p>
    <w:p>
      <w:pPr>
        <w:spacing w:after="120" w:before="60" w:line="276"/>
        <w:jc w:val="left"/>
      </w:pPr>
      <w:r>
        <w:rPr>
          <w:rFonts w:ascii="Arial" w:cs="Arial" w:eastAsia="Arial" w:hAnsi="Arial"/>
          <w:b w:val="false"/>
          <w:bCs w:val="false"/>
          <w:i w:val="false"/>
          <w:iCs w:val="false"/>
          <w:color w:val="2C2F36"/>
          <w:sz w:val="20"/>
          <w:szCs w:val="20"/>
        </w:rPr>
        <w:t xml:space="preserve">Phase 1 of this product is a single-page, multilingual landing site whose sole commercial purpose is to generate qualified leads. Every design and engineering decision in this document is subordinate to that objective. The site presents the full service catalogue, establishes credibility, and drives the visitor to one of two actions: submit a qualification form, or open a WhatsApp conversation.</w:t>
      </w:r>
    </w:p>
    <w:p>
      <w:pPr>
        <w:spacing w:after="120" w:before="60" w:line="276"/>
        <w:jc w:val="left"/>
      </w:pPr>
      <w:r>
        <w:rPr>
          <w:rFonts w:ascii="Arial" w:cs="Arial" w:eastAsia="Arial" w:hAnsi="Arial"/>
          <w:b w:val="false"/>
          <w:bCs w:val="false"/>
          <w:i w:val="false"/>
          <w:iCs w:val="false"/>
          <w:color w:val="2C2F36"/>
          <w:sz w:val="20"/>
          <w:szCs w:val="20"/>
        </w:rPr>
        <w:t xml:space="preserve">The site is built on a content-managed foundation so that SRH can edit copy without developer involvement, and is architected so that Phase 2 — a searchable property listings and transactional platform — can be added without rebuilding the site.</w:t>
      </w:r>
    </w:p>
    <w:p>
      <w:pPr>
        <w:pStyle w:val="Heading2"/>
        <w:spacing w:after="120" w:before="260"/>
      </w:pPr>
      <w:r>
        <w:rPr>
          <w:rFonts w:ascii="Arial" w:cs="Arial" w:eastAsia="Arial" w:hAnsi="Arial"/>
          <w:b/>
          <w:bCs/>
          <w:color w:val="0A2A5E"/>
          <w:sz w:val="24"/>
          <w:szCs w:val="24"/>
        </w:rPr>
        <w:t xml:space="preserve">1.1 Objectives at a Glance</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400"/>
        <w:gridCol w:w="3900"/>
        <w:gridCol w:w="2700"/>
      </w:tblGrid>
      <w:tr>
        <w:trPr>
          <w:tblHeader/>
        </w:trPr>
        <w:tc>
          <w:tcPr>
            <w:tcW w:type="dxa" w:w="24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Objective</w:t>
            </w:r>
          </w:p>
        </w:tc>
        <w:tc>
          <w:tcPr>
            <w:tcW w:type="dxa" w:w="39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Description</w:t>
            </w:r>
          </w:p>
        </w:tc>
        <w:tc>
          <w:tcPr>
            <w:tcW w:type="dxa" w:w="27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Primary Measure</w:t>
            </w:r>
          </w:p>
        </w:tc>
      </w:tr>
      <w:tr>
        <w:tc>
          <w:tcPr>
            <w:tcW w:type="dxa" w:w="2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Capture demand</w:t>
            </w:r>
          </w:p>
        </w:tc>
        <w:tc>
          <w:tcPr>
            <w:tcW w:type="dxa" w:w="39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Convert relocation research traffic into contactable enquiries</w:t>
            </w:r>
          </w:p>
        </w:tc>
        <w:tc>
          <w:tcPr>
            <w:tcW w:type="dxa" w:w="27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Qualified leads per month</w:t>
            </w:r>
          </w:p>
        </w:tc>
      </w:tr>
      <w:tr>
        <w:tc>
          <w:tcPr>
            <w:tcW w:type="dxa" w:w="2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Qualify early</w:t>
            </w:r>
          </w:p>
        </w:tc>
        <w:tc>
          <w:tcPr>
            <w:tcW w:type="dxa" w:w="39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Collect enough context up front to prioritise and prepare for the first call</w:t>
            </w:r>
          </w:p>
        </w:tc>
        <w:tc>
          <w:tcPr>
            <w:tcW w:type="dxa" w:w="27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 of leads with complete profile</w:t>
            </w:r>
          </w:p>
        </w:tc>
      </w:tr>
      <w:tr>
        <w:tc>
          <w:tcPr>
            <w:tcW w:type="dxa" w:w="2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Establish trust</w:t>
            </w:r>
          </w:p>
        </w:tc>
        <w:tc>
          <w:tcPr>
            <w:tcW w:type="dxa" w:w="39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Present SRH as an organised, professional operator rather than an informal intermediary</w:t>
            </w:r>
          </w:p>
        </w:tc>
        <w:tc>
          <w:tcPr>
            <w:tcW w:type="dxa" w:w="27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Bounce rate; scroll depth</w:t>
            </w:r>
          </w:p>
        </w:tc>
      </w:tr>
      <w:tr>
        <w:tc>
          <w:tcPr>
            <w:tcW w:type="dxa" w:w="2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Serve four audiences</w:t>
            </w:r>
          </w:p>
        </w:tc>
        <w:tc>
          <w:tcPr>
            <w:tcW w:type="dxa" w:w="39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Deliver a native-language experience to Ukrainian, Russian-speaking, Spanish, and international visitors</w:t>
            </w:r>
          </w:p>
        </w:tc>
        <w:tc>
          <w:tcPr>
            <w:tcW w:type="dxa" w:w="27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Sessions and conversion by locale</w:t>
            </w:r>
          </w:p>
        </w:tc>
      </w:tr>
      <w:tr>
        <w:tc>
          <w:tcPr>
            <w:tcW w:type="dxa" w:w="2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Enable growth</w:t>
            </w:r>
          </w:p>
        </w:tc>
        <w:tc>
          <w:tcPr>
            <w:tcW w:type="dxa" w:w="39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Provide a technical base that supports a listings marketplace without a rebuild</w:t>
            </w:r>
          </w:p>
        </w:tc>
        <w:tc>
          <w:tcPr>
            <w:tcW w:type="dxa" w:w="27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Phase 2 delivered as extension, not rewrite</w:t>
            </w:r>
          </w:p>
        </w:tc>
      </w:tr>
    </w:tbl>
    <w:p>
      <w:pPr>
        <w:pStyle w:val="Heading1"/>
        <w:pBdr>
          <w:bottom w:val="single" w:color="C9A227" w:sz="12" w:space="6"/>
        </w:pBdr>
        <w:spacing w:after="160" w:before="360"/>
      </w:pPr>
      <w:r>
        <w:rPr>
          <w:rFonts w:ascii="Arial" w:cs="Arial" w:eastAsia="Arial" w:hAnsi="Arial"/>
          <w:b/>
          <w:bCs/>
          <w:color w:val="0A2A5E"/>
          <w:sz w:val="30"/>
          <w:szCs w:val="30"/>
        </w:rPr>
        <w:t xml:space="preserve">2. Product Vision and Strategic Context</w:t>
      </w:r>
    </w:p>
    <w:p>
      <w:pPr>
        <w:pStyle w:val="Heading2"/>
        <w:spacing w:after="120" w:before="260"/>
      </w:pPr>
      <w:r>
        <w:rPr>
          <w:rFonts w:ascii="Arial" w:cs="Arial" w:eastAsia="Arial" w:hAnsi="Arial"/>
          <w:b/>
          <w:bCs/>
          <w:color w:val="0A2A5E"/>
          <w:sz w:val="24"/>
          <w:szCs w:val="24"/>
        </w:rPr>
        <w:t xml:space="preserve">2.1 Vision Statement</w:t>
      </w:r>
    </w:p>
    <w:p>
      <w:pPr>
        <w:pBdr>
          <w:left w:val="single" w:color="C9A227" w:sz="18" w:space="12"/>
        </w:pBdr>
        <w:spacing w:after="200" w:before="120"/>
        <w:ind w:left="400"/>
      </w:pPr>
      <w:r>
        <w:rPr>
          <w:rFonts w:ascii="Arial" w:cs="Arial" w:eastAsia="Arial" w:hAnsi="Arial"/>
          <w:i/>
          <w:iCs/>
          <w:color w:val="0A2A5E"/>
          <w:sz w:val="22"/>
          <w:szCs w:val="22"/>
        </w:rPr>
        <w:t xml:space="preserve">To become the single trusted starting point for anyone relocating to Spain — where the entire move, from residency permit to school placement, is understood, planned, and executed in one place, in the client's own language.</w:t>
      </w:r>
    </w:p>
    <w:p>
      <w:pPr>
        <w:pStyle w:val="Heading2"/>
        <w:spacing w:after="120" w:before="260"/>
      </w:pPr>
      <w:r>
        <w:rPr>
          <w:rFonts w:ascii="Arial" w:cs="Arial" w:eastAsia="Arial" w:hAnsi="Arial"/>
          <w:b/>
          <w:bCs/>
          <w:color w:val="0A2A5E"/>
          <w:sz w:val="24"/>
          <w:szCs w:val="24"/>
        </w:rPr>
        <w:t xml:space="preserve">2.2 The Client Problem</w:t>
      </w:r>
    </w:p>
    <w:p>
      <w:pPr>
        <w:spacing w:after="120" w:before="60" w:line="276"/>
        <w:jc w:val="left"/>
      </w:pPr>
      <w:r>
        <w:rPr>
          <w:rFonts w:ascii="Arial" w:cs="Arial" w:eastAsia="Arial" w:hAnsi="Arial"/>
          <w:b w:val="false"/>
          <w:bCs w:val="false"/>
          <w:i w:val="false"/>
          <w:iCs w:val="false"/>
          <w:color w:val="2C2F36"/>
          <w:sz w:val="20"/>
          <w:szCs w:val="20"/>
        </w:rPr>
        <w:t xml:space="preserve">Relocation to Spain is not a single transaction; it is a sequence of fifteen to twenty interdependent decisions made under time pressure, in a foreign legal system, usually in a language the client does not speak. The characteristic failure modes are well documented among relocating families:</w:t>
      </w:r>
    </w:p>
    <w:p>
      <w:pPr>
        <w:pStyle w:val="ListParagraph"/>
        <w:numPr>
          <w:ilvl w:val="0"/>
          <w:numId w:val="2"/>
        </w:numPr>
        <w:spacing w:after="60" w:before="40" w:line="264"/>
      </w:pPr>
      <w:r>
        <w:rPr>
          <w:rFonts w:ascii="Arial" w:cs="Arial" w:eastAsia="Arial" w:hAnsi="Arial"/>
          <w:color w:val="2C2F36"/>
          <w:sz w:val="20"/>
          <w:szCs w:val="20"/>
        </w:rPr>
        <w:t xml:space="preserve">Sequencing errors — clients sign a rental contract before understanding what documentation their residency route requires, or purchase a vehicle before resolving their driving licence status.</w:t>
      </w:r>
    </w:p>
    <w:p>
      <w:pPr>
        <w:pStyle w:val="ListParagraph"/>
        <w:numPr>
          <w:ilvl w:val="0"/>
          <w:numId w:val="2"/>
        </w:numPr>
        <w:spacing w:after="60" w:before="40" w:line="264"/>
      </w:pPr>
      <w:r>
        <w:rPr>
          <w:rFonts w:ascii="Arial" w:cs="Arial" w:eastAsia="Arial" w:hAnsi="Arial"/>
          <w:color w:val="2C2F36"/>
          <w:sz w:val="20"/>
          <w:szCs w:val="20"/>
        </w:rPr>
        <w:t xml:space="preserve">Fragmented advice — a lawyer answers the visa question, an agent answers the property question, and no one is accountable for the interaction between them.</w:t>
      </w:r>
    </w:p>
    <w:p>
      <w:pPr>
        <w:pStyle w:val="ListParagraph"/>
        <w:numPr>
          <w:ilvl w:val="0"/>
          <w:numId w:val="2"/>
        </w:numPr>
        <w:spacing w:after="60" w:before="40" w:line="264"/>
      </w:pPr>
      <w:r>
        <w:rPr>
          <w:rFonts w:ascii="Arial" w:cs="Arial" w:eastAsia="Arial" w:hAnsi="Arial"/>
          <w:color w:val="2C2F36"/>
          <w:sz w:val="20"/>
          <w:szCs w:val="20"/>
        </w:rPr>
        <w:t xml:space="preserve">Language and trust risk — clients transact in Spanish contracts they cannot read, with counterparties they cannot verify.</w:t>
      </w:r>
    </w:p>
    <w:p>
      <w:pPr>
        <w:pStyle w:val="ListParagraph"/>
        <w:numPr>
          <w:ilvl w:val="0"/>
          <w:numId w:val="2"/>
        </w:numPr>
        <w:spacing w:after="60" w:before="40" w:line="264"/>
      </w:pPr>
      <w:r>
        <w:rPr>
          <w:rFonts w:ascii="Arial" w:cs="Arial" w:eastAsia="Arial" w:hAnsi="Arial"/>
          <w:color w:val="2C2F36"/>
          <w:sz w:val="20"/>
          <w:szCs w:val="20"/>
        </w:rPr>
        <w:t xml:space="preserve">Cost of error — a rejected residency application, a defective property, or an uninsurable medical situation carries financial and immigration consequences that are expensive or impossible to reverse.</w:t>
      </w:r>
    </w:p>
    <w:p>
      <w:pPr>
        <w:spacing w:after="120" w:before="60" w:line="276"/>
        <w:jc w:val="left"/>
      </w:pPr>
      <w:r>
        <w:rPr>
          <w:rFonts w:ascii="Arial" w:cs="Arial" w:eastAsia="Arial" w:hAnsi="Arial"/>
          <w:b w:val="false"/>
          <w:bCs w:val="false"/>
          <w:i w:val="false"/>
          <w:iCs w:val="false"/>
          <w:color w:val="2C2F36"/>
          <w:sz w:val="20"/>
          <w:szCs w:val="20"/>
        </w:rPr>
        <w:t xml:space="preserve">SRH addresses this by owning the sequence, not just the individual services.</w:t>
      </w:r>
    </w:p>
    <w:p>
      <w:pPr>
        <w:pStyle w:val="Heading2"/>
        <w:spacing w:after="120" w:before="260"/>
      </w:pPr>
      <w:r>
        <w:rPr>
          <w:rFonts w:ascii="Arial" w:cs="Arial" w:eastAsia="Arial" w:hAnsi="Arial"/>
          <w:b/>
          <w:bCs/>
          <w:color w:val="0A2A5E"/>
          <w:sz w:val="24"/>
          <w:szCs w:val="24"/>
        </w:rPr>
        <w:t xml:space="preserve">2.3 Positioning</w:t>
      </w:r>
    </w:p>
    <w:p>
      <w:pPr>
        <w:spacing w:after="120" w:before="60" w:line="276"/>
        <w:jc w:val="left"/>
      </w:pPr>
      <w:r>
        <w:rPr>
          <w:rFonts w:ascii="Arial" w:cs="Arial" w:eastAsia="Arial" w:hAnsi="Arial"/>
          <w:b w:val="false"/>
          <w:bCs w:val="false"/>
          <w:i w:val="false"/>
          <w:iCs w:val="false"/>
          <w:color w:val="2C2F36"/>
          <w:sz w:val="20"/>
          <w:szCs w:val="20"/>
        </w:rPr>
        <w:t xml:space="preserve">The website must communicate three differentiators without stating them as slogans — they should be evident from the structure of the page itself:</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600"/>
        <w:gridCol w:w="6400"/>
      </w:tblGrid>
      <w:tr>
        <w:trPr>
          <w:tblHeader/>
        </w:trPr>
        <w:tc>
          <w:tcPr>
            <w:tcW w:type="dxa" w:w="26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Differentiator</w:t>
            </w:r>
          </w:p>
        </w:tc>
        <w:tc>
          <w:tcPr>
            <w:tcW w:type="dxa" w:w="64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How the Site Demonstrates It</w:t>
            </w:r>
          </w:p>
        </w:tc>
      </w:tr>
      <w:tr>
        <w:tc>
          <w:tcPr>
            <w:tcW w:type="dxa" w:w="2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Completeness</w:t>
            </w:r>
          </w:p>
        </w:tc>
        <w:tc>
          <w:tcPr>
            <w:tcW w:type="dxa" w:w="6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Six distinct service blocks visible in a single scroll — the visitor sees the full scope of the move, not one service</w:t>
            </w:r>
          </w:p>
        </w:tc>
      </w:tr>
      <w:tr>
        <w:tc>
          <w:tcPr>
            <w:tcW w:type="dxa" w:w="2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Native-language support</w:t>
            </w:r>
          </w:p>
        </w:tc>
        <w:tc>
          <w:tcPr>
            <w:tcW w:type="dxa" w:w="6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Four language editions with automatic locale detection; language capability stated explicitly in the hero section</w:t>
            </w:r>
          </w:p>
        </w:tc>
      </w:tr>
      <w:tr>
        <w:tc>
          <w:tcPr>
            <w:tcW w:type="dxa" w:w="2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Vetted partner network</w:t>
            </w:r>
          </w:p>
        </w:tc>
        <w:tc>
          <w:tcPr>
            <w:tcW w:type="dxa" w:w="6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Consistent references to verified partners and legal due-diligence within each service block</w:t>
            </w:r>
          </w:p>
        </w:tc>
      </w:tr>
      <w:tr>
        <w:tc>
          <w:tcPr>
            <w:tcW w:type="dxa" w:w="2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Process discipline</w:t>
            </w:r>
          </w:p>
        </w:tc>
        <w:tc>
          <w:tcPr>
            <w:tcW w:type="dxa" w:w="6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 four-step "How We Work" section that shows the client exactly what happens after they submit an enquiry</w:t>
            </w:r>
          </w:p>
        </w:tc>
      </w:tr>
    </w:tbl>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3. Target Audience</w:t>
      </w:r>
    </w:p>
    <w:p>
      <w:pPr>
        <w:spacing w:after="120" w:before="60" w:line="276"/>
        <w:jc w:val="left"/>
      </w:pPr>
      <w:r>
        <w:rPr>
          <w:rFonts w:ascii="Arial" w:cs="Arial" w:eastAsia="Arial" w:hAnsi="Arial"/>
          <w:b w:val="false"/>
          <w:bCs w:val="false"/>
          <w:i w:val="false"/>
          <w:iCs w:val="false"/>
          <w:color w:val="2C2F36"/>
          <w:sz w:val="20"/>
          <w:szCs w:val="20"/>
        </w:rPr>
        <w:t xml:space="preserve">The site serves four distinct visitor groups. Content, tone, and language priority are set by these segments. They are listed in order of expected traffic share at launch.</w:t>
      </w:r>
    </w:p>
    <w:p>
      <w:pPr>
        <w:pStyle w:val="Heading2"/>
        <w:spacing w:after="120" w:before="260"/>
      </w:pPr>
      <w:r>
        <w:rPr>
          <w:rFonts w:ascii="Arial" w:cs="Arial" w:eastAsia="Arial" w:hAnsi="Arial"/>
          <w:b/>
          <w:bCs/>
          <w:color w:val="0A2A5E"/>
          <w:sz w:val="24"/>
          <w:szCs w:val="24"/>
        </w:rPr>
        <w:t xml:space="preserve">3.1 Primary Segments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900"/>
        <w:gridCol w:w="2400"/>
        <w:gridCol w:w="2400"/>
        <w:gridCol w:w="2300"/>
      </w:tblGrid>
      <w:tr>
        <w:trPr>
          <w:tblHeader/>
        </w:trPr>
        <w:tc>
          <w:tcPr>
            <w:tcW w:type="dxa" w:w="19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Segment</w:t>
            </w:r>
          </w:p>
        </w:tc>
        <w:tc>
          <w:tcPr>
            <w:tcW w:type="dxa" w:w="24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Situation</w:t>
            </w:r>
          </w:p>
        </w:tc>
        <w:tc>
          <w:tcPr>
            <w:tcW w:type="dxa" w:w="24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Dominant Need</w:t>
            </w:r>
          </w:p>
        </w:tc>
        <w:tc>
          <w:tcPr>
            <w:tcW w:type="dxa" w:w="23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Language</w:t>
            </w:r>
          </w:p>
        </w:tc>
      </w:tr>
      <w:tr>
        <w:tc>
          <w:tcPr>
            <w:tcW w:type="dxa" w:w="19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Ukrainian relocating families</w:t>
            </w:r>
          </w:p>
        </w:tc>
        <w:tc>
          <w:tcPr>
            <w:tcW w:type="dxa" w:w="2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Displaced or relocating; often time-critical; may hold temporary protection status</w:t>
            </w:r>
          </w:p>
        </w:tc>
        <w:tc>
          <w:tcPr>
            <w:tcW w:type="dxa" w:w="2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Residency legalisation, housing, schools for children</w:t>
            </w:r>
          </w:p>
        </w:tc>
        <w:tc>
          <w:tcPr>
            <w:tcW w:type="dxa" w:w="2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Ukrainian / Russian</w:t>
            </w:r>
          </w:p>
        </w:tc>
      </w:tr>
      <w:tr>
        <w:tc>
          <w:tcPr>
            <w:tcW w:type="dxa" w:w="19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Russian-speaking professionals and retirees</w:t>
            </w:r>
          </w:p>
        </w:tc>
        <w:tc>
          <w:tcPr>
            <w:tcW w:type="dxa" w:w="2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Planning a considered move; often non-lucrative visa or digital nomad route</w:t>
            </w:r>
          </w:p>
        </w:tc>
        <w:tc>
          <w:tcPr>
            <w:tcW w:type="dxa" w:w="2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Visa route selection, property purchase, insurance</w:t>
            </w:r>
          </w:p>
        </w:tc>
        <w:tc>
          <w:tcPr>
            <w:tcW w:type="dxa" w:w="23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Russian</w:t>
            </w:r>
          </w:p>
        </w:tc>
      </w:tr>
      <w:tr>
        <w:tc>
          <w:tcPr>
            <w:tcW w:type="dxa" w:w="19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International remote workers and investors</w:t>
            </w:r>
          </w:p>
        </w:tc>
        <w:tc>
          <w:tcPr>
            <w:tcW w:type="dxa" w:w="2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Evaluating Spain against Portugal, Italy, or Greece</w:t>
            </w:r>
          </w:p>
        </w:tc>
        <w:tc>
          <w:tcPr>
            <w:tcW w:type="dxa" w:w="2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Tax and residency clarity, investment-grade property</w:t>
            </w:r>
          </w:p>
        </w:tc>
        <w:tc>
          <w:tcPr>
            <w:tcW w:type="dxa" w:w="2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English</w:t>
            </w:r>
          </w:p>
        </w:tc>
      </w:tr>
      <w:tr>
        <w:tc>
          <w:tcPr>
            <w:tcW w:type="dxa" w:w="19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Business owners relocating operations</w:t>
            </w:r>
          </w:p>
        </w:tc>
        <w:tc>
          <w:tcPr>
            <w:tcW w:type="dxa" w:w="2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Moving or extending a company into Spain</w:t>
            </w:r>
          </w:p>
        </w:tc>
        <w:tc>
          <w:tcPr>
            <w:tcW w:type="dxa" w:w="2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Company registration, commercial premises, accounting, grants</w:t>
            </w:r>
          </w:p>
        </w:tc>
        <w:tc>
          <w:tcPr>
            <w:tcW w:type="dxa" w:w="23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English / Russian</w:t>
            </w:r>
          </w:p>
        </w:tc>
      </w:tr>
      <w:tr>
        <w:tc>
          <w:tcPr>
            <w:tcW w:type="dxa" w:w="19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Spanish-resident referrers and partners</w:t>
            </w:r>
          </w:p>
        </w:tc>
        <w:tc>
          <w:tcPr>
            <w:tcW w:type="dxa" w:w="2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Already in Spain; refer clients or seek partnership</w:t>
            </w:r>
          </w:p>
        </w:tc>
        <w:tc>
          <w:tcPr>
            <w:tcW w:type="dxa" w:w="2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Credibility check; contact</w:t>
            </w:r>
          </w:p>
        </w:tc>
        <w:tc>
          <w:tcPr>
            <w:tcW w:type="dxa" w:w="2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Spanish</w:t>
            </w:r>
          </w:p>
        </w:tc>
      </w:tr>
    </w:tbl>
    <w:p>
      <w:pPr>
        <w:pStyle w:val="Heading2"/>
        <w:spacing w:after="120" w:before="260"/>
      </w:pPr>
      <w:r>
        <w:rPr>
          <w:rFonts w:ascii="Arial" w:cs="Arial" w:eastAsia="Arial" w:hAnsi="Arial"/>
          <w:b/>
          <w:bCs/>
          <w:color w:val="0A2A5E"/>
          <w:sz w:val="24"/>
          <w:szCs w:val="24"/>
        </w:rPr>
        <w:t xml:space="preserve">3.2 Representative Personas</w:t>
      </w:r>
    </w:p>
    <w:p>
      <w:pPr>
        <w:pStyle w:val="Heading3"/>
        <w:spacing w:after="100" w:before="200"/>
      </w:pPr>
      <w:r>
        <w:rPr>
          <w:rFonts w:ascii="Arial" w:cs="Arial" w:eastAsia="Arial" w:hAnsi="Arial"/>
          <w:b/>
          <w:bCs/>
          <w:color w:val="C9A227"/>
          <w:sz w:val="21"/>
          <w:szCs w:val="21"/>
        </w:rPr>
        <w:t xml:space="preserve">Persona A — Oksana, 38, relocating with two children</w:t>
      </w:r>
    </w:p>
    <w:p>
      <w:pPr>
        <w:pStyle w:val="ListParagraph"/>
        <w:numPr>
          <w:ilvl w:val="0"/>
          <w:numId w:val="2"/>
        </w:numPr>
        <w:spacing w:after="60" w:before="40" w:line="264"/>
      </w:pPr>
      <w:r>
        <w:rPr>
          <w:rFonts w:ascii="Arial" w:cs="Arial" w:eastAsia="Arial" w:hAnsi="Arial"/>
          <w:color w:val="2C2F36"/>
          <w:sz w:val="20"/>
          <w:szCs w:val="20"/>
        </w:rPr>
        <w:t xml:space="preserve">Context: Arriving from Ukraine with school-age children; holds temporary protection; needs to convert to a stable long-term status.</w:t>
      </w:r>
    </w:p>
    <w:p>
      <w:pPr>
        <w:pStyle w:val="ListParagraph"/>
        <w:numPr>
          <w:ilvl w:val="0"/>
          <w:numId w:val="2"/>
        </w:numPr>
        <w:spacing w:after="60" w:before="40" w:line="264"/>
      </w:pPr>
      <w:r>
        <w:rPr>
          <w:rFonts w:ascii="Arial" w:cs="Arial" w:eastAsia="Arial" w:hAnsi="Arial"/>
          <w:color w:val="2C2F36"/>
          <w:sz w:val="20"/>
          <w:szCs w:val="20"/>
        </w:rPr>
        <w:t xml:space="preserve">Priorities: Legal status first, then housing, then schooling. Health insurance is a blocking dependency she does not yet know about.</w:t>
      </w:r>
    </w:p>
    <w:p>
      <w:pPr>
        <w:pStyle w:val="ListParagraph"/>
        <w:numPr>
          <w:ilvl w:val="0"/>
          <w:numId w:val="2"/>
        </w:numPr>
        <w:spacing w:after="60" w:before="40" w:line="264"/>
      </w:pPr>
      <w:r>
        <w:rPr>
          <w:rFonts w:ascii="Arial" w:cs="Arial" w:eastAsia="Arial" w:hAnsi="Arial"/>
          <w:color w:val="2C2F36"/>
          <w:sz w:val="20"/>
          <w:szCs w:val="20"/>
        </w:rPr>
        <w:t xml:space="preserve">Behaviour: Researches in Ukrainian-language Telegram and Facebook groups; distrusts intermediaries; responds to WhatsApp far more readily than to email.</w:t>
      </w:r>
    </w:p>
    <w:p>
      <w:pPr>
        <w:pStyle w:val="ListParagraph"/>
        <w:numPr>
          <w:ilvl w:val="0"/>
          <w:numId w:val="2"/>
        </w:numPr>
        <w:spacing w:after="60" w:before="40" w:line="264"/>
      </w:pPr>
      <w:r>
        <w:rPr>
          <w:rFonts w:ascii="Arial" w:cs="Arial" w:eastAsia="Arial" w:hAnsi="Arial"/>
          <w:color w:val="2C2F36"/>
          <w:sz w:val="20"/>
          <w:szCs w:val="20"/>
        </w:rPr>
        <w:t xml:space="preserve">Implication for the site: Ukrainian must be a first-class language edition, not a machine translation. WhatsApp must be reachable from every screen position.</w:t>
      </w:r>
    </w:p>
    <w:p>
      <w:pPr>
        <w:pStyle w:val="Heading3"/>
        <w:spacing w:after="100" w:before="200"/>
      </w:pPr>
      <w:r>
        <w:rPr>
          <w:rFonts w:ascii="Arial" w:cs="Arial" w:eastAsia="Arial" w:hAnsi="Arial"/>
          <w:b/>
          <w:bCs/>
          <w:color w:val="C9A227"/>
          <w:sz w:val="21"/>
          <w:szCs w:val="21"/>
        </w:rPr>
        <w:t xml:space="preserve">Persona B — Andrei, 45, remote business owner</w:t>
      </w:r>
    </w:p>
    <w:p>
      <w:pPr>
        <w:pStyle w:val="ListParagraph"/>
        <w:numPr>
          <w:ilvl w:val="0"/>
          <w:numId w:val="2"/>
        </w:numPr>
        <w:spacing w:after="60" w:before="40" w:line="264"/>
      </w:pPr>
      <w:r>
        <w:rPr>
          <w:rFonts w:ascii="Arial" w:cs="Arial" w:eastAsia="Arial" w:hAnsi="Arial"/>
          <w:color w:val="2C2F36"/>
          <w:sz w:val="20"/>
          <w:szCs w:val="20"/>
        </w:rPr>
        <w:t xml:space="preserve">Context: Owns an operating business; evaluating Spain for both personal residency and company presence.</w:t>
      </w:r>
    </w:p>
    <w:p>
      <w:pPr>
        <w:pStyle w:val="ListParagraph"/>
        <w:numPr>
          <w:ilvl w:val="0"/>
          <w:numId w:val="2"/>
        </w:numPr>
        <w:spacing w:after="60" w:before="40" w:line="264"/>
      </w:pPr>
      <w:r>
        <w:rPr>
          <w:rFonts w:ascii="Arial" w:cs="Arial" w:eastAsia="Arial" w:hAnsi="Arial"/>
          <w:color w:val="2C2F36"/>
          <w:sz w:val="20"/>
          <w:szCs w:val="20"/>
        </w:rPr>
        <w:t xml:space="preserve">Priorities: Company registration, accounting compliance, commercial premises, and a property purchase that qualifies as an investment.</w:t>
      </w:r>
    </w:p>
    <w:p>
      <w:pPr>
        <w:pStyle w:val="ListParagraph"/>
        <w:numPr>
          <w:ilvl w:val="0"/>
          <w:numId w:val="2"/>
        </w:numPr>
        <w:spacing w:after="60" w:before="40" w:line="264"/>
      </w:pPr>
      <w:r>
        <w:rPr>
          <w:rFonts w:ascii="Arial" w:cs="Arial" w:eastAsia="Arial" w:hAnsi="Arial"/>
          <w:color w:val="2C2F36"/>
          <w:sz w:val="20"/>
          <w:szCs w:val="20"/>
        </w:rPr>
        <w:t xml:space="preserve">Behaviour: Reads carefully, compares providers, and will not submit a form without seeing evidence of professional competence.</w:t>
      </w:r>
    </w:p>
    <w:p>
      <w:pPr>
        <w:pStyle w:val="ListParagraph"/>
        <w:numPr>
          <w:ilvl w:val="0"/>
          <w:numId w:val="2"/>
        </w:numPr>
        <w:spacing w:after="60" w:before="40" w:line="264"/>
      </w:pPr>
      <w:r>
        <w:rPr>
          <w:rFonts w:ascii="Arial" w:cs="Arial" w:eastAsia="Arial" w:hAnsi="Arial"/>
          <w:color w:val="2C2F36"/>
          <w:sz w:val="20"/>
          <w:szCs w:val="20"/>
        </w:rPr>
        <w:t xml:space="preserve">Implication for the site: The Business Relocation and Property blocks must carry more depth than the others, and the enquiry form must allow multi-service selection.</w:t>
      </w:r>
    </w:p>
    <w:p>
      <w:pPr>
        <w:pStyle w:val="Heading3"/>
        <w:spacing w:after="100" w:before="200"/>
      </w:pPr>
      <w:r>
        <w:rPr>
          <w:rFonts w:ascii="Arial" w:cs="Arial" w:eastAsia="Arial" w:hAnsi="Arial"/>
          <w:b/>
          <w:bCs/>
          <w:color w:val="C9A227"/>
          <w:sz w:val="21"/>
          <w:szCs w:val="21"/>
        </w:rPr>
        <w:t xml:space="preserve">Persona C — Sarah, 34, remote employee</w:t>
      </w:r>
    </w:p>
    <w:p>
      <w:pPr>
        <w:pStyle w:val="ListParagraph"/>
        <w:numPr>
          <w:ilvl w:val="0"/>
          <w:numId w:val="2"/>
        </w:numPr>
        <w:spacing w:after="60" w:before="40" w:line="264"/>
      </w:pPr>
      <w:r>
        <w:rPr>
          <w:rFonts w:ascii="Arial" w:cs="Arial" w:eastAsia="Arial" w:hAnsi="Arial"/>
          <w:color w:val="2C2F36"/>
          <w:sz w:val="20"/>
          <w:szCs w:val="20"/>
        </w:rPr>
        <w:t xml:space="preserve">Context: Comparing Spain's digital nomad visa against alternatives in Portugal and Italy.</w:t>
      </w:r>
    </w:p>
    <w:p>
      <w:pPr>
        <w:pStyle w:val="ListParagraph"/>
        <w:numPr>
          <w:ilvl w:val="0"/>
          <w:numId w:val="2"/>
        </w:numPr>
        <w:spacing w:after="60" w:before="40" w:line="264"/>
      </w:pPr>
      <w:r>
        <w:rPr>
          <w:rFonts w:ascii="Arial" w:cs="Arial" w:eastAsia="Arial" w:hAnsi="Arial"/>
          <w:color w:val="2C2F36"/>
          <w:sz w:val="20"/>
          <w:szCs w:val="20"/>
        </w:rPr>
        <w:t xml:space="preserve">Priorities: Visa eligibility, income requirements, rental market, and health cover.</w:t>
      </w:r>
    </w:p>
    <w:p>
      <w:pPr>
        <w:pStyle w:val="ListParagraph"/>
        <w:numPr>
          <w:ilvl w:val="0"/>
          <w:numId w:val="2"/>
        </w:numPr>
        <w:spacing w:after="60" w:before="40" w:line="264"/>
      </w:pPr>
      <w:r>
        <w:rPr>
          <w:rFonts w:ascii="Arial" w:cs="Arial" w:eastAsia="Arial" w:hAnsi="Arial"/>
          <w:color w:val="2C2F36"/>
          <w:sz w:val="20"/>
          <w:szCs w:val="20"/>
        </w:rPr>
        <w:t xml:space="preserve">Behaviour: Arrives from an English-language search query; will leave within seconds if the page does not immediately render in English.</w:t>
      </w:r>
    </w:p>
    <w:p>
      <w:pPr>
        <w:pStyle w:val="ListParagraph"/>
        <w:numPr>
          <w:ilvl w:val="0"/>
          <w:numId w:val="2"/>
        </w:numPr>
        <w:spacing w:after="60" w:before="40" w:line="264"/>
      </w:pPr>
      <w:r>
        <w:rPr>
          <w:rFonts w:ascii="Arial" w:cs="Arial" w:eastAsia="Arial" w:hAnsi="Arial"/>
          <w:color w:val="2C2F36"/>
          <w:sz w:val="20"/>
          <w:szCs w:val="20"/>
        </w:rPr>
        <w:t xml:space="preserve">Implication for the site: Locale detection must be reliable, and English content must read as originally written English, not as a translation.</w:t>
      </w:r>
    </w:p>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4. Scope</w:t>
      </w:r>
    </w:p>
    <w:p>
      <w:pPr>
        <w:pStyle w:val="Heading2"/>
        <w:spacing w:after="120" w:before="260"/>
      </w:pPr>
      <w:r>
        <w:rPr>
          <w:rFonts w:ascii="Arial" w:cs="Arial" w:eastAsia="Arial" w:hAnsi="Arial"/>
          <w:b/>
          <w:bCs/>
          <w:color w:val="0A2A5E"/>
          <w:sz w:val="24"/>
          <w:szCs w:val="24"/>
        </w:rPr>
        <w:t xml:space="preserve">4.1 In Scope — Phase 1</w:t>
      </w:r>
    </w:p>
    <w:p>
      <w:pPr>
        <w:pStyle w:val="ListParagraph"/>
        <w:numPr>
          <w:ilvl w:val="0"/>
          <w:numId w:val="2"/>
        </w:numPr>
        <w:spacing w:after="60" w:before="40" w:line="264"/>
      </w:pPr>
      <w:r>
        <w:rPr>
          <w:rFonts w:ascii="Arial" w:cs="Arial" w:eastAsia="Arial" w:hAnsi="Arial"/>
          <w:color w:val="2C2F36"/>
          <w:sz w:val="20"/>
          <w:szCs w:val="20"/>
        </w:rPr>
        <w:t xml:space="preserve">A single-page responsive website with anchor-based navigation covering eleven content sections.</w:t>
      </w:r>
    </w:p>
    <w:p>
      <w:pPr>
        <w:pStyle w:val="ListParagraph"/>
        <w:numPr>
          <w:ilvl w:val="0"/>
          <w:numId w:val="2"/>
        </w:numPr>
        <w:spacing w:after="60" w:before="40" w:line="264"/>
      </w:pPr>
      <w:r>
        <w:rPr>
          <w:rFonts w:ascii="Arial" w:cs="Arial" w:eastAsia="Arial" w:hAnsi="Arial"/>
          <w:color w:val="2C2F36"/>
          <w:sz w:val="20"/>
          <w:szCs w:val="20"/>
        </w:rPr>
        <w:t xml:space="preserve">Four language editions: Ukrainian, Russian, Spanish, and English, with automatic locale detection and manual override.</w:t>
      </w:r>
    </w:p>
    <w:p>
      <w:pPr>
        <w:pStyle w:val="ListParagraph"/>
        <w:numPr>
          <w:ilvl w:val="0"/>
          <w:numId w:val="2"/>
        </w:numPr>
        <w:spacing w:after="60" w:before="40" w:line="264"/>
      </w:pPr>
      <w:r>
        <w:rPr>
          <w:rFonts w:ascii="Arial" w:cs="Arial" w:eastAsia="Arial" w:hAnsi="Arial"/>
          <w:color w:val="2C2F36"/>
          <w:sz w:val="20"/>
          <w:szCs w:val="20"/>
        </w:rPr>
        <w:t xml:space="preserve">A multi-step enquiry form with service selection and qualification questions, delivering submissions to email and to a structured store.</w:t>
      </w:r>
    </w:p>
    <w:p>
      <w:pPr>
        <w:pStyle w:val="ListParagraph"/>
        <w:numPr>
          <w:ilvl w:val="0"/>
          <w:numId w:val="2"/>
        </w:numPr>
        <w:spacing w:after="60" w:before="40" w:line="264"/>
      </w:pPr>
      <w:r>
        <w:rPr>
          <w:rFonts w:ascii="Arial" w:cs="Arial" w:eastAsia="Arial" w:hAnsi="Arial"/>
          <w:color w:val="2C2F36"/>
          <w:sz w:val="20"/>
          <w:szCs w:val="20"/>
        </w:rPr>
        <w:t xml:space="preserve">WhatsApp click-to-chat integration available as a persistent action.</w:t>
      </w:r>
    </w:p>
    <w:p>
      <w:pPr>
        <w:pStyle w:val="ListParagraph"/>
        <w:numPr>
          <w:ilvl w:val="0"/>
          <w:numId w:val="2"/>
        </w:numPr>
        <w:spacing w:after="60" w:before="40" w:line="264"/>
      </w:pPr>
      <w:r>
        <w:rPr>
          <w:rFonts w:ascii="Arial" w:cs="Arial" w:eastAsia="Arial" w:hAnsi="Arial"/>
          <w:color w:val="2C2F36"/>
          <w:sz w:val="20"/>
          <w:szCs w:val="20"/>
        </w:rPr>
        <w:t xml:space="preserve">A content management interface allowing SRH staff to edit all body copy, service items, and FAQ entries in every language without developer involvement.</w:t>
      </w:r>
    </w:p>
    <w:p>
      <w:pPr>
        <w:pStyle w:val="ListParagraph"/>
        <w:numPr>
          <w:ilvl w:val="0"/>
          <w:numId w:val="2"/>
        </w:numPr>
        <w:spacing w:after="60" w:before="40" w:line="264"/>
      </w:pPr>
      <w:r>
        <w:rPr>
          <w:rFonts w:ascii="Arial" w:cs="Arial" w:eastAsia="Arial" w:hAnsi="Arial"/>
          <w:color w:val="2C2F36"/>
          <w:sz w:val="20"/>
          <w:szCs w:val="20"/>
        </w:rPr>
        <w:t xml:space="preserve">On-page search engine optimisation, including per-language metadata, structured data, and hreflang declarations.</w:t>
      </w:r>
    </w:p>
    <w:p>
      <w:pPr>
        <w:pStyle w:val="ListParagraph"/>
        <w:numPr>
          <w:ilvl w:val="0"/>
          <w:numId w:val="2"/>
        </w:numPr>
        <w:spacing w:after="60" w:before="40" w:line="264"/>
      </w:pPr>
      <w:r>
        <w:rPr>
          <w:rFonts w:ascii="Arial" w:cs="Arial" w:eastAsia="Arial" w:hAnsi="Arial"/>
          <w:color w:val="2C2F36"/>
          <w:sz w:val="20"/>
          <w:szCs w:val="20"/>
        </w:rPr>
        <w:t xml:space="preserve">Cookie consent and privacy documentation compliant with EU GDPR and Spanish LOPDGDD.</w:t>
      </w:r>
    </w:p>
    <w:p>
      <w:pPr>
        <w:pStyle w:val="ListParagraph"/>
        <w:numPr>
          <w:ilvl w:val="0"/>
          <w:numId w:val="2"/>
        </w:numPr>
        <w:spacing w:after="60" w:before="40" w:line="264"/>
      </w:pPr>
      <w:r>
        <w:rPr>
          <w:rFonts w:ascii="Arial" w:cs="Arial" w:eastAsia="Arial" w:hAnsi="Arial"/>
          <w:color w:val="2C2F36"/>
          <w:sz w:val="20"/>
          <w:szCs w:val="20"/>
        </w:rPr>
        <w:t xml:space="preserve">Analytics instrumentation covering traffic, engagement, and conversion by language and by service interest.</w:t>
      </w:r>
    </w:p>
    <w:p>
      <w:pPr>
        <w:pStyle w:val="Heading2"/>
        <w:spacing w:after="120" w:before="260"/>
      </w:pPr>
      <w:r>
        <w:rPr>
          <w:rFonts w:ascii="Arial" w:cs="Arial" w:eastAsia="Arial" w:hAnsi="Arial"/>
          <w:b/>
          <w:bCs/>
          <w:color w:val="0A2A5E"/>
          <w:sz w:val="24"/>
          <w:szCs w:val="24"/>
        </w:rPr>
        <w:t xml:space="preserve">4.2 Explicitly Out of Scope — Phase 1</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3400"/>
        <w:gridCol w:w="5600"/>
      </w:tblGrid>
      <w:tr>
        <w:trPr>
          <w:tblHeader/>
        </w:trPr>
        <w:tc>
          <w:tcPr>
            <w:tcW w:type="dxa" w:w="34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Excluded</w:t>
            </w:r>
          </w:p>
        </w:tc>
        <w:tc>
          <w:tcPr>
            <w:tcW w:type="dxa" w:w="56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Rationale</w:t>
            </w:r>
          </w:p>
        </w:tc>
      </w:tr>
      <w:tr>
        <w:tc>
          <w:tcPr>
            <w:tcW w:type="dxa" w:w="3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Searchable property listings database</w:t>
            </w:r>
          </w:p>
        </w:tc>
        <w:tc>
          <w:tcPr>
            <w:tcW w:type="dxa" w:w="5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Deferred to Phase 2; requires inventory, data agreements, and moderation capacity that do not yet exist</w:t>
            </w:r>
          </w:p>
        </w:tc>
      </w:tr>
      <w:tr>
        <w:tc>
          <w:tcPr>
            <w:tcW w:type="dxa" w:w="3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Online payment or booking</w:t>
            </w:r>
          </w:p>
        </w:tc>
        <w:tc>
          <w:tcPr>
            <w:tcW w:type="dxa" w:w="5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No productised, fixed-price service catalogue is defined at this stage</w:t>
            </w:r>
          </w:p>
        </w:tc>
      </w:tr>
      <w:tr>
        <w:tc>
          <w:tcPr>
            <w:tcW w:type="dxa" w:w="3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Client portal or account login</w:t>
            </w:r>
          </w:p>
        </w:tc>
        <w:tc>
          <w:tcPr>
            <w:tcW w:type="dxa" w:w="5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Case management is currently handled directly; volume does not yet justify a portal</w:t>
            </w:r>
          </w:p>
        </w:tc>
      </w:tr>
      <w:tr>
        <w:tc>
          <w:tcPr>
            <w:tcW w:type="dxa" w:w="3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Blog or content marketing engine</w:t>
            </w:r>
          </w:p>
        </w:tc>
        <w:tc>
          <w:tcPr>
            <w:tcW w:type="dxa" w:w="5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Recommended for Phase 1.5 once lead flow is established and content capacity is confirmed</w:t>
            </w:r>
          </w:p>
        </w:tc>
      </w:tr>
      <w:tr>
        <w:tc>
          <w:tcPr>
            <w:tcW w:type="dxa" w:w="3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Native mobile applications</w:t>
            </w:r>
          </w:p>
        </w:tc>
        <w:tc>
          <w:tcPr>
            <w:tcW w:type="dxa" w:w="5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 responsive web experience fully serves the identified use cases</w:t>
            </w:r>
          </w:p>
        </w:tc>
      </w:tr>
      <w:tr>
        <w:tc>
          <w:tcPr>
            <w:tcW w:type="dxa" w:w="3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CRM platform build</w:t>
            </w:r>
          </w:p>
        </w:tc>
        <w:tc>
          <w:tcPr>
            <w:tcW w:type="dxa" w:w="5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The site will integrate with a CRM if one is adopted; building a CRM is not part of this product</w:t>
            </w:r>
          </w:p>
        </w:tc>
      </w:tr>
    </w:tbl>
    <w:p>
      <w:pPr>
        <w:pStyle w:val="Heading2"/>
        <w:spacing w:after="120" w:before="260"/>
      </w:pPr>
      <w:r>
        <w:rPr>
          <w:rFonts w:ascii="Arial" w:cs="Arial" w:eastAsia="Arial" w:hAnsi="Arial"/>
          <w:b/>
          <w:bCs/>
          <w:color w:val="0A2A5E"/>
          <w:sz w:val="24"/>
          <w:szCs w:val="24"/>
        </w:rPr>
        <w:t xml:space="preserve">4.3 Deferred to Phase 2 — Design Constraints Imposed Now</w:t>
      </w:r>
    </w:p>
    <w:p>
      <w:pPr>
        <w:spacing w:after="120" w:before="60" w:line="276"/>
        <w:jc w:val="left"/>
      </w:pPr>
      <w:r>
        <w:rPr>
          <w:rFonts w:ascii="Arial" w:cs="Arial" w:eastAsia="Arial" w:hAnsi="Arial"/>
          <w:b w:val="false"/>
          <w:bCs w:val="false"/>
          <w:i w:val="false"/>
          <w:iCs w:val="false"/>
          <w:color w:val="2C2F36"/>
          <w:sz w:val="20"/>
          <w:szCs w:val="20"/>
        </w:rPr>
        <w:t xml:space="preserve">Phase 2 is expected to introduce property listings for rental and sale, with search, filtering, saved favourites, and enquiry routing per listing. Although not built now, three constraints apply to Phase 1 so that Phase 2 does not require a rebuild:</w:t>
      </w:r>
    </w:p>
    <w:p>
      <w:pPr>
        <w:pStyle w:val="ListParagraph"/>
        <w:numPr>
          <w:ilvl w:val="0"/>
          <w:numId w:val="2"/>
        </w:numPr>
        <w:spacing w:after="60" w:before="40" w:line="264"/>
      </w:pPr>
      <w:r>
        <w:rPr>
          <w:rFonts w:ascii="Arial" w:cs="Arial" w:eastAsia="Arial" w:hAnsi="Arial"/>
          <w:color w:val="2C2F36"/>
          <w:sz w:val="20"/>
          <w:szCs w:val="20"/>
        </w:rPr>
        <w:t xml:space="preserve">Content must be stored in a structured, queryable back end — not hard-coded into templates.</w:t>
      </w:r>
    </w:p>
    <w:p>
      <w:pPr>
        <w:pStyle w:val="ListParagraph"/>
        <w:numPr>
          <w:ilvl w:val="0"/>
          <w:numId w:val="2"/>
        </w:numPr>
        <w:spacing w:after="60" w:before="40" w:line="264"/>
      </w:pPr>
      <w:r>
        <w:rPr>
          <w:rFonts w:ascii="Arial" w:cs="Arial" w:eastAsia="Arial" w:hAnsi="Arial"/>
          <w:color w:val="2C2F36"/>
          <w:sz w:val="20"/>
          <w:szCs w:val="20"/>
        </w:rPr>
        <w:t xml:space="preserve">The URL and routing structure must accommodate sub-pages per language (for example /es/propiedades/...), even though only the root page exists at launch.</w:t>
      </w:r>
    </w:p>
    <w:p>
      <w:pPr>
        <w:pStyle w:val="ListParagraph"/>
        <w:numPr>
          <w:ilvl w:val="0"/>
          <w:numId w:val="2"/>
        </w:numPr>
        <w:spacing w:after="60" w:before="40" w:line="264"/>
      </w:pPr>
      <w:r>
        <w:rPr>
          <w:rFonts w:ascii="Arial" w:cs="Arial" w:eastAsia="Arial" w:hAnsi="Arial"/>
          <w:color w:val="2C2F36"/>
          <w:sz w:val="20"/>
          <w:szCs w:val="20"/>
        </w:rPr>
        <w:t xml:space="preserve">The translation model must support adding a fifth language and translating dynamic records, not only static page copy.</w:t>
      </w:r>
    </w:p>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5. Site Structure and Content Specification</w:t>
      </w:r>
    </w:p>
    <w:p>
      <w:pPr>
        <w:spacing w:after="120" w:before="60" w:line="276"/>
        <w:jc w:val="left"/>
      </w:pPr>
      <w:r>
        <w:rPr>
          <w:rFonts w:ascii="Arial" w:cs="Arial" w:eastAsia="Arial" w:hAnsi="Arial"/>
          <w:b w:val="false"/>
          <w:bCs w:val="false"/>
          <w:i w:val="false"/>
          <w:iCs w:val="false"/>
          <w:color w:val="2C2F36"/>
          <w:sz w:val="20"/>
          <w:szCs w:val="20"/>
        </w:rPr>
        <w:t xml:space="preserve">The site is a single page with anchor navigation. Sections appear in the order below. A visible call-to-action button must be present in every service section, as specified in the client brief.</w:t>
      </w:r>
    </w:p>
    <w:p>
      <w:pPr>
        <w:pStyle w:val="Heading2"/>
        <w:spacing w:after="120" w:before="260"/>
      </w:pPr>
      <w:r>
        <w:rPr>
          <w:rFonts w:ascii="Arial" w:cs="Arial" w:eastAsia="Arial" w:hAnsi="Arial"/>
          <w:b/>
          <w:bCs/>
          <w:color w:val="0A2A5E"/>
          <w:sz w:val="24"/>
          <w:szCs w:val="24"/>
        </w:rPr>
        <w:t xml:space="preserve">5.1 Section Map</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900"/>
        <w:gridCol w:w="3300"/>
        <w:gridCol w:w="4800"/>
      </w:tblGrid>
      <w:tr>
        <w:trPr>
          <w:tblHeader/>
        </w:trPr>
        <w:tc>
          <w:tcPr>
            <w:tcW w:type="dxa" w:w="9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w:t>
            </w:r>
          </w:p>
        </w:tc>
        <w:tc>
          <w:tcPr>
            <w:tcW w:type="dxa" w:w="33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Section</w:t>
            </w:r>
          </w:p>
        </w:tc>
        <w:tc>
          <w:tcPr>
            <w:tcW w:type="dxa" w:w="48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Purpose</w:t>
            </w:r>
          </w:p>
        </w:tc>
      </w:tr>
      <w:tr>
        <w:tc>
          <w:tcPr>
            <w:tcW w:type="dxa" w:w="9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1</w:t>
            </w:r>
          </w:p>
        </w:tc>
        <w:tc>
          <w:tcPr>
            <w:tcW w:type="dxa" w:w="3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Hero</w:t>
            </w:r>
          </w:p>
        </w:tc>
        <w:tc>
          <w:tcPr>
            <w:tcW w:type="dxa" w:w="48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Explain the offering and value in under five seconds; present the two primary actions</w:t>
            </w:r>
          </w:p>
        </w:tc>
      </w:tr>
      <w:tr>
        <w:tc>
          <w:tcPr>
            <w:tcW w:type="dxa" w:w="9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2</w:t>
            </w:r>
          </w:p>
        </w:tc>
        <w:tc>
          <w:tcPr>
            <w:tcW w:type="dxa" w:w="33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Property</w:t>
            </w:r>
          </w:p>
        </w:tc>
        <w:tc>
          <w:tcPr>
            <w:tcW w:type="dxa" w:w="48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Rental, purchase, and legal due diligence</w:t>
            </w:r>
          </w:p>
        </w:tc>
      </w:tr>
      <w:tr>
        <w:tc>
          <w:tcPr>
            <w:tcW w:type="dxa" w:w="9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3</w:t>
            </w:r>
          </w:p>
        </w:tc>
        <w:tc>
          <w:tcPr>
            <w:tcW w:type="dxa" w:w="3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Residency and Legalisation</w:t>
            </w:r>
          </w:p>
        </w:tc>
        <w:tc>
          <w:tcPr>
            <w:tcW w:type="dxa" w:w="48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Residency permits, legalisation, accounting support</w:t>
            </w:r>
          </w:p>
        </w:tc>
      </w:tr>
      <w:tr>
        <w:tc>
          <w:tcPr>
            <w:tcW w:type="dxa" w:w="9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4</w:t>
            </w:r>
          </w:p>
        </w:tc>
        <w:tc>
          <w:tcPr>
            <w:tcW w:type="dxa" w:w="33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Vehicles</w:t>
            </w:r>
          </w:p>
        </w:tc>
        <w:tc>
          <w:tcPr>
            <w:tcW w:type="dxa" w:w="48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Vehicle rental and purchase</w:t>
            </w:r>
          </w:p>
        </w:tc>
      </w:tr>
      <w:tr>
        <w:tc>
          <w:tcPr>
            <w:tcW w:type="dxa" w:w="9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5</w:t>
            </w:r>
          </w:p>
        </w:tc>
        <w:tc>
          <w:tcPr>
            <w:tcW w:type="dxa" w:w="3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Business Relocation</w:t>
            </w:r>
          </w:p>
        </w:tc>
        <w:tc>
          <w:tcPr>
            <w:tcW w:type="dxa" w:w="48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Company set-up, premises, grants, accounting</w:t>
            </w:r>
          </w:p>
        </w:tc>
      </w:tr>
      <w:tr>
        <w:tc>
          <w:tcPr>
            <w:tcW w:type="dxa" w:w="9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6</w:t>
            </w:r>
          </w:p>
        </w:tc>
        <w:tc>
          <w:tcPr>
            <w:tcW w:type="dxa" w:w="33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Insurance</w:t>
            </w:r>
          </w:p>
        </w:tc>
        <w:tc>
          <w:tcPr>
            <w:tcW w:type="dxa" w:w="48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Medical, vehicle, property, and residency-qualifying cover</w:t>
            </w:r>
          </w:p>
        </w:tc>
      </w:tr>
      <w:tr>
        <w:tc>
          <w:tcPr>
            <w:tcW w:type="dxa" w:w="9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7</w:t>
            </w:r>
          </w:p>
        </w:tc>
        <w:tc>
          <w:tcPr>
            <w:tcW w:type="dxa" w:w="3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Practical Adaptation</w:t>
            </w:r>
          </w:p>
        </w:tc>
        <w:tc>
          <w:tcPr>
            <w:tcW w:type="dxa" w:w="48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Schools, courses, licences, diploma recognition, interpreting</w:t>
            </w:r>
          </w:p>
        </w:tc>
      </w:tr>
      <w:tr>
        <w:tc>
          <w:tcPr>
            <w:tcW w:type="dxa" w:w="9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8</w:t>
            </w:r>
          </w:p>
        </w:tc>
        <w:tc>
          <w:tcPr>
            <w:tcW w:type="dxa" w:w="33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Why Choose Us</w:t>
            </w:r>
          </w:p>
        </w:tc>
        <w:tc>
          <w:tcPr>
            <w:tcW w:type="dxa" w:w="48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Credibility and differentiation</w:t>
            </w:r>
          </w:p>
        </w:tc>
      </w:tr>
      <w:tr>
        <w:tc>
          <w:tcPr>
            <w:tcW w:type="dxa" w:w="9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9</w:t>
            </w:r>
          </w:p>
        </w:tc>
        <w:tc>
          <w:tcPr>
            <w:tcW w:type="dxa" w:w="3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How We Work</w:t>
            </w:r>
          </w:p>
        </w:tc>
        <w:tc>
          <w:tcPr>
            <w:tcW w:type="dxa" w:w="48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Four-step process, from enquiry to completion</w:t>
            </w:r>
          </w:p>
        </w:tc>
      </w:tr>
      <w:tr>
        <w:tc>
          <w:tcPr>
            <w:tcW w:type="dxa" w:w="9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10</w:t>
            </w:r>
          </w:p>
        </w:tc>
        <w:tc>
          <w:tcPr>
            <w:tcW w:type="dxa" w:w="33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FAQ</w:t>
            </w:r>
          </w:p>
        </w:tc>
        <w:tc>
          <w:tcPr>
            <w:tcW w:type="dxa" w:w="48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Objection handling and search visibility</w:t>
            </w:r>
          </w:p>
        </w:tc>
      </w:tr>
      <w:tr>
        <w:tc>
          <w:tcPr>
            <w:tcW w:type="dxa" w:w="9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11</w:t>
            </w:r>
          </w:p>
        </w:tc>
        <w:tc>
          <w:tcPr>
            <w:tcW w:type="dxa" w:w="3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Enquiry Form and Contacts</w:t>
            </w:r>
          </w:p>
        </w:tc>
        <w:tc>
          <w:tcPr>
            <w:tcW w:type="dxa" w:w="48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Primary conversion point and direct channels</w:t>
            </w:r>
          </w:p>
        </w:tc>
      </w:tr>
    </w:tbl>
    <w:p>
      <w:pPr>
        <w:pStyle w:val="Heading2"/>
        <w:spacing w:after="120" w:before="260"/>
      </w:pPr>
      <w:r>
        <w:rPr>
          <w:rFonts w:ascii="Arial" w:cs="Arial" w:eastAsia="Arial" w:hAnsi="Arial"/>
          <w:b/>
          <w:bCs/>
          <w:color w:val="0A2A5E"/>
          <w:sz w:val="24"/>
          <w:szCs w:val="24"/>
        </w:rPr>
        <w:t xml:space="preserve">5.2 Section 1 — Hero</w:t>
      </w:r>
    </w:p>
    <w:p>
      <w:pPr>
        <w:spacing w:after="120" w:before="60" w:line="276"/>
        <w:jc w:val="left"/>
      </w:pPr>
      <w:r>
        <w:rPr>
          <w:rFonts w:ascii="Arial" w:cs="Arial" w:eastAsia="Arial" w:hAnsi="Arial"/>
          <w:b w:val="false"/>
          <w:bCs w:val="false"/>
          <w:i w:val="false"/>
          <w:iCs w:val="false"/>
          <w:color w:val="2C2F36"/>
          <w:sz w:val="20"/>
          <w:szCs w:val="20"/>
        </w:rPr>
        <w:t xml:space="preserve">Requirement: the visitor must understand what SRH does, and what it is worth to them, within five seconds of the page rendering.</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400"/>
        <w:gridCol w:w="6600"/>
      </w:tblGrid>
      <w:tr>
        <w:trPr>
          <w:tblHeader/>
        </w:trPr>
        <w:tc>
          <w:tcPr>
            <w:tcW w:type="dxa" w:w="24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Element</w:t>
            </w:r>
          </w:p>
        </w:tc>
        <w:tc>
          <w:tcPr>
            <w:tcW w:type="dxa" w:w="66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Specification</w:t>
            </w:r>
          </w:p>
        </w:tc>
      </w:tr>
      <w:tr>
        <w:tc>
          <w:tcPr>
            <w:tcW w:type="dxa" w:w="2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Headline</w:t>
            </w:r>
          </w:p>
        </w:tc>
        <w:tc>
          <w:tcPr>
            <w:tcW w:type="dxa" w:w="6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Complete relocation to Spain</w:t>
            </w:r>
          </w:p>
        </w:tc>
      </w:tr>
      <w:tr>
        <w:tc>
          <w:tcPr>
            <w:tcW w:type="dxa" w:w="2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Sub-headline</w:t>
            </w:r>
          </w:p>
        </w:tc>
        <w:tc>
          <w:tcPr>
            <w:tcW w:type="dxa" w:w="6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We make your move to Spain calm and clear. Property, residency, insurance, vehicles, and everyday adaptation — all in one place.</w:t>
            </w:r>
          </w:p>
        </w:tc>
      </w:tr>
      <w:tr>
        <w:tc>
          <w:tcPr>
            <w:tcW w:type="dxa" w:w="2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Primary action</w:t>
            </w:r>
          </w:p>
        </w:tc>
        <w:tc>
          <w:tcPr>
            <w:tcW w:type="dxa" w:w="6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Request a consultation — opens the enquiry form with a multi-select service checklist</w:t>
            </w:r>
          </w:p>
        </w:tc>
      </w:tr>
      <w:tr>
        <w:tc>
          <w:tcPr>
            <w:tcW w:type="dxa" w:w="2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Secondary action</w:t>
            </w:r>
          </w:p>
        </w:tc>
        <w:tc>
          <w:tcPr>
            <w:tcW w:type="dxa" w:w="6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WhatsApp — opens a chat with a pre-filled greeting in the active site language</w:t>
            </w:r>
          </w:p>
        </w:tc>
      </w:tr>
      <w:tr>
        <w:tc>
          <w:tcPr>
            <w:tcW w:type="dxa" w:w="2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Background</w:t>
            </w:r>
          </w:p>
        </w:tc>
        <w:tc>
          <w:tcPr>
            <w:tcW w:type="dxa" w:w="6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Premium photography of Madrid or contemporary Spanish architecture; a dark overlay must guarantee text legibility on all viewports</w:t>
            </w:r>
          </w:p>
        </w:tc>
      </w:tr>
      <w:tr>
        <w:tc>
          <w:tcPr>
            <w:tcW w:type="dxa" w:w="2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Language switcher</w:t>
            </w:r>
          </w:p>
        </w:tc>
        <w:tc>
          <w:tcPr>
            <w:tcW w:type="dxa" w:w="6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Visible in the header, showing the active language with a recognisable label in each language</w:t>
            </w:r>
          </w:p>
        </w:tc>
      </w:tr>
      <w:tr>
        <w:tc>
          <w:tcPr>
            <w:tcW w:type="dxa" w:w="2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Value points</w:t>
            </w:r>
          </w:p>
        </w:tc>
        <w:tc>
          <w:tcPr>
            <w:tcW w:type="dxa" w:w="6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Four benefit statements displayed as a row on desktop and a stack on mobile</w:t>
            </w:r>
          </w:p>
        </w:tc>
      </w:tr>
    </w:tbl>
    <w:p>
      <w:pPr>
        <w:pStyle w:val="Heading3"/>
        <w:spacing w:after="100" w:before="200"/>
      </w:pPr>
      <w:r>
        <w:rPr>
          <w:rFonts w:ascii="Arial" w:cs="Arial" w:eastAsia="Arial" w:hAnsi="Arial"/>
          <w:b/>
          <w:bCs/>
          <w:color w:val="C9A227"/>
          <w:sz w:val="21"/>
          <w:szCs w:val="21"/>
        </w:rPr>
        <w:t xml:space="preserve">Hero value points</w:t>
      </w:r>
    </w:p>
    <w:p>
      <w:pPr>
        <w:pStyle w:val="ListParagraph"/>
        <w:numPr>
          <w:ilvl w:val="0"/>
          <w:numId w:val="2"/>
        </w:numPr>
        <w:spacing w:after="60" w:before="40" w:line="264"/>
      </w:pPr>
      <w:r>
        <w:rPr>
          <w:rFonts w:ascii="Arial" w:cs="Arial" w:eastAsia="Arial" w:hAnsi="Arial"/>
          <w:color w:val="2C2F36"/>
          <w:sz w:val="20"/>
          <w:szCs w:val="20"/>
        </w:rPr>
        <w:t xml:space="preserve">Support at every stage of the move</w:t>
      </w:r>
    </w:p>
    <w:p>
      <w:pPr>
        <w:pStyle w:val="ListParagraph"/>
        <w:numPr>
          <w:ilvl w:val="0"/>
          <w:numId w:val="2"/>
        </w:numPr>
        <w:spacing w:after="60" w:before="40" w:line="264"/>
      </w:pPr>
      <w:r>
        <w:rPr>
          <w:rFonts w:ascii="Arial" w:cs="Arial" w:eastAsia="Arial" w:hAnsi="Arial"/>
          <w:color w:val="2C2F36"/>
          <w:sz w:val="20"/>
          <w:szCs w:val="20"/>
        </w:rPr>
        <w:t xml:space="preserve">Savings in both time and cost</w:t>
      </w:r>
    </w:p>
    <w:p>
      <w:pPr>
        <w:pStyle w:val="ListParagraph"/>
        <w:numPr>
          <w:ilvl w:val="0"/>
          <w:numId w:val="2"/>
        </w:numPr>
        <w:spacing w:after="60" w:before="40" w:line="264"/>
      </w:pPr>
      <w:r>
        <w:rPr>
          <w:rFonts w:ascii="Arial" w:cs="Arial" w:eastAsia="Arial" w:hAnsi="Arial"/>
          <w:color w:val="2C2F36"/>
          <w:sz w:val="20"/>
          <w:szCs w:val="20"/>
        </w:rPr>
        <w:t xml:space="preserve">Work conducted through verified partners</w:t>
      </w:r>
    </w:p>
    <w:p>
      <w:pPr>
        <w:pStyle w:val="ListParagraph"/>
        <w:numPr>
          <w:ilvl w:val="0"/>
          <w:numId w:val="2"/>
        </w:numPr>
        <w:spacing w:after="60" w:before="40" w:line="264"/>
      </w:pPr>
      <w:r>
        <w:rPr>
          <w:rFonts w:ascii="Arial" w:cs="Arial" w:eastAsia="Arial" w:hAnsi="Arial"/>
          <w:color w:val="2C2F36"/>
          <w:sz w:val="20"/>
          <w:szCs w:val="20"/>
        </w:rPr>
        <w:t xml:space="preserve">Assistance in Russian, Ukrainian, and Spanish</w:t>
      </w:r>
    </w:p>
    <w:p>
      <w:pPr>
        <w:pStyle w:val="Heading2"/>
        <w:spacing w:after="120" w:before="260"/>
      </w:pPr>
      <w:r>
        <w:rPr>
          <w:rFonts w:ascii="Arial" w:cs="Arial" w:eastAsia="Arial" w:hAnsi="Arial"/>
          <w:b/>
          <w:bCs/>
          <w:color w:val="0A2A5E"/>
          <w:sz w:val="24"/>
          <w:szCs w:val="24"/>
        </w:rPr>
        <w:t xml:space="preserve">5.3 Section 2 — Property</w:t>
      </w:r>
    </w:p>
    <w:p>
      <w:pPr>
        <w:spacing w:after="120" w:before="60" w:line="276"/>
        <w:jc w:val="left"/>
      </w:pPr>
      <w:r>
        <w:rPr>
          <w:rFonts w:ascii="Arial" w:cs="Arial" w:eastAsia="Arial" w:hAnsi="Arial"/>
          <w:b w:val="false"/>
          <w:bCs w:val="false"/>
          <w:i w:val="false"/>
          <w:iCs w:val="false"/>
          <w:color w:val="2C2F36"/>
          <w:sz w:val="20"/>
          <w:szCs w:val="20"/>
        </w:rPr>
        <w:t xml:space="preserve">Heading: Property in Spain. Presented as three sub-blocks.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200"/>
        <w:gridCol w:w="6800"/>
      </w:tblGrid>
      <w:tr>
        <w:trPr>
          <w:tblHeader/>
        </w:trPr>
        <w:tc>
          <w:tcPr>
            <w:tcW w:type="dxa" w:w="22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Sub-block</w:t>
            </w:r>
          </w:p>
        </w:tc>
        <w:tc>
          <w:tcPr>
            <w:tcW w:type="dxa" w:w="68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Content</w:t>
            </w:r>
          </w:p>
        </w:tc>
      </w:tr>
      <w:tr>
        <w:tc>
          <w:tcPr>
            <w:tcW w:type="dxa" w:w="2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Rental</w:t>
            </w:r>
          </w:p>
        </w:tc>
        <w:tc>
          <w:tcPr>
            <w:tcW w:type="dxa" w:w="68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Assistance finding and securing housing: apartments, houses, and serviced apartments</w:t>
            </w:r>
          </w:p>
        </w:tc>
      </w:tr>
      <w:tr>
        <w:tc>
          <w:tcPr>
            <w:tcW w:type="dxa" w:w="2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Purchase</w:t>
            </w:r>
          </w:p>
        </w:tc>
        <w:tc>
          <w:tcPr>
            <w:tcW w:type="dxa" w:w="68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Property selection for personal residence, for investment, and for business use</w:t>
            </w:r>
          </w:p>
        </w:tc>
      </w:tr>
      <w:tr>
        <w:tc>
          <w:tcPr>
            <w:tcW w:type="dxa" w:w="2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Legal support</w:t>
            </w:r>
          </w:p>
        </w:tc>
        <w:tc>
          <w:tcPr>
            <w:tcW w:type="dxa" w:w="68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Transaction supervision, property and title verification, and documentation handling</w:t>
            </w:r>
          </w:p>
        </w:tc>
      </w:tr>
    </w:tbl>
    <w:p>
      <w:pPr>
        <w:spacing w:after="120" w:before="60" w:line="276"/>
        <w:jc w:val="left"/>
      </w:pPr>
      <w:r>
        <w:rPr>
          <w:rFonts w:ascii="Arial" w:cs="Arial" w:eastAsia="Arial" w:hAnsi="Arial"/>
          <w:b w:val="false"/>
          <w:bCs w:val="false"/>
          <w:i/>
          <w:iCs/>
          <w:color w:val="2C2F36"/>
          <w:sz w:val="20"/>
          <w:szCs w:val="20"/>
        </w:rPr>
        <w:t xml:space="preserve">This section carries the highest Phase 2 relevance. Its layout should anticipate the later addition of a "Browse available properties" entry point without requiring a redesign.</w:t>
      </w:r>
    </w:p>
    <w:p>
      <w:pPr>
        <w:pStyle w:val="Heading2"/>
        <w:spacing w:after="120" w:before="260"/>
      </w:pPr>
      <w:r>
        <w:rPr>
          <w:rFonts w:ascii="Arial" w:cs="Arial" w:eastAsia="Arial" w:hAnsi="Arial"/>
          <w:b/>
          <w:bCs/>
          <w:color w:val="0A2A5E"/>
          <w:sz w:val="24"/>
          <w:szCs w:val="24"/>
        </w:rPr>
        <w:t xml:space="preserve">5.4 Section 3 — Residency and Legalisation</w:t>
      </w:r>
    </w:p>
    <w:p>
      <w:pPr>
        <w:spacing w:after="120" w:before="60" w:line="276"/>
        <w:jc w:val="left"/>
      </w:pPr>
      <w:r>
        <w:rPr>
          <w:rFonts w:ascii="Arial" w:cs="Arial" w:eastAsia="Arial" w:hAnsi="Arial"/>
          <w:b w:val="false"/>
          <w:bCs w:val="false"/>
          <w:i w:val="false"/>
          <w:iCs w:val="false"/>
          <w:color w:val="2C2F36"/>
          <w:sz w:val="20"/>
          <w:szCs w:val="20"/>
        </w:rPr>
        <w:t xml:space="preserve">Heading: Residency permits, legalisation, and accounting support.</w:t>
      </w:r>
    </w:p>
    <w:p>
      <w:pPr>
        <w:spacing w:after="120" w:before="60" w:line="276"/>
        <w:jc w:val="left"/>
      </w:pPr>
      <w:r>
        <w:rPr>
          <w:rFonts w:ascii="Arial" w:cs="Arial" w:eastAsia="Arial" w:hAnsi="Arial"/>
          <w:b w:val="false"/>
          <w:bCs w:val="false"/>
          <w:i w:val="false"/>
          <w:iCs w:val="false"/>
          <w:color w:val="2C2F36"/>
          <w:sz w:val="20"/>
          <w:szCs w:val="20"/>
        </w:rPr>
        <w:t xml:space="preserve">This section addresses the highest-anxiety, highest-value need in the catalogue and is expected to be the single largest driver of enquiries. Content must state clearly that SRH advises on route selection and manages the process, while remaining accurate about the role of licensed legal professionals within the partner network. Specific residency route names should be editable through the CMS, since Spanish immigration policy changes frequently and the copy must be updatable without a release.</w:t>
      </w:r>
    </w:p>
    <w:p>
      <w:pPr>
        <w:pStyle w:val="Heading2"/>
        <w:spacing w:after="120" w:before="260"/>
      </w:pPr>
      <w:r>
        <w:rPr>
          <w:rFonts w:ascii="Arial" w:cs="Arial" w:eastAsia="Arial" w:hAnsi="Arial"/>
          <w:b/>
          <w:bCs/>
          <w:color w:val="0A2A5E"/>
          <w:sz w:val="24"/>
          <w:szCs w:val="24"/>
        </w:rPr>
        <w:t xml:space="preserve">5.5 Section 4 — Vehicles</w:t>
      </w:r>
    </w:p>
    <w:p>
      <w:pPr>
        <w:spacing w:after="120" w:before="60" w:line="276"/>
        <w:jc w:val="left"/>
      </w:pPr>
      <w:r>
        <w:rPr>
          <w:rFonts w:ascii="Arial" w:cs="Arial" w:eastAsia="Arial" w:hAnsi="Arial"/>
          <w:b w:val="false"/>
          <w:bCs w:val="false"/>
          <w:i w:val="false"/>
          <w:iCs w:val="false"/>
          <w:color w:val="2C2F36"/>
          <w:sz w:val="20"/>
          <w:szCs w:val="20"/>
        </w:rPr>
        <w:t xml:space="preserve">Heading: Vehicles in Spain.</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200"/>
        <w:gridCol w:w="6800"/>
      </w:tblGrid>
      <w:tr>
        <w:trPr>
          <w:tblHeader/>
        </w:trPr>
        <w:tc>
          <w:tcPr>
            <w:tcW w:type="dxa" w:w="22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Sub-block</w:t>
            </w:r>
          </w:p>
        </w:tc>
        <w:tc>
          <w:tcPr>
            <w:tcW w:type="dxa" w:w="68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Content</w:t>
            </w:r>
          </w:p>
        </w:tc>
      </w:tr>
      <w:tr>
        <w:tc>
          <w:tcPr>
            <w:tcW w:type="dxa" w:w="2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Vehicle rental</w:t>
            </w:r>
          </w:p>
        </w:tc>
        <w:tc>
          <w:tcPr>
            <w:tcW w:type="dxa" w:w="68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Short and long-term rental arrangement</w:t>
            </w:r>
          </w:p>
        </w:tc>
      </w:tr>
      <w:tr>
        <w:tc>
          <w:tcPr>
            <w:tcW w:type="dxa" w:w="2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Vehicle purchase</w:t>
            </w:r>
          </w:p>
        </w:tc>
        <w:tc>
          <w:tcPr>
            <w:tcW w:type="dxa" w:w="68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Vehicle selection, history and condition verification, and registration and documentation</w:t>
            </w:r>
          </w:p>
        </w:tc>
      </w:tr>
    </w:tbl>
    <w:p>
      <w:pPr>
        <w:pStyle w:val="Heading2"/>
        <w:spacing w:after="120" w:before="260"/>
      </w:pPr>
      <w:r>
        <w:rPr>
          <w:rFonts w:ascii="Arial" w:cs="Arial" w:eastAsia="Arial" w:hAnsi="Arial"/>
          <w:b/>
          <w:bCs/>
          <w:color w:val="0A2A5E"/>
          <w:sz w:val="24"/>
          <w:szCs w:val="24"/>
        </w:rPr>
        <w:t xml:space="preserve">5.6 Section 5 — Business Relocation</w:t>
      </w:r>
    </w:p>
    <w:p>
      <w:pPr>
        <w:spacing w:after="120" w:before="60" w:line="276"/>
        <w:jc w:val="left"/>
      </w:pPr>
      <w:r>
        <w:rPr>
          <w:rFonts w:ascii="Arial" w:cs="Arial" w:eastAsia="Arial" w:hAnsi="Arial"/>
          <w:b w:val="false"/>
          <w:bCs w:val="false"/>
          <w:i w:val="false"/>
          <w:iCs w:val="false"/>
          <w:color w:val="2C2F36"/>
          <w:sz w:val="20"/>
          <w:szCs w:val="20"/>
        </w:rPr>
        <w:t xml:space="preserve">Heading: Relocating your business to Spain. Services listed:</w:t>
      </w:r>
    </w:p>
    <w:p>
      <w:pPr>
        <w:pStyle w:val="ListParagraph"/>
        <w:numPr>
          <w:ilvl w:val="0"/>
          <w:numId w:val="2"/>
        </w:numPr>
        <w:spacing w:after="60" w:before="40" w:line="264"/>
      </w:pPr>
      <w:r>
        <w:rPr>
          <w:rFonts w:ascii="Arial" w:cs="Arial" w:eastAsia="Arial" w:hAnsi="Arial"/>
          <w:color w:val="2C2F36"/>
          <w:sz w:val="20"/>
          <w:szCs w:val="20"/>
        </w:rPr>
        <w:t xml:space="preserve">Business plan development</w:t>
      </w:r>
    </w:p>
    <w:p>
      <w:pPr>
        <w:pStyle w:val="ListParagraph"/>
        <w:numPr>
          <w:ilvl w:val="0"/>
          <w:numId w:val="2"/>
        </w:numPr>
        <w:spacing w:after="60" w:before="40" w:line="264"/>
      </w:pPr>
      <w:r>
        <w:rPr>
          <w:rFonts w:ascii="Arial" w:cs="Arial" w:eastAsia="Arial" w:hAnsi="Arial"/>
          <w:color w:val="2C2F36"/>
          <w:sz w:val="20"/>
          <w:szCs w:val="20"/>
        </w:rPr>
        <w:t xml:space="preserve">Support in applying for grants and public funding</w:t>
      </w:r>
    </w:p>
    <w:p>
      <w:pPr>
        <w:pStyle w:val="ListParagraph"/>
        <w:numPr>
          <w:ilvl w:val="0"/>
          <w:numId w:val="2"/>
        </w:numPr>
        <w:spacing w:after="60" w:before="40" w:line="264"/>
      </w:pPr>
      <w:r>
        <w:rPr>
          <w:rFonts w:ascii="Arial" w:cs="Arial" w:eastAsia="Arial" w:hAnsi="Arial"/>
          <w:color w:val="2C2F36"/>
          <w:sz w:val="20"/>
          <w:szCs w:val="20"/>
        </w:rPr>
        <w:t xml:space="preserve">Commercial property selection</w:t>
      </w:r>
    </w:p>
    <w:p>
      <w:pPr>
        <w:pStyle w:val="ListParagraph"/>
        <w:numPr>
          <w:ilvl w:val="0"/>
          <w:numId w:val="2"/>
        </w:numPr>
        <w:spacing w:after="60" w:before="40" w:line="264"/>
      </w:pPr>
      <w:r>
        <w:rPr>
          <w:rFonts w:ascii="Arial" w:cs="Arial" w:eastAsia="Arial" w:hAnsi="Arial"/>
          <w:color w:val="2C2F36"/>
          <w:sz w:val="20"/>
          <w:szCs w:val="20"/>
        </w:rPr>
        <w:t xml:space="preserve">Company registration</w:t>
      </w:r>
    </w:p>
    <w:p>
      <w:pPr>
        <w:pStyle w:val="ListParagraph"/>
        <w:numPr>
          <w:ilvl w:val="0"/>
          <w:numId w:val="2"/>
        </w:numPr>
        <w:spacing w:after="60" w:before="40" w:line="264"/>
      </w:pPr>
      <w:r>
        <w:rPr>
          <w:rFonts w:ascii="Arial" w:cs="Arial" w:eastAsia="Arial" w:hAnsi="Arial"/>
          <w:color w:val="2C2F36"/>
          <w:sz w:val="20"/>
          <w:szCs w:val="20"/>
        </w:rPr>
        <w:t xml:space="preserve">Ongoing accounting and compliance support</w:t>
      </w:r>
    </w:p>
    <w:p>
      <w:pPr>
        <w:spacing w:after="120" w:before="60" w:line="276"/>
        <w:jc w:val="left"/>
      </w:pPr>
      <w:r>
        <w:rPr>
          <w:rFonts w:ascii="Arial" w:cs="Arial" w:eastAsia="Arial" w:hAnsi="Arial"/>
          <w:b w:val="false"/>
          <w:bCs w:val="false"/>
          <w:i/>
          <w:iCs/>
          <w:color w:val="2C2F36"/>
          <w:sz w:val="20"/>
          <w:szCs w:val="20"/>
        </w:rPr>
        <w:t xml:space="preserve">This section targets the highest-value client segment and should be written in a register that a business owner recognises as competent. It is the strongest candidate for a dedicated sub-page in Phase 1.5.</w:t>
      </w:r>
    </w:p>
    <w:p>
      <w:pPr>
        <w:pStyle w:val="Heading2"/>
        <w:spacing w:after="120" w:before="260"/>
      </w:pPr>
      <w:r>
        <w:rPr>
          <w:rFonts w:ascii="Arial" w:cs="Arial" w:eastAsia="Arial" w:hAnsi="Arial"/>
          <w:b/>
          <w:bCs/>
          <w:color w:val="0A2A5E"/>
          <w:sz w:val="24"/>
          <w:szCs w:val="24"/>
        </w:rPr>
        <w:t xml:space="preserve">5.7 Section 6 — Insurance</w:t>
      </w:r>
    </w:p>
    <w:p>
      <w:pPr>
        <w:spacing w:after="120" w:before="60" w:line="276"/>
        <w:jc w:val="left"/>
      </w:pPr>
      <w:r>
        <w:rPr>
          <w:rFonts w:ascii="Arial" w:cs="Arial" w:eastAsia="Arial" w:hAnsi="Arial"/>
          <w:b w:val="false"/>
          <w:bCs w:val="false"/>
          <w:i w:val="false"/>
          <w:iCs w:val="false"/>
          <w:color w:val="2C2F36"/>
          <w:sz w:val="20"/>
          <w:szCs w:val="20"/>
        </w:rPr>
        <w:t xml:space="preserve">Heading: Insurance. Services listed:</w:t>
      </w:r>
    </w:p>
    <w:p>
      <w:pPr>
        <w:pStyle w:val="ListParagraph"/>
        <w:numPr>
          <w:ilvl w:val="0"/>
          <w:numId w:val="2"/>
        </w:numPr>
        <w:spacing w:after="60" w:before="40" w:line="264"/>
      </w:pPr>
      <w:r>
        <w:rPr>
          <w:rFonts w:ascii="Arial" w:cs="Arial" w:eastAsia="Arial" w:hAnsi="Arial"/>
          <w:color w:val="2C2F36"/>
          <w:sz w:val="20"/>
          <w:szCs w:val="20"/>
        </w:rPr>
        <w:t xml:space="preserve">Medical insurance</w:t>
      </w:r>
    </w:p>
    <w:p>
      <w:pPr>
        <w:pStyle w:val="ListParagraph"/>
        <w:numPr>
          <w:ilvl w:val="0"/>
          <w:numId w:val="2"/>
        </w:numPr>
        <w:spacing w:after="60" w:before="40" w:line="264"/>
      </w:pPr>
      <w:r>
        <w:rPr>
          <w:rFonts w:ascii="Arial" w:cs="Arial" w:eastAsia="Arial" w:hAnsi="Arial"/>
          <w:color w:val="2C2F36"/>
          <w:sz w:val="20"/>
          <w:szCs w:val="20"/>
        </w:rPr>
        <w:t xml:space="preserve">Vehicle insurance</w:t>
      </w:r>
    </w:p>
    <w:p>
      <w:pPr>
        <w:pStyle w:val="ListParagraph"/>
        <w:numPr>
          <w:ilvl w:val="0"/>
          <w:numId w:val="2"/>
        </w:numPr>
        <w:spacing w:after="60" w:before="40" w:line="264"/>
      </w:pPr>
      <w:r>
        <w:rPr>
          <w:rFonts w:ascii="Arial" w:cs="Arial" w:eastAsia="Arial" w:hAnsi="Arial"/>
          <w:color w:val="2C2F36"/>
          <w:sz w:val="20"/>
          <w:szCs w:val="20"/>
        </w:rPr>
        <w:t xml:space="preserve">Property insurance</w:t>
      </w:r>
    </w:p>
    <w:p>
      <w:pPr>
        <w:pStyle w:val="ListParagraph"/>
        <w:numPr>
          <w:ilvl w:val="0"/>
          <w:numId w:val="2"/>
        </w:numPr>
        <w:spacing w:after="60" w:before="40" w:line="264"/>
      </w:pPr>
      <w:r>
        <w:rPr>
          <w:rFonts w:ascii="Arial" w:cs="Arial" w:eastAsia="Arial" w:hAnsi="Arial"/>
          <w:color w:val="2C2F36"/>
          <w:sz w:val="20"/>
          <w:szCs w:val="20"/>
        </w:rPr>
        <w:t xml:space="preserve">Insurance meeting residency application requirements</w:t>
      </w:r>
    </w:p>
    <w:p>
      <w:pPr>
        <w:spacing w:after="120" w:before="60" w:line="276"/>
        <w:jc w:val="left"/>
      </w:pPr>
      <w:r>
        <w:rPr>
          <w:rFonts w:ascii="Arial" w:cs="Arial" w:eastAsia="Arial" w:hAnsi="Arial"/>
          <w:b w:val="false"/>
          <w:bCs w:val="false"/>
          <w:i/>
          <w:iCs/>
          <w:color w:val="2C2F36"/>
          <w:sz w:val="20"/>
          <w:szCs w:val="20"/>
        </w:rPr>
        <w:t xml:space="preserve">The residency-qualifying insurance item should be positioned adjacent to, or cross-linked with, the Residency section, because it is a blocking dependency that many applicants discover too late.</w:t>
      </w:r>
    </w:p>
    <w:p>
      <w:pPr>
        <w:pStyle w:val="Heading2"/>
        <w:spacing w:after="120" w:before="260"/>
      </w:pPr>
      <w:r>
        <w:rPr>
          <w:rFonts w:ascii="Arial" w:cs="Arial" w:eastAsia="Arial" w:hAnsi="Arial"/>
          <w:b/>
          <w:bCs/>
          <w:color w:val="0A2A5E"/>
          <w:sz w:val="24"/>
          <w:szCs w:val="24"/>
        </w:rPr>
        <w:t xml:space="preserve">5.8 Section 7 — Practical Adaptation</w:t>
      </w:r>
    </w:p>
    <w:p>
      <w:pPr>
        <w:spacing w:after="120" w:before="60" w:line="276"/>
        <w:jc w:val="left"/>
      </w:pPr>
      <w:r>
        <w:rPr>
          <w:rFonts w:ascii="Arial" w:cs="Arial" w:eastAsia="Arial" w:hAnsi="Arial"/>
          <w:b w:val="false"/>
          <w:bCs w:val="false"/>
          <w:i w:val="false"/>
          <w:iCs w:val="false"/>
          <w:color w:val="2C2F36"/>
          <w:sz w:val="20"/>
          <w:szCs w:val="20"/>
        </w:rPr>
        <w:t xml:space="preserve">Heading: Settling into life in Spain. Services listed:</w:t>
      </w:r>
    </w:p>
    <w:p>
      <w:pPr>
        <w:pStyle w:val="ListParagraph"/>
        <w:numPr>
          <w:ilvl w:val="0"/>
          <w:numId w:val="2"/>
        </w:numPr>
        <w:spacing w:after="60" w:before="40" w:line="264"/>
      </w:pPr>
      <w:r>
        <w:rPr>
          <w:rFonts w:ascii="Arial" w:cs="Arial" w:eastAsia="Arial" w:hAnsi="Arial"/>
          <w:color w:val="2C2F36"/>
          <w:sz w:val="20"/>
          <w:szCs w:val="20"/>
        </w:rPr>
        <w:t xml:space="preserve">School and kindergarten placement</w:t>
      </w:r>
    </w:p>
    <w:p>
      <w:pPr>
        <w:pStyle w:val="ListParagraph"/>
        <w:numPr>
          <w:ilvl w:val="0"/>
          <w:numId w:val="2"/>
        </w:numPr>
        <w:spacing w:after="60" w:before="40" w:line="264"/>
      </w:pPr>
      <w:r>
        <w:rPr>
          <w:rFonts w:ascii="Arial" w:cs="Arial" w:eastAsia="Arial" w:hAnsi="Arial"/>
          <w:color w:val="2C2F36"/>
          <w:sz w:val="20"/>
          <w:szCs w:val="20"/>
        </w:rPr>
        <w:t xml:space="preserve">Sports clubs and children's activities</w:t>
      </w:r>
    </w:p>
    <w:p>
      <w:pPr>
        <w:pStyle w:val="ListParagraph"/>
        <w:numPr>
          <w:ilvl w:val="0"/>
          <w:numId w:val="2"/>
        </w:numPr>
        <w:spacing w:after="60" w:before="40" w:line="264"/>
      </w:pPr>
      <w:r>
        <w:rPr>
          <w:rFonts w:ascii="Arial" w:cs="Arial" w:eastAsia="Arial" w:hAnsi="Arial"/>
          <w:color w:val="2C2F36"/>
          <w:sz w:val="20"/>
          <w:szCs w:val="20"/>
        </w:rPr>
        <w:t xml:space="preserve">Language courses</w:t>
      </w:r>
    </w:p>
    <w:p>
      <w:pPr>
        <w:pStyle w:val="ListParagraph"/>
        <w:numPr>
          <w:ilvl w:val="0"/>
          <w:numId w:val="2"/>
        </w:numPr>
        <w:spacing w:after="60" w:before="40" w:line="264"/>
      </w:pPr>
      <w:r>
        <w:rPr>
          <w:rFonts w:ascii="Arial" w:cs="Arial" w:eastAsia="Arial" w:hAnsi="Arial"/>
          <w:color w:val="2C2F36"/>
          <w:sz w:val="20"/>
          <w:szCs w:val="20"/>
        </w:rPr>
        <w:t xml:space="preserve">Driving licence exchange</w:t>
      </w:r>
    </w:p>
    <w:p>
      <w:pPr>
        <w:pStyle w:val="ListParagraph"/>
        <w:numPr>
          <w:ilvl w:val="0"/>
          <w:numId w:val="2"/>
        </w:numPr>
        <w:spacing w:after="60" w:before="40" w:line="264"/>
      </w:pPr>
      <w:r>
        <w:rPr>
          <w:rFonts w:ascii="Arial" w:cs="Arial" w:eastAsia="Arial" w:hAnsi="Arial"/>
          <w:color w:val="2C2F36"/>
          <w:sz w:val="20"/>
          <w:szCs w:val="20"/>
        </w:rPr>
        <w:t xml:space="preserve">Recognition and homologation of diplomas</w:t>
      </w:r>
    </w:p>
    <w:p>
      <w:pPr>
        <w:pStyle w:val="ListParagraph"/>
        <w:numPr>
          <w:ilvl w:val="0"/>
          <w:numId w:val="2"/>
        </w:numPr>
        <w:spacing w:after="60" w:before="40" w:line="264"/>
      </w:pPr>
      <w:r>
        <w:rPr>
          <w:rFonts w:ascii="Arial" w:cs="Arial" w:eastAsia="Arial" w:hAnsi="Arial"/>
          <w:color w:val="2C2F36"/>
          <w:sz w:val="20"/>
          <w:szCs w:val="20"/>
        </w:rPr>
        <w:t xml:space="preserve">Interpreter accompaniment for appointments</w:t>
      </w:r>
    </w:p>
    <w:p>
      <w:pPr>
        <w:spacing w:after="120" w:before="60" w:line="276"/>
        <w:jc w:val="left"/>
      </w:pPr>
      <w:r>
        <w:rPr>
          <w:rFonts w:ascii="Arial" w:cs="Arial" w:eastAsia="Arial" w:hAnsi="Arial"/>
          <w:b w:val="false"/>
          <w:bCs w:val="false"/>
          <w:i/>
          <w:iCs/>
          <w:color w:val="2C2F36"/>
          <w:sz w:val="20"/>
          <w:szCs w:val="20"/>
        </w:rPr>
        <w:t xml:space="preserve">This section carries disproportionate emotional weight for family segments and should not be treated as a minor list. School placement in particular is frequently the deciding factor in whether a family proceeds.</w:t>
      </w:r>
    </w:p>
    <w:p>
      <w:pPr>
        <w:pStyle w:val="Heading2"/>
        <w:spacing w:after="120" w:before="260"/>
      </w:pPr>
      <w:r>
        <w:rPr>
          <w:rFonts w:ascii="Arial" w:cs="Arial" w:eastAsia="Arial" w:hAnsi="Arial"/>
          <w:b/>
          <w:bCs/>
          <w:color w:val="0A2A5E"/>
          <w:sz w:val="24"/>
          <w:szCs w:val="24"/>
        </w:rPr>
        <w:t xml:space="preserve">5.9 Section 8 — Why Choose Us</w:t>
      </w:r>
    </w:p>
    <w:p>
      <w:pPr>
        <w:pStyle w:val="ListParagraph"/>
        <w:numPr>
          <w:ilvl w:val="0"/>
          <w:numId w:val="2"/>
        </w:numPr>
        <w:spacing w:after="60" w:before="40" w:line="264"/>
      </w:pPr>
      <w:r>
        <w:rPr>
          <w:rFonts w:ascii="Arial" w:cs="Arial" w:eastAsia="Arial" w:hAnsi="Arial"/>
          <w:color w:val="2C2F36"/>
          <w:sz w:val="20"/>
          <w:szCs w:val="20"/>
        </w:rPr>
        <w:t xml:space="preserve">Demonstrated experience in end-to-end relocation</w:t>
      </w:r>
    </w:p>
    <w:p>
      <w:pPr>
        <w:pStyle w:val="ListParagraph"/>
        <w:numPr>
          <w:ilvl w:val="0"/>
          <w:numId w:val="2"/>
        </w:numPr>
        <w:spacing w:after="60" w:before="40" w:line="264"/>
      </w:pPr>
      <w:r>
        <w:rPr>
          <w:rFonts w:ascii="Arial" w:cs="Arial" w:eastAsia="Arial" w:hAnsi="Arial"/>
          <w:color w:val="2C2F36"/>
          <w:sz w:val="20"/>
          <w:szCs w:val="20"/>
        </w:rPr>
        <w:t xml:space="preserve">A network of verified partners</w:t>
      </w:r>
    </w:p>
    <w:p>
      <w:pPr>
        <w:pStyle w:val="ListParagraph"/>
        <w:numPr>
          <w:ilvl w:val="0"/>
          <w:numId w:val="2"/>
        </w:numPr>
        <w:spacing w:after="60" w:before="40" w:line="264"/>
      </w:pPr>
      <w:r>
        <w:rPr>
          <w:rFonts w:ascii="Arial" w:cs="Arial" w:eastAsia="Arial" w:hAnsi="Arial"/>
          <w:color w:val="2C2F36"/>
          <w:sz w:val="20"/>
          <w:szCs w:val="20"/>
        </w:rPr>
        <w:t xml:space="preserve">Support maintained across every stage</w:t>
      </w:r>
    </w:p>
    <w:p>
      <w:pPr>
        <w:pStyle w:val="ListParagraph"/>
        <w:numPr>
          <w:ilvl w:val="0"/>
          <w:numId w:val="2"/>
        </w:numPr>
        <w:spacing w:after="60" w:before="40" w:line="264"/>
      </w:pPr>
      <w:r>
        <w:rPr>
          <w:rFonts w:ascii="Arial" w:cs="Arial" w:eastAsia="Arial" w:hAnsi="Arial"/>
          <w:color w:val="2C2F36"/>
          <w:sz w:val="20"/>
          <w:szCs w:val="20"/>
        </w:rPr>
        <w:t xml:space="preserve">Meaningful savings of the client's time</w:t>
      </w:r>
    </w:p>
    <w:p>
      <w:pPr>
        <w:pStyle w:val="ListParagraph"/>
        <w:numPr>
          <w:ilvl w:val="0"/>
          <w:numId w:val="2"/>
        </w:numPr>
        <w:spacing w:after="60" w:before="40" w:line="264"/>
      </w:pPr>
      <w:r>
        <w:rPr>
          <w:rFonts w:ascii="Arial" w:cs="Arial" w:eastAsia="Arial" w:hAnsi="Arial"/>
          <w:color w:val="2C2F36"/>
          <w:sz w:val="20"/>
          <w:szCs w:val="20"/>
        </w:rPr>
        <w:t xml:space="preserve">An individual approach to each case</w:t>
      </w:r>
    </w:p>
    <w:p>
      <w:pPr>
        <w:pStyle w:val="Heading2"/>
        <w:spacing w:after="120" w:before="260"/>
      </w:pPr>
      <w:r>
        <w:rPr>
          <w:rFonts w:ascii="Arial" w:cs="Arial" w:eastAsia="Arial" w:hAnsi="Arial"/>
          <w:b/>
          <w:bCs/>
          <w:color w:val="0A2A5E"/>
          <w:sz w:val="24"/>
          <w:szCs w:val="24"/>
        </w:rPr>
        <w:t xml:space="preserve">5.10 Section 9 — How We Work</w:t>
      </w:r>
    </w:p>
    <w:p>
      <w:pPr>
        <w:spacing w:after="120" w:before="60" w:line="276"/>
        <w:jc w:val="left"/>
      </w:pPr>
      <w:r>
        <w:rPr>
          <w:rFonts w:ascii="Arial" w:cs="Arial" w:eastAsia="Arial" w:hAnsi="Arial"/>
          <w:b w:val="false"/>
          <w:bCs w:val="false"/>
          <w:i w:val="false"/>
          <w:iCs w:val="false"/>
          <w:color w:val="2C2F36"/>
          <w:sz w:val="20"/>
          <w:szCs w:val="20"/>
        </w:rPr>
        <w:t xml:space="preserve">A four-step visual sequence with numbered indicators: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100"/>
        <w:gridCol w:w="2400"/>
        <w:gridCol w:w="5500"/>
      </w:tblGrid>
      <w:tr>
        <w:trPr>
          <w:tblHeader/>
        </w:trPr>
        <w:tc>
          <w:tcPr>
            <w:tcW w:type="dxa" w:w="11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Step</w:t>
            </w:r>
          </w:p>
        </w:tc>
        <w:tc>
          <w:tcPr>
            <w:tcW w:type="dxa" w:w="24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Stage</w:t>
            </w:r>
          </w:p>
        </w:tc>
        <w:tc>
          <w:tcPr>
            <w:tcW w:type="dxa" w:w="55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What Happens</w:t>
            </w:r>
          </w:p>
        </w:tc>
      </w:tr>
      <w:tr>
        <w:tc>
          <w:tcPr>
            <w:tcW w:type="dxa" w:w="11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1</w:t>
            </w:r>
          </w:p>
        </w:tc>
        <w:tc>
          <w:tcPr>
            <w:tcW w:type="dxa" w:w="2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Enquiry</w:t>
            </w:r>
          </w:p>
        </w:tc>
        <w:tc>
          <w:tcPr>
            <w:tcW w:type="dxa" w:w="5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The client submits the form or opens a WhatsApp conversation</w:t>
            </w:r>
          </w:p>
        </w:tc>
      </w:tr>
      <w:tr>
        <w:tc>
          <w:tcPr>
            <w:tcW w:type="dxa" w:w="11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2</w:t>
            </w:r>
          </w:p>
        </w:tc>
        <w:tc>
          <w:tcPr>
            <w:tcW w:type="dxa" w:w="2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Consultation</w:t>
            </w:r>
          </w:p>
        </w:tc>
        <w:tc>
          <w:tcPr>
            <w:tcW w:type="dxa" w:w="55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 specialist clarifies the situation, timing, and priorities</w:t>
            </w:r>
          </w:p>
        </w:tc>
      </w:tr>
      <w:tr>
        <w:tc>
          <w:tcPr>
            <w:tcW w:type="dxa" w:w="11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3</w:t>
            </w:r>
          </w:p>
        </w:tc>
        <w:tc>
          <w:tcPr>
            <w:tcW w:type="dxa" w:w="2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Solution design</w:t>
            </w:r>
          </w:p>
        </w:tc>
        <w:tc>
          <w:tcPr>
            <w:tcW w:type="dxa" w:w="5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 plan and a set of options are assembled across the relevant services</w:t>
            </w:r>
          </w:p>
        </w:tc>
      </w:tr>
      <w:tr>
        <w:tc>
          <w:tcPr>
            <w:tcW w:type="dxa" w:w="11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4</w:t>
            </w:r>
          </w:p>
        </w:tc>
        <w:tc>
          <w:tcPr>
            <w:tcW w:type="dxa" w:w="2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Execution</w:t>
            </w:r>
          </w:p>
        </w:tc>
        <w:tc>
          <w:tcPr>
            <w:tcW w:type="dxa" w:w="55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SRH accompanies the client through to completion of the move</w:t>
            </w:r>
          </w:p>
        </w:tc>
      </w:tr>
    </w:tbl>
    <w:p>
      <w:pPr>
        <w:pStyle w:val="Heading2"/>
        <w:spacing w:after="120" w:before="260"/>
      </w:pPr>
      <w:r>
        <w:rPr>
          <w:rFonts w:ascii="Arial" w:cs="Arial" w:eastAsia="Arial" w:hAnsi="Arial"/>
          <w:b/>
          <w:bCs/>
          <w:color w:val="0A2A5E"/>
          <w:sz w:val="24"/>
          <w:szCs w:val="24"/>
        </w:rPr>
        <w:t xml:space="preserve">5.11 Section 10 — FAQ</w:t>
      </w:r>
    </w:p>
    <w:p>
      <w:pPr>
        <w:spacing w:after="120" w:before="60" w:line="276"/>
        <w:jc w:val="left"/>
      </w:pPr>
      <w:r>
        <w:rPr>
          <w:rFonts w:ascii="Arial" w:cs="Arial" w:eastAsia="Arial" w:hAnsi="Arial"/>
          <w:b w:val="false"/>
          <w:bCs w:val="false"/>
          <w:i w:val="false"/>
          <w:iCs w:val="false"/>
          <w:color w:val="2C2F36"/>
          <w:sz w:val="20"/>
          <w:szCs w:val="20"/>
        </w:rPr>
        <w:t xml:space="preserve">An expandable list of eight to twelve questions. The FAQ serves two purposes simultaneously: it resolves the objections that suppress form submission, and it is the site's strongest source of organic search visibility. It must be implemented with FAQ structured data and must be fully editable through the CMS in every language. Suggested opening set:</w:t>
      </w:r>
    </w:p>
    <w:p>
      <w:pPr>
        <w:pStyle w:val="ListParagraph"/>
        <w:numPr>
          <w:ilvl w:val="0"/>
          <w:numId w:val="2"/>
        </w:numPr>
        <w:spacing w:after="60" w:before="40" w:line="264"/>
      </w:pPr>
      <w:r>
        <w:rPr>
          <w:rFonts w:ascii="Arial" w:cs="Arial" w:eastAsia="Arial" w:hAnsi="Arial"/>
          <w:color w:val="2C2F36"/>
          <w:sz w:val="20"/>
          <w:szCs w:val="20"/>
        </w:rPr>
        <w:t xml:space="preserve">How long does the relocation process take?</w:t>
      </w:r>
    </w:p>
    <w:p>
      <w:pPr>
        <w:pStyle w:val="ListParagraph"/>
        <w:numPr>
          <w:ilvl w:val="0"/>
          <w:numId w:val="2"/>
        </w:numPr>
        <w:spacing w:after="60" w:before="40" w:line="264"/>
      </w:pPr>
      <w:r>
        <w:rPr>
          <w:rFonts w:ascii="Arial" w:cs="Arial" w:eastAsia="Arial" w:hAnsi="Arial"/>
          <w:color w:val="2C2F36"/>
          <w:sz w:val="20"/>
          <w:szCs w:val="20"/>
        </w:rPr>
        <w:t xml:space="preserve">What does your service cost, and how is it charged?</w:t>
      </w:r>
    </w:p>
    <w:p>
      <w:pPr>
        <w:pStyle w:val="ListParagraph"/>
        <w:numPr>
          <w:ilvl w:val="0"/>
          <w:numId w:val="2"/>
        </w:numPr>
        <w:spacing w:after="60" w:before="40" w:line="264"/>
      </w:pPr>
      <w:r>
        <w:rPr>
          <w:rFonts w:ascii="Arial" w:cs="Arial" w:eastAsia="Arial" w:hAnsi="Arial"/>
          <w:color w:val="2C2F36"/>
          <w:sz w:val="20"/>
          <w:szCs w:val="20"/>
        </w:rPr>
        <w:t xml:space="preserve">Can you help if I am already in Spain?</w:t>
      </w:r>
    </w:p>
    <w:p>
      <w:pPr>
        <w:pStyle w:val="ListParagraph"/>
        <w:numPr>
          <w:ilvl w:val="0"/>
          <w:numId w:val="2"/>
        </w:numPr>
        <w:spacing w:after="60" w:before="40" w:line="264"/>
      </w:pPr>
      <w:r>
        <w:rPr>
          <w:rFonts w:ascii="Arial" w:cs="Arial" w:eastAsia="Arial" w:hAnsi="Arial"/>
          <w:color w:val="2C2F36"/>
          <w:sz w:val="20"/>
          <w:szCs w:val="20"/>
        </w:rPr>
        <w:t xml:space="preserve">Which residency route is right for my situation?</w:t>
      </w:r>
    </w:p>
    <w:p>
      <w:pPr>
        <w:pStyle w:val="ListParagraph"/>
        <w:numPr>
          <w:ilvl w:val="0"/>
          <w:numId w:val="2"/>
        </w:numPr>
        <w:spacing w:after="60" w:before="40" w:line="264"/>
      </w:pPr>
      <w:r>
        <w:rPr>
          <w:rFonts w:ascii="Arial" w:cs="Arial" w:eastAsia="Arial" w:hAnsi="Arial"/>
          <w:color w:val="2C2F36"/>
          <w:sz w:val="20"/>
          <w:szCs w:val="20"/>
        </w:rPr>
        <w:t xml:space="preserve">Do I need to speak Spanish to work with you?</w:t>
      </w:r>
    </w:p>
    <w:p>
      <w:pPr>
        <w:pStyle w:val="ListParagraph"/>
        <w:numPr>
          <w:ilvl w:val="0"/>
          <w:numId w:val="2"/>
        </w:numPr>
        <w:spacing w:after="60" w:before="40" w:line="264"/>
      </w:pPr>
      <w:r>
        <w:rPr>
          <w:rFonts w:ascii="Arial" w:cs="Arial" w:eastAsia="Arial" w:hAnsi="Arial"/>
          <w:color w:val="2C2F36"/>
          <w:sz w:val="20"/>
          <w:szCs w:val="20"/>
        </w:rPr>
        <w:t xml:space="preserve">Can you assist with school placement mid-academic-year?</w:t>
      </w:r>
    </w:p>
    <w:p>
      <w:pPr>
        <w:pStyle w:val="ListParagraph"/>
        <w:numPr>
          <w:ilvl w:val="0"/>
          <w:numId w:val="2"/>
        </w:numPr>
        <w:spacing w:after="60" w:before="40" w:line="264"/>
      </w:pPr>
      <w:r>
        <w:rPr>
          <w:rFonts w:ascii="Arial" w:cs="Arial" w:eastAsia="Arial" w:hAnsi="Arial"/>
          <w:color w:val="2C2F36"/>
          <w:sz w:val="20"/>
          <w:szCs w:val="20"/>
        </w:rPr>
        <w:t xml:space="preserve">Do you work with clients holding temporary protection status?</w:t>
      </w:r>
    </w:p>
    <w:p>
      <w:pPr>
        <w:pStyle w:val="ListParagraph"/>
        <w:numPr>
          <w:ilvl w:val="0"/>
          <w:numId w:val="2"/>
        </w:numPr>
        <w:spacing w:after="60" w:before="40" w:line="264"/>
      </w:pPr>
      <w:r>
        <w:rPr>
          <w:rFonts w:ascii="Arial" w:cs="Arial" w:eastAsia="Arial" w:hAnsi="Arial"/>
          <w:color w:val="2C2F36"/>
          <w:sz w:val="20"/>
          <w:szCs w:val="20"/>
        </w:rPr>
        <w:t xml:space="preserve">What happens if my application is refused?</w:t>
      </w:r>
    </w:p>
    <w:p>
      <w:pPr>
        <w:pStyle w:val="Heading2"/>
        <w:spacing w:after="120" w:before="260"/>
      </w:pPr>
      <w:r>
        <w:rPr>
          <w:rFonts w:ascii="Arial" w:cs="Arial" w:eastAsia="Arial" w:hAnsi="Arial"/>
          <w:b/>
          <w:bCs/>
          <w:color w:val="0A2A5E"/>
          <w:sz w:val="24"/>
          <w:szCs w:val="24"/>
        </w:rPr>
        <w:t xml:space="preserve">5.12 Section 11 — Enquiry Form and Contacts</w:t>
      </w:r>
    </w:p>
    <w:p>
      <w:pPr>
        <w:spacing w:after="120" w:before="60" w:line="276"/>
        <w:jc w:val="left"/>
      </w:pPr>
      <w:r>
        <w:rPr>
          <w:rFonts w:ascii="Arial" w:cs="Arial" w:eastAsia="Arial" w:hAnsi="Arial"/>
          <w:b w:val="false"/>
          <w:bCs w:val="false"/>
          <w:i w:val="false"/>
          <w:iCs w:val="false"/>
          <w:color w:val="2C2F36"/>
          <w:sz w:val="20"/>
          <w:szCs w:val="20"/>
        </w:rPr>
        <w:t xml:space="preserve">Contact channels displayed: telephone, WhatsApp, email, and social profiles on Instagram, Facebook, and LinkedIn. The enquiry form specification is given in full in Section 6.</w:t>
      </w:r>
    </w:p>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6. Lead Capture and Qualification</w:t>
      </w:r>
    </w:p>
    <w:p>
      <w:pPr>
        <w:spacing w:after="120" w:before="60" w:line="276"/>
        <w:jc w:val="left"/>
      </w:pPr>
      <w:r>
        <w:rPr>
          <w:rFonts w:ascii="Arial" w:cs="Arial" w:eastAsia="Arial" w:hAnsi="Arial"/>
          <w:b w:val="false"/>
          <w:bCs w:val="false"/>
          <w:i w:val="false"/>
          <w:iCs w:val="false"/>
          <w:color w:val="2C2F36"/>
          <w:sz w:val="20"/>
          <w:szCs w:val="20"/>
        </w:rPr>
        <w:t xml:space="preserve">The enquiry form is the commercial core of the product. Its design carries a direct tension: each additional field improves lead quality and reduces preparation time before the first call, and simultaneously reduces submission rate. The resolution adopted here is a two-step form — a short, low-friction first step that captures a contactable lead, followed by an optional qualification step.</w:t>
      </w:r>
    </w:p>
    <w:p>
      <w:pPr>
        <w:pStyle w:val="Heading2"/>
        <w:spacing w:after="120" w:before="260"/>
      </w:pPr>
      <w:r>
        <w:rPr>
          <w:rFonts w:ascii="Arial" w:cs="Arial" w:eastAsia="Arial" w:hAnsi="Arial"/>
          <w:b/>
          <w:bCs/>
          <w:color w:val="0A2A5E"/>
          <w:sz w:val="24"/>
          <w:szCs w:val="24"/>
        </w:rPr>
        <w:t xml:space="preserve">6.1 Step 1 — Contact and Interest (required)</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200"/>
        <w:gridCol w:w="1500"/>
        <w:gridCol w:w="5300"/>
      </w:tblGrid>
      <w:tr>
        <w:trPr>
          <w:tblHeader/>
        </w:trPr>
        <w:tc>
          <w:tcPr>
            <w:tcW w:type="dxa" w:w="22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Field</w:t>
            </w:r>
          </w:p>
        </w:tc>
        <w:tc>
          <w:tcPr>
            <w:tcW w:type="dxa" w:w="15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Required</w:t>
            </w:r>
          </w:p>
        </w:tc>
        <w:tc>
          <w:tcPr>
            <w:tcW w:type="dxa" w:w="53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Notes</w:t>
            </w:r>
          </w:p>
        </w:tc>
      </w:tr>
      <w:tr>
        <w:tc>
          <w:tcPr>
            <w:tcW w:type="dxa" w:w="2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Name</w:t>
            </w:r>
          </w:p>
        </w:tc>
        <w:tc>
          <w:tcPr>
            <w:tcW w:type="dxa" w:w="1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Yes</w:t>
            </w:r>
          </w:p>
        </w:tc>
        <w:tc>
          <w:tcPr>
            <w:tcW w:type="dxa" w:w="5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Single free-text field; no forced first/last split</w:t>
            </w:r>
          </w:p>
        </w:tc>
      </w:tr>
      <w:tr>
        <w:tc>
          <w:tcPr>
            <w:tcW w:type="dxa" w:w="2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Phone</w:t>
            </w:r>
          </w:p>
        </w:tc>
        <w:tc>
          <w:tcPr>
            <w:tcW w:type="dxa" w:w="15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Yes</w:t>
            </w:r>
          </w:p>
        </w:tc>
        <w:tc>
          <w:tcPr>
            <w:tcW w:type="dxa" w:w="53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International format with country selector; used for WhatsApp follow-up</w:t>
            </w:r>
          </w:p>
        </w:tc>
      </w:tr>
      <w:tr>
        <w:tc>
          <w:tcPr>
            <w:tcW w:type="dxa" w:w="2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Email</w:t>
            </w:r>
          </w:p>
        </w:tc>
        <w:tc>
          <w:tcPr>
            <w:tcW w:type="dxa" w:w="1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Yes</w:t>
            </w:r>
          </w:p>
        </w:tc>
        <w:tc>
          <w:tcPr>
            <w:tcW w:type="dxa" w:w="5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Validated format; used for confirmation and document exchange</w:t>
            </w:r>
          </w:p>
        </w:tc>
      </w:tr>
      <w:tr>
        <w:tc>
          <w:tcPr>
            <w:tcW w:type="dxa" w:w="2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Services of interest</w:t>
            </w:r>
          </w:p>
        </w:tc>
        <w:tc>
          <w:tcPr>
            <w:tcW w:type="dxa" w:w="15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Yes</w:t>
            </w:r>
          </w:p>
        </w:tc>
        <w:tc>
          <w:tcPr>
            <w:tcW w:type="dxa" w:w="53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Multi-select checklist covering the six service categories; pre-selected when the visitor arrives from a specific section's button</w:t>
            </w:r>
          </w:p>
        </w:tc>
      </w:tr>
      <w:tr>
        <w:tc>
          <w:tcPr>
            <w:tcW w:type="dxa" w:w="2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Consent</w:t>
            </w:r>
          </w:p>
        </w:tc>
        <w:tc>
          <w:tcPr>
            <w:tcW w:type="dxa" w:w="1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Yes</w:t>
            </w:r>
          </w:p>
        </w:tc>
        <w:tc>
          <w:tcPr>
            <w:tcW w:type="dxa" w:w="5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Explicit, unticked consent checkbox linking to the privacy notice — GDPR requirement</w:t>
            </w:r>
          </w:p>
        </w:tc>
      </w:tr>
    </w:tbl>
    <w:p>
      <w:pPr>
        <w:pStyle w:val="Heading2"/>
        <w:spacing w:after="120" w:before="260"/>
      </w:pPr>
      <w:r>
        <w:rPr>
          <w:rFonts w:ascii="Arial" w:cs="Arial" w:eastAsia="Arial" w:hAnsi="Arial"/>
          <w:b/>
          <w:bCs/>
          <w:color w:val="0A2A5E"/>
          <w:sz w:val="24"/>
          <w:szCs w:val="24"/>
        </w:rPr>
        <w:t xml:space="preserve">6.2 Step 2 — Qualification (optional)</w:t>
      </w:r>
    </w:p>
    <w:p>
      <w:pPr>
        <w:spacing w:after="120" w:before="60" w:line="276"/>
        <w:jc w:val="left"/>
      </w:pPr>
      <w:r>
        <w:rPr>
          <w:rFonts w:ascii="Arial" w:cs="Arial" w:eastAsia="Arial" w:hAnsi="Arial"/>
          <w:b w:val="false"/>
          <w:bCs w:val="false"/>
          <w:i w:val="false"/>
          <w:iCs w:val="false"/>
          <w:color w:val="2C2F36"/>
          <w:sz w:val="20"/>
          <w:szCs w:val="20"/>
        </w:rPr>
        <w:t xml:space="preserve">Presented after Step 1 is submitted, so that abandonment at this stage still leaves SRH with a usable lead.</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600"/>
        <w:gridCol w:w="6400"/>
      </w:tblGrid>
      <w:tr>
        <w:trPr>
          <w:tblHeader/>
        </w:trPr>
        <w:tc>
          <w:tcPr>
            <w:tcW w:type="dxa" w:w="26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Question</w:t>
            </w:r>
          </w:p>
        </w:tc>
        <w:tc>
          <w:tcPr>
            <w:tcW w:type="dxa" w:w="64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Purpose</w:t>
            </w:r>
          </w:p>
        </w:tc>
      </w:tr>
      <w:tr>
        <w:tc>
          <w:tcPr>
            <w:tcW w:type="dxa" w:w="2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Country of current residence</w:t>
            </w:r>
          </w:p>
        </w:tc>
        <w:tc>
          <w:tcPr>
            <w:tcW w:type="dxa" w:w="6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Determines the applicable visa route and whether the client is already in Spain</w:t>
            </w:r>
          </w:p>
        </w:tc>
      </w:tr>
      <w:tr>
        <w:tc>
          <w:tcPr>
            <w:tcW w:type="dxa" w:w="2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Preferred language of communication</w:t>
            </w:r>
          </w:p>
        </w:tc>
        <w:tc>
          <w:tcPr>
            <w:tcW w:type="dxa" w:w="6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Routes the case to the right specialist and sets the language of all follow-up</w:t>
            </w:r>
          </w:p>
        </w:tc>
      </w:tr>
      <w:tr>
        <w:tc>
          <w:tcPr>
            <w:tcW w:type="dxa" w:w="2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Current source of income</w:t>
            </w:r>
          </w:p>
        </w:tc>
        <w:tc>
          <w:tcPr>
            <w:tcW w:type="dxa" w:w="6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Determines eligibility across residency routes, which differ substantially by income type</w:t>
            </w:r>
          </w:p>
        </w:tc>
      </w:tr>
      <w:tr>
        <w:tc>
          <w:tcPr>
            <w:tcW w:type="dxa" w:w="2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Intended timeline</w:t>
            </w:r>
          </w:p>
        </w:tc>
        <w:tc>
          <w:tcPr>
            <w:tcW w:type="dxa" w:w="6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Prioritises the queue and separates active movers from long-horizon researchers</w:t>
            </w:r>
          </w:p>
        </w:tc>
      </w:tr>
      <w:tr>
        <w:tc>
          <w:tcPr>
            <w:tcW w:type="dxa" w:w="2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Number of people relocating</w:t>
            </w:r>
          </w:p>
        </w:tc>
        <w:tc>
          <w:tcPr>
            <w:tcW w:type="dxa" w:w="6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Signals family cases requiring schooling and dependent-status support</w:t>
            </w:r>
          </w:p>
        </w:tc>
      </w:tr>
    </w:tbl>
    <w:p>
      <w:pPr>
        <w:spacing w:after="120" w:before="60" w:line="276"/>
        <w:jc w:val="left"/>
      </w:pPr>
      <w:r>
        <w:rPr>
          <w:rFonts w:ascii="Arial" w:cs="Arial" w:eastAsia="Arial" w:hAnsi="Arial"/>
          <w:b w:val="false"/>
          <w:bCs w:val="false"/>
          <w:i/>
          <w:iCs/>
          <w:color w:val="2C2F36"/>
          <w:sz w:val="20"/>
          <w:szCs w:val="20"/>
        </w:rPr>
        <w:t xml:space="preserve">Note on the income question: this constitutes personal financial data under GDPR. It must remain optional, must be accompanied by a clear explanation of why it is asked, and must not be presented in the first step. Asking it as a required field on first contact will depress conversion and creates an unnecessary compliance burden.</w:t>
      </w:r>
    </w:p>
    <w:p>
      <w:pPr>
        <w:pStyle w:val="Heading2"/>
        <w:spacing w:after="120" w:before="260"/>
      </w:pPr>
      <w:r>
        <w:rPr>
          <w:rFonts w:ascii="Arial" w:cs="Arial" w:eastAsia="Arial" w:hAnsi="Arial"/>
          <w:b/>
          <w:bCs/>
          <w:color w:val="0A2A5E"/>
          <w:sz w:val="24"/>
          <w:szCs w:val="24"/>
        </w:rPr>
        <w:t xml:space="preserve">6.3 Submission Handling</w:t>
      </w:r>
    </w:p>
    <w:p>
      <w:pPr>
        <w:pStyle w:val="ListParagraph"/>
        <w:numPr>
          <w:ilvl w:val="0"/>
          <w:numId w:val="2"/>
        </w:numPr>
        <w:spacing w:after="60" w:before="40" w:line="264"/>
      </w:pPr>
      <w:r>
        <w:rPr>
          <w:rFonts w:ascii="Arial" w:cs="Arial" w:eastAsia="Arial" w:hAnsi="Arial"/>
          <w:color w:val="2C2F36"/>
          <w:sz w:val="20"/>
          <w:szCs w:val="20"/>
        </w:rPr>
        <w:t xml:space="preserve">Submissions are written to a structured store and simultaneously delivered to a designated SRH mailbox.</w:t>
      </w:r>
    </w:p>
    <w:p>
      <w:pPr>
        <w:pStyle w:val="ListParagraph"/>
        <w:numPr>
          <w:ilvl w:val="0"/>
          <w:numId w:val="2"/>
        </w:numPr>
        <w:spacing w:after="60" w:before="40" w:line="264"/>
      </w:pPr>
      <w:r>
        <w:rPr>
          <w:rFonts w:ascii="Arial" w:cs="Arial" w:eastAsia="Arial" w:hAnsi="Arial"/>
          <w:color w:val="2C2F36"/>
          <w:sz w:val="20"/>
          <w:szCs w:val="20"/>
        </w:rPr>
        <w:t xml:space="preserve">The client receives an immediate automated acknowledgement in the language of the submission, stating the expected response time.</w:t>
      </w:r>
    </w:p>
    <w:p>
      <w:pPr>
        <w:pStyle w:val="ListParagraph"/>
        <w:numPr>
          <w:ilvl w:val="0"/>
          <w:numId w:val="2"/>
        </w:numPr>
        <w:spacing w:after="60" w:before="40" w:line="264"/>
      </w:pPr>
      <w:r>
        <w:rPr>
          <w:rFonts w:ascii="Arial" w:cs="Arial" w:eastAsia="Arial" w:hAnsi="Arial"/>
          <w:color w:val="2C2F36"/>
          <w:sz w:val="20"/>
          <w:szCs w:val="20"/>
        </w:rPr>
        <w:t xml:space="preserve">The confirmation screen offers WhatsApp as an immediate escalation path for time-critical cases.</w:t>
      </w:r>
    </w:p>
    <w:p>
      <w:pPr>
        <w:pStyle w:val="ListParagraph"/>
        <w:numPr>
          <w:ilvl w:val="0"/>
          <w:numId w:val="2"/>
        </w:numPr>
        <w:spacing w:after="60" w:before="40" w:line="264"/>
      </w:pPr>
      <w:r>
        <w:rPr>
          <w:rFonts w:ascii="Arial" w:cs="Arial" w:eastAsia="Arial" w:hAnsi="Arial"/>
          <w:color w:val="2C2F36"/>
          <w:sz w:val="20"/>
          <w:szCs w:val="20"/>
        </w:rPr>
        <w:t xml:space="preserve">Spam protection is applied through an invisible mechanism, not a visible puzzle challenge.</w:t>
      </w:r>
    </w:p>
    <w:p>
      <w:pPr>
        <w:pStyle w:val="ListParagraph"/>
        <w:numPr>
          <w:ilvl w:val="0"/>
          <w:numId w:val="2"/>
        </w:numPr>
        <w:spacing w:after="60" w:before="40" w:line="264"/>
      </w:pPr>
      <w:r>
        <w:rPr>
          <w:rFonts w:ascii="Arial" w:cs="Arial" w:eastAsia="Arial" w:hAnsi="Arial"/>
          <w:color w:val="2C2F36"/>
          <w:sz w:val="20"/>
          <w:szCs w:val="20"/>
        </w:rPr>
        <w:t xml:space="preserve">Every submission records the originating language, the source section, and the referral source for attribution.</w:t>
      </w:r>
    </w:p>
    <w:p>
      <w:pPr>
        <w:pStyle w:val="Heading2"/>
        <w:spacing w:after="120" w:before="260"/>
      </w:pPr>
      <w:r>
        <w:rPr>
          <w:rFonts w:ascii="Arial" w:cs="Arial" w:eastAsia="Arial" w:hAnsi="Arial"/>
          <w:b/>
          <w:bCs/>
          <w:color w:val="0A2A5E"/>
          <w:sz w:val="24"/>
          <w:szCs w:val="24"/>
        </w:rPr>
        <w:t xml:space="preserve">6.4 WhatsApp Integration</w:t>
      </w:r>
    </w:p>
    <w:p>
      <w:pPr>
        <w:pStyle w:val="ListParagraph"/>
        <w:numPr>
          <w:ilvl w:val="0"/>
          <w:numId w:val="2"/>
        </w:numPr>
        <w:spacing w:after="60" w:before="40" w:line="264"/>
      </w:pPr>
      <w:r>
        <w:rPr>
          <w:rFonts w:ascii="Arial" w:cs="Arial" w:eastAsia="Arial" w:hAnsi="Arial"/>
          <w:color w:val="2C2F36"/>
          <w:sz w:val="20"/>
          <w:szCs w:val="20"/>
        </w:rPr>
        <w:t xml:space="preserve">A persistent floating action button is present on all viewports.</w:t>
      </w:r>
    </w:p>
    <w:p>
      <w:pPr>
        <w:pStyle w:val="ListParagraph"/>
        <w:numPr>
          <w:ilvl w:val="0"/>
          <w:numId w:val="2"/>
        </w:numPr>
        <w:spacing w:after="60" w:before="40" w:line="264"/>
      </w:pPr>
      <w:r>
        <w:rPr>
          <w:rFonts w:ascii="Arial" w:cs="Arial" w:eastAsia="Arial" w:hAnsi="Arial"/>
          <w:color w:val="2C2F36"/>
          <w:sz w:val="20"/>
          <w:szCs w:val="20"/>
        </w:rPr>
        <w:t xml:space="preserve">The chat opens with a pre-filled message in the active site language, so the client does not face a blank field.</w:t>
      </w:r>
    </w:p>
    <w:p>
      <w:pPr>
        <w:pStyle w:val="ListParagraph"/>
        <w:numPr>
          <w:ilvl w:val="0"/>
          <w:numId w:val="2"/>
        </w:numPr>
        <w:spacing w:after="60" w:before="40" w:line="264"/>
      </w:pPr>
      <w:r>
        <w:rPr>
          <w:rFonts w:ascii="Arial" w:cs="Arial" w:eastAsia="Arial" w:hAnsi="Arial"/>
          <w:color w:val="2C2F36"/>
          <w:sz w:val="20"/>
          <w:szCs w:val="20"/>
        </w:rPr>
        <w:t xml:space="preserve">Where the visitor has scrolled from a specific service section, the pre-filled message names that service.</w:t>
      </w:r>
    </w:p>
    <w:p>
      <w:pPr>
        <w:pStyle w:val="ListParagraph"/>
        <w:numPr>
          <w:ilvl w:val="0"/>
          <w:numId w:val="2"/>
        </w:numPr>
        <w:spacing w:after="60" w:before="40" w:line="264"/>
      </w:pPr>
      <w:r>
        <w:rPr>
          <w:rFonts w:ascii="Arial" w:cs="Arial" w:eastAsia="Arial" w:hAnsi="Arial"/>
          <w:color w:val="2C2F36"/>
          <w:sz w:val="20"/>
          <w:szCs w:val="20"/>
        </w:rPr>
        <w:t xml:space="preserve">WhatsApp launches must be tracked as a conversion event equivalent in weight to a form submission.</w:t>
      </w:r>
    </w:p>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7. Language and Localisation Requirements</w:t>
      </w:r>
    </w:p>
    <w:p>
      <w:pPr>
        <w:pStyle w:val="Heading2"/>
        <w:spacing w:after="120" w:before="260"/>
      </w:pPr>
      <w:r>
        <w:rPr>
          <w:rFonts w:ascii="Arial" w:cs="Arial" w:eastAsia="Arial" w:hAnsi="Arial"/>
          <w:b/>
          <w:bCs/>
          <w:color w:val="0A2A5E"/>
          <w:sz w:val="24"/>
          <w:szCs w:val="24"/>
        </w:rPr>
        <w:t xml:space="preserve">7.1 Supported Languages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000"/>
        <w:gridCol w:w="1600"/>
        <w:gridCol w:w="5400"/>
      </w:tblGrid>
      <w:tr>
        <w:trPr>
          <w:tblHeader/>
        </w:trPr>
        <w:tc>
          <w:tcPr>
            <w:tcW w:type="dxa" w:w="20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Language</w:t>
            </w:r>
          </w:p>
        </w:tc>
        <w:tc>
          <w:tcPr>
            <w:tcW w:type="dxa" w:w="16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Code</w:t>
            </w:r>
          </w:p>
        </w:tc>
        <w:tc>
          <w:tcPr>
            <w:tcW w:type="dxa" w:w="54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Role</w:t>
            </w:r>
          </w:p>
        </w:tc>
      </w:tr>
      <w:tr>
        <w:tc>
          <w:tcPr>
            <w:tcW w:type="dxa" w:w="20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Ukrainian</w:t>
            </w:r>
          </w:p>
        </w:tc>
        <w:tc>
          <w:tcPr>
            <w:tcW w:type="dxa" w:w="1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uk</w:t>
            </w:r>
          </w:p>
        </w:tc>
        <w:tc>
          <w:tcPr>
            <w:tcW w:type="dxa" w:w="5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Primary segment; must read as native Ukrainian, not adapted Russian</w:t>
            </w:r>
          </w:p>
        </w:tc>
      </w:tr>
      <w:tr>
        <w:tc>
          <w:tcPr>
            <w:tcW w:type="dxa" w:w="20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Russian</w:t>
            </w:r>
          </w:p>
        </w:tc>
        <w:tc>
          <w:tcPr>
            <w:tcW w:type="dxa" w:w="1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ru</w:t>
            </w:r>
          </w:p>
        </w:tc>
        <w:tc>
          <w:tcPr>
            <w:tcW w:type="dxa" w:w="5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Largest expected traffic share at launch across multiple nationalities</w:t>
            </w:r>
          </w:p>
        </w:tc>
      </w:tr>
      <w:tr>
        <w:tc>
          <w:tcPr>
            <w:tcW w:type="dxa" w:w="20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Spanish</w:t>
            </w:r>
          </w:p>
        </w:tc>
        <w:tc>
          <w:tcPr>
            <w:tcW w:type="dxa" w:w="1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es</w:t>
            </w:r>
          </w:p>
        </w:tc>
        <w:tc>
          <w:tcPr>
            <w:tcW w:type="dxa" w:w="54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Default for visitors located in Spain; required for partner and referrer credibility</w:t>
            </w:r>
          </w:p>
        </w:tc>
      </w:tr>
      <w:tr>
        <w:tc>
          <w:tcPr>
            <w:tcW w:type="dxa" w:w="20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English</w:t>
            </w:r>
          </w:p>
        </w:tc>
        <w:tc>
          <w:tcPr>
            <w:tcW w:type="dxa" w:w="1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en</w:t>
            </w:r>
          </w:p>
        </w:tc>
        <w:tc>
          <w:tcPr>
            <w:tcW w:type="dxa" w:w="54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International segment and the canonical source for all translation work</w:t>
            </w:r>
          </w:p>
        </w:tc>
      </w:tr>
    </w:tbl>
    <w:p>
      <w:pPr>
        <w:pStyle w:val="Heading2"/>
        <w:spacing w:after="120" w:before="260"/>
      </w:pPr>
      <w:r>
        <w:rPr>
          <w:rFonts w:ascii="Arial" w:cs="Arial" w:eastAsia="Arial" w:hAnsi="Arial"/>
          <w:b/>
          <w:bCs/>
          <w:color w:val="0A2A5E"/>
          <w:sz w:val="24"/>
          <w:szCs w:val="24"/>
        </w:rPr>
        <w:t xml:space="preserve">7.2 Language Selection Behaviour</w:t>
      </w:r>
    </w:p>
    <w:p>
      <w:pPr>
        <w:pStyle w:val="ListParagraph"/>
        <w:numPr>
          <w:ilvl w:val="0"/>
          <w:numId w:val="2"/>
        </w:numPr>
        <w:spacing w:after="60" w:before="40" w:line="264"/>
      </w:pPr>
      <w:r>
        <w:rPr>
          <w:rFonts w:ascii="Arial" w:cs="Arial" w:eastAsia="Arial" w:hAnsi="Arial"/>
          <w:color w:val="2C2F36"/>
          <w:sz w:val="20"/>
          <w:szCs w:val="20"/>
        </w:rPr>
        <w:t xml:space="preserve">Visitors identified as being in Spain are served the Spanish edition by default.</w:t>
      </w:r>
    </w:p>
    <w:p>
      <w:pPr>
        <w:pStyle w:val="ListParagraph"/>
        <w:numPr>
          <w:ilvl w:val="0"/>
          <w:numId w:val="2"/>
        </w:numPr>
        <w:spacing w:after="60" w:before="40" w:line="264"/>
      </w:pPr>
      <w:r>
        <w:rPr>
          <w:rFonts w:ascii="Arial" w:cs="Arial" w:eastAsia="Arial" w:hAnsi="Arial"/>
          <w:color w:val="2C2F36"/>
          <w:sz w:val="20"/>
          <w:szCs w:val="20"/>
        </w:rPr>
        <w:t xml:space="preserve">All other visitors are served the edition matching their browser language preference, where supported.</w:t>
      </w:r>
    </w:p>
    <w:p>
      <w:pPr>
        <w:pStyle w:val="ListParagraph"/>
        <w:numPr>
          <w:ilvl w:val="0"/>
          <w:numId w:val="2"/>
        </w:numPr>
        <w:spacing w:after="60" w:before="40" w:line="264"/>
      </w:pPr>
      <w:r>
        <w:rPr>
          <w:rFonts w:ascii="Arial" w:cs="Arial" w:eastAsia="Arial" w:hAnsi="Arial"/>
          <w:color w:val="2C2F36"/>
          <w:sz w:val="20"/>
          <w:szCs w:val="20"/>
        </w:rPr>
        <w:t xml:space="preserve">Where no match is available, English is served as the fallback.</w:t>
      </w:r>
    </w:p>
    <w:p>
      <w:pPr>
        <w:pStyle w:val="ListParagraph"/>
        <w:numPr>
          <w:ilvl w:val="0"/>
          <w:numId w:val="2"/>
        </w:numPr>
        <w:spacing w:after="60" w:before="40" w:line="264"/>
      </w:pPr>
      <w:r>
        <w:rPr>
          <w:rFonts w:ascii="Arial" w:cs="Arial" w:eastAsia="Arial" w:hAnsi="Arial"/>
          <w:color w:val="2C2F36"/>
          <w:sz w:val="20"/>
          <w:szCs w:val="20"/>
        </w:rPr>
        <w:t xml:space="preserve">A manual language switcher is available in the header at all times and must be reachable without scrolling.</w:t>
      </w:r>
    </w:p>
    <w:p>
      <w:pPr>
        <w:pStyle w:val="ListParagraph"/>
        <w:numPr>
          <w:ilvl w:val="0"/>
          <w:numId w:val="2"/>
        </w:numPr>
        <w:spacing w:after="60" w:before="40" w:line="264"/>
      </w:pPr>
      <w:r>
        <w:rPr>
          <w:rFonts w:ascii="Arial" w:cs="Arial" w:eastAsia="Arial" w:hAnsi="Arial"/>
          <w:color w:val="2C2F36"/>
          <w:sz w:val="20"/>
          <w:szCs w:val="20"/>
        </w:rPr>
        <w:t xml:space="preserve">A manual selection overrides automatic detection and persists for the duration of the visit and on return.</w:t>
      </w:r>
    </w:p>
    <w:p>
      <w:pPr>
        <w:pStyle w:val="ListParagraph"/>
        <w:numPr>
          <w:ilvl w:val="0"/>
          <w:numId w:val="2"/>
        </w:numPr>
        <w:spacing w:after="60" w:before="40" w:line="264"/>
      </w:pPr>
      <w:r>
        <w:rPr>
          <w:rFonts w:ascii="Arial" w:cs="Arial" w:eastAsia="Arial" w:hAnsi="Arial"/>
          <w:color w:val="2C2F36"/>
          <w:sz w:val="20"/>
          <w:szCs w:val="20"/>
        </w:rPr>
        <w:t xml:space="preserve">Automatic redirection must never prevent access to another language; detection sets the default, it does not lock the choice.</w:t>
      </w:r>
    </w:p>
    <w:p>
      <w:pPr>
        <w:pStyle w:val="Heading2"/>
        <w:spacing w:after="120" w:before="260"/>
      </w:pPr>
      <w:r>
        <w:rPr>
          <w:rFonts w:ascii="Arial" w:cs="Arial" w:eastAsia="Arial" w:hAnsi="Arial"/>
          <w:b/>
          <w:bCs/>
          <w:color w:val="0A2A5E"/>
          <w:sz w:val="24"/>
          <w:szCs w:val="24"/>
        </w:rPr>
        <w:t xml:space="preserve">7.3 Translation Quality Standard</w:t>
      </w:r>
    </w:p>
    <w:p>
      <w:pPr>
        <w:spacing w:after="120" w:before="60" w:line="276"/>
        <w:jc w:val="left"/>
      </w:pPr>
      <w:r>
        <w:rPr>
          <w:rFonts w:ascii="Arial" w:cs="Arial" w:eastAsia="Arial" w:hAnsi="Arial"/>
          <w:b w:val="false"/>
          <w:bCs w:val="false"/>
          <w:i w:val="false"/>
          <w:iCs w:val="false"/>
          <w:color w:val="2C2F36"/>
          <w:sz w:val="20"/>
          <w:szCs w:val="20"/>
        </w:rPr>
        <w:t xml:space="preserve">Machine translation is not acceptable for published copy. English is the canonical source; all other editions are professionally translated and reviewed by a native speaker. Every language edition must be complete at launch — a partially translated site does more damage to credibility than a single-language site, because it signals abandonment.</w:t>
      </w:r>
    </w:p>
    <w:p>
      <w:pPr>
        <w:pStyle w:val="ListParagraph"/>
        <w:numPr>
          <w:ilvl w:val="0"/>
          <w:numId w:val="2"/>
        </w:numPr>
        <w:spacing w:after="60" w:before="40" w:line="264"/>
      </w:pPr>
      <w:r>
        <w:rPr>
          <w:rFonts w:ascii="Arial" w:cs="Arial" w:eastAsia="Arial" w:hAnsi="Arial"/>
          <w:color w:val="2C2F36"/>
          <w:sz w:val="20"/>
          <w:szCs w:val="20"/>
        </w:rPr>
        <w:t xml:space="preserve">All interface elements, form labels, validation messages, error states, and automated emails are translated, not only body copy.</w:t>
      </w:r>
    </w:p>
    <w:p>
      <w:pPr>
        <w:pStyle w:val="ListParagraph"/>
        <w:numPr>
          <w:ilvl w:val="0"/>
          <w:numId w:val="2"/>
        </w:numPr>
        <w:spacing w:after="60" w:before="40" w:line="264"/>
      </w:pPr>
      <w:r>
        <w:rPr>
          <w:rFonts w:ascii="Arial" w:cs="Arial" w:eastAsia="Arial" w:hAnsi="Arial"/>
          <w:color w:val="2C2F36"/>
          <w:sz w:val="20"/>
          <w:szCs w:val="20"/>
        </w:rPr>
        <w:t xml:space="preserve">Legal and immigration terminology is verified against the terms actually used by Spanish authorities.</w:t>
      </w:r>
    </w:p>
    <w:p>
      <w:pPr>
        <w:pStyle w:val="ListParagraph"/>
        <w:numPr>
          <w:ilvl w:val="0"/>
          <w:numId w:val="2"/>
        </w:numPr>
        <w:spacing w:after="60" w:before="40" w:line="264"/>
      </w:pPr>
      <w:r>
        <w:rPr>
          <w:rFonts w:ascii="Arial" w:cs="Arial" w:eastAsia="Arial" w:hAnsi="Arial"/>
          <w:color w:val="2C2F36"/>
          <w:sz w:val="20"/>
          <w:szCs w:val="20"/>
        </w:rPr>
        <w:t xml:space="preserve">Layout must tolerate text expansion; Russian and Ukrainian typically run twenty to thirty per cent longer than English, and headline components must not break.</w:t>
      </w:r>
    </w:p>
    <w:p>
      <w:pPr>
        <w:pStyle w:val="ListParagraph"/>
        <w:numPr>
          <w:ilvl w:val="0"/>
          <w:numId w:val="2"/>
        </w:numPr>
        <w:spacing w:after="60" w:before="40" w:line="264"/>
      </w:pPr>
      <w:r>
        <w:rPr>
          <w:rFonts w:ascii="Arial" w:cs="Arial" w:eastAsia="Arial" w:hAnsi="Arial"/>
          <w:color w:val="2C2F36"/>
          <w:sz w:val="20"/>
          <w:szCs w:val="20"/>
        </w:rPr>
        <w:t xml:space="preserve">Each language edition carries its own metadata, page title, and description — these are not translated as an afterthought but written for search intent in that language.</w:t>
      </w:r>
    </w:p>
    <w:p>
      <w:pPr>
        <w:pStyle w:val="Heading2"/>
        <w:spacing w:after="120" w:before="260"/>
      </w:pPr>
      <w:r>
        <w:rPr>
          <w:rFonts w:ascii="Arial" w:cs="Arial" w:eastAsia="Arial" w:hAnsi="Arial"/>
          <w:b/>
          <w:bCs/>
          <w:color w:val="0A2A5E"/>
          <w:sz w:val="24"/>
          <w:szCs w:val="24"/>
        </w:rPr>
        <w:t xml:space="preserve">7.4 Technical Localisation</w:t>
      </w:r>
    </w:p>
    <w:p>
      <w:pPr>
        <w:pStyle w:val="ListParagraph"/>
        <w:numPr>
          <w:ilvl w:val="0"/>
          <w:numId w:val="2"/>
        </w:numPr>
        <w:spacing w:after="60" w:before="40" w:line="264"/>
      </w:pPr>
      <w:r>
        <w:rPr>
          <w:rFonts w:ascii="Arial" w:cs="Arial" w:eastAsia="Arial" w:hAnsi="Arial"/>
          <w:color w:val="2C2F36"/>
          <w:sz w:val="20"/>
          <w:szCs w:val="20"/>
        </w:rPr>
        <w:t xml:space="preserve">Each language is served at a distinct, indexable URL path, for example /en/, /uk/, /ru/, /es/.</w:t>
      </w:r>
    </w:p>
    <w:p>
      <w:pPr>
        <w:pStyle w:val="ListParagraph"/>
        <w:numPr>
          <w:ilvl w:val="0"/>
          <w:numId w:val="2"/>
        </w:numPr>
        <w:spacing w:after="60" w:before="40" w:line="264"/>
      </w:pPr>
      <w:r>
        <w:rPr>
          <w:rFonts w:ascii="Arial" w:cs="Arial" w:eastAsia="Arial" w:hAnsi="Arial"/>
          <w:color w:val="2C2F36"/>
          <w:sz w:val="20"/>
          <w:szCs w:val="20"/>
        </w:rPr>
        <w:t xml:space="preserve">Reciprocal hreflang annotations are declared across all four editions, with an x-default declaration.</w:t>
      </w:r>
    </w:p>
    <w:p>
      <w:pPr>
        <w:pStyle w:val="ListParagraph"/>
        <w:numPr>
          <w:ilvl w:val="0"/>
          <w:numId w:val="2"/>
        </w:numPr>
        <w:spacing w:after="60" w:before="40" w:line="264"/>
      </w:pPr>
      <w:r>
        <w:rPr>
          <w:rFonts w:ascii="Arial" w:cs="Arial" w:eastAsia="Arial" w:hAnsi="Arial"/>
          <w:color w:val="2C2F36"/>
          <w:sz w:val="20"/>
          <w:szCs w:val="20"/>
        </w:rPr>
        <w:t xml:space="preserve">Cyrillic character rendering is verified across all target browsers and both mobile platforms.</w:t>
      </w:r>
    </w:p>
    <w:p>
      <w:pPr>
        <w:pStyle w:val="ListParagraph"/>
        <w:numPr>
          <w:ilvl w:val="0"/>
          <w:numId w:val="2"/>
        </w:numPr>
        <w:spacing w:after="60" w:before="40" w:line="264"/>
      </w:pPr>
      <w:r>
        <w:rPr>
          <w:rFonts w:ascii="Arial" w:cs="Arial" w:eastAsia="Arial" w:hAnsi="Arial"/>
          <w:color w:val="2C2F36"/>
          <w:sz w:val="20"/>
          <w:szCs w:val="20"/>
        </w:rPr>
        <w:t xml:space="preserve">Telephone number formats, date formats, and address conventions follow the conventions of each locale.</w:t>
      </w:r>
    </w:p>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8. Design and Brand Direction</w:t>
      </w:r>
    </w:p>
    <w:p>
      <w:pPr>
        <w:pStyle w:val="Heading2"/>
        <w:spacing w:after="120" w:before="260"/>
      </w:pPr>
      <w:r>
        <w:rPr>
          <w:rFonts w:ascii="Arial" w:cs="Arial" w:eastAsia="Arial" w:hAnsi="Arial"/>
          <w:b/>
          <w:bCs/>
          <w:color w:val="0A2A5E"/>
          <w:sz w:val="24"/>
          <w:szCs w:val="24"/>
        </w:rPr>
        <w:t xml:space="preserve">8.1 Visual Principles</w:t>
      </w:r>
    </w:p>
    <w:p>
      <w:pPr>
        <w:spacing w:after="120" w:before="60" w:line="276"/>
        <w:jc w:val="left"/>
      </w:pPr>
      <w:r>
        <w:rPr>
          <w:rFonts w:ascii="Arial" w:cs="Arial" w:eastAsia="Arial" w:hAnsi="Arial"/>
          <w:b w:val="false"/>
          <w:bCs w:val="false"/>
          <w:i w:val="false"/>
          <w:iCs w:val="false"/>
          <w:color w:val="2C2F36"/>
          <w:sz w:val="20"/>
          <w:szCs w:val="20"/>
        </w:rPr>
        <w:t xml:space="preserve">The stated direction is minimalism with a premium character. In practice this means restraint: generous whitespace, a small type scale, few colours used with discipline, and no decorative elements that do not carry information. The visual language must convey that SRH handles high-value legal and financial matters competently.</w:t>
      </w:r>
    </w:p>
    <w:p>
      <w:pPr>
        <w:pStyle w:val="Heading2"/>
        <w:spacing w:after="120" w:before="260"/>
      </w:pPr>
      <w:r>
        <w:rPr>
          <w:rFonts w:ascii="Arial" w:cs="Arial" w:eastAsia="Arial" w:hAnsi="Arial"/>
          <w:b/>
          <w:bCs/>
          <w:color w:val="0A2A5E"/>
          <w:sz w:val="24"/>
          <w:szCs w:val="24"/>
        </w:rPr>
        <w:t xml:space="preserve">8.2 Colour Palette</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500"/>
        <w:gridCol w:w="1700"/>
        <w:gridCol w:w="4800"/>
      </w:tblGrid>
      <w:tr>
        <w:trPr>
          <w:tblHeader/>
        </w:trPr>
        <w:tc>
          <w:tcPr>
            <w:tcW w:type="dxa" w:w="25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Role</w:t>
            </w:r>
          </w:p>
        </w:tc>
        <w:tc>
          <w:tcPr>
            <w:tcW w:type="dxa" w:w="17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Reference</w:t>
            </w:r>
          </w:p>
        </w:tc>
        <w:tc>
          <w:tcPr>
            <w:tcW w:type="dxa" w:w="48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Application</w:t>
            </w:r>
          </w:p>
        </w:tc>
      </w:tr>
      <w:tr>
        <w:tc>
          <w:tcPr>
            <w:tcW w:type="dxa" w:w="2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Deep navy</w:t>
            </w:r>
          </w:p>
        </w:tc>
        <w:tc>
          <w:tcPr>
            <w:tcW w:type="dxa" w:w="17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#0A2A5E</w:t>
            </w:r>
          </w:p>
        </w:tc>
        <w:tc>
          <w:tcPr>
            <w:tcW w:type="dxa" w:w="48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Headings, primary text on light backgrounds, dark section fills — drawn from the logo</w:t>
            </w:r>
          </w:p>
        </w:tc>
      </w:tr>
      <w:tr>
        <w:tc>
          <w:tcPr>
            <w:tcW w:type="dxa" w:w="25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Gold</w:t>
            </w:r>
          </w:p>
        </w:tc>
        <w:tc>
          <w:tcPr>
            <w:tcW w:type="dxa" w:w="17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#C9A227</w:t>
            </w:r>
          </w:p>
        </w:tc>
        <w:tc>
          <w:tcPr>
            <w:tcW w:type="dxa" w:w="48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Accents, dividers, primary call-to-action treatment, iconography — drawn from the logo</w:t>
            </w:r>
          </w:p>
        </w:tc>
      </w:tr>
      <w:tr>
        <w:tc>
          <w:tcPr>
            <w:tcW w:type="dxa" w:w="2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White</w:t>
            </w:r>
          </w:p>
        </w:tc>
        <w:tc>
          <w:tcPr>
            <w:tcW w:type="dxa" w:w="17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#FFFFFF</w:t>
            </w:r>
          </w:p>
        </w:tc>
        <w:tc>
          <w:tcPr>
            <w:tcW w:type="dxa" w:w="48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Dominant background; the majority of the page surface</w:t>
            </w:r>
          </w:p>
        </w:tc>
      </w:tr>
      <w:tr>
        <w:tc>
          <w:tcPr>
            <w:tcW w:type="dxa" w:w="25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Black / graphite</w:t>
            </w:r>
          </w:p>
        </w:tc>
        <w:tc>
          <w:tcPr>
            <w:tcW w:type="dxa" w:w="17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#2C2F36</w:t>
            </w:r>
          </w:p>
        </w:tc>
        <w:tc>
          <w:tcPr>
            <w:tcW w:type="dxa" w:w="48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Body copy and secondary text</w:t>
            </w:r>
          </w:p>
        </w:tc>
      </w:tr>
      <w:tr>
        <w:tc>
          <w:tcPr>
            <w:tcW w:type="dxa" w:w="2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Light neutral</w:t>
            </w:r>
          </w:p>
        </w:tc>
        <w:tc>
          <w:tcPr>
            <w:tcW w:type="dxa" w:w="17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#F4F5F7</w:t>
            </w:r>
          </w:p>
        </w:tc>
        <w:tc>
          <w:tcPr>
            <w:tcW w:type="dxa" w:w="48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Alternating section backgrounds to create rhythm without adding colour</w:t>
            </w:r>
          </w:p>
        </w:tc>
      </w:tr>
    </w:tbl>
    <w:p>
      <w:pPr>
        <w:spacing w:after="120" w:before="60" w:line="276"/>
        <w:jc w:val="left"/>
      </w:pPr>
      <w:r>
        <w:rPr>
          <w:rFonts w:ascii="Arial" w:cs="Arial" w:eastAsia="Arial" w:hAnsi="Arial"/>
          <w:b w:val="false"/>
          <w:bCs w:val="false"/>
          <w:i/>
          <w:iCs/>
          <w:color w:val="2C2F36"/>
          <w:sz w:val="20"/>
          <w:szCs w:val="20"/>
        </w:rPr>
        <w:t xml:space="preserve">Gold must be used sparingly. Applied broadly it reads as inexpensive rather than premium; confined to accents and calls to action it reads as considered.</w:t>
      </w:r>
    </w:p>
    <w:p>
      <w:pPr>
        <w:pStyle w:val="Heading2"/>
        <w:spacing w:after="120" w:before="260"/>
      </w:pPr>
      <w:r>
        <w:rPr>
          <w:rFonts w:ascii="Arial" w:cs="Arial" w:eastAsia="Arial" w:hAnsi="Arial"/>
          <w:b/>
          <w:bCs/>
          <w:color w:val="0A2A5E"/>
          <w:sz w:val="24"/>
          <w:szCs w:val="24"/>
        </w:rPr>
        <w:t xml:space="preserve">8.3 Typography</w:t>
      </w:r>
    </w:p>
    <w:p>
      <w:pPr>
        <w:pStyle w:val="ListParagraph"/>
        <w:numPr>
          <w:ilvl w:val="0"/>
          <w:numId w:val="2"/>
        </w:numPr>
        <w:spacing w:after="60" w:before="40" w:line="264"/>
      </w:pPr>
      <w:r>
        <w:rPr>
          <w:rFonts w:ascii="Arial" w:cs="Arial" w:eastAsia="Arial" w:hAnsi="Arial"/>
          <w:color w:val="2C2F36"/>
          <w:sz w:val="20"/>
          <w:szCs w:val="20"/>
        </w:rPr>
        <w:t xml:space="preserve">A modern, restrained sans-serif with full Cyrillic and extended Latin coverage — this is a hard constraint given the language set, and eliminates many otherwise suitable typefaces.</w:t>
      </w:r>
    </w:p>
    <w:p>
      <w:pPr>
        <w:pStyle w:val="ListParagraph"/>
        <w:numPr>
          <w:ilvl w:val="0"/>
          <w:numId w:val="2"/>
        </w:numPr>
        <w:spacing w:after="60" w:before="40" w:line="264"/>
      </w:pPr>
      <w:r>
        <w:rPr>
          <w:rFonts w:ascii="Arial" w:cs="Arial" w:eastAsia="Arial" w:hAnsi="Arial"/>
          <w:color w:val="2C2F36"/>
          <w:sz w:val="20"/>
          <w:szCs w:val="20"/>
        </w:rPr>
        <w:t xml:space="preserve">A maximum of two typefaces, or a single family used across two weights.</w:t>
      </w:r>
    </w:p>
    <w:p>
      <w:pPr>
        <w:pStyle w:val="ListParagraph"/>
        <w:numPr>
          <w:ilvl w:val="0"/>
          <w:numId w:val="2"/>
        </w:numPr>
        <w:spacing w:after="60" w:before="40" w:line="264"/>
      </w:pPr>
      <w:r>
        <w:rPr>
          <w:rFonts w:ascii="Arial" w:cs="Arial" w:eastAsia="Arial" w:hAnsi="Arial"/>
          <w:color w:val="2C2F36"/>
          <w:sz w:val="20"/>
          <w:szCs w:val="20"/>
        </w:rPr>
        <w:t xml:space="preserve">Body text no smaller than sixteen pixels on mobile.</w:t>
      </w:r>
    </w:p>
    <w:p>
      <w:pPr>
        <w:pStyle w:val="ListParagraph"/>
        <w:numPr>
          <w:ilvl w:val="0"/>
          <w:numId w:val="2"/>
        </w:numPr>
        <w:spacing w:after="60" w:before="40" w:line="264"/>
      </w:pPr>
      <w:r>
        <w:rPr>
          <w:rFonts w:ascii="Arial" w:cs="Arial" w:eastAsia="Arial" w:hAnsi="Arial"/>
          <w:color w:val="2C2F36"/>
          <w:sz w:val="20"/>
          <w:szCs w:val="20"/>
        </w:rPr>
        <w:t xml:space="preserve">Line length constrained to a comfortable measure; full-width paragraphs on desktop are not acceptable.</w:t>
      </w:r>
    </w:p>
    <w:p>
      <w:pPr>
        <w:pStyle w:val="Heading2"/>
        <w:spacing w:after="120" w:before="260"/>
      </w:pPr>
      <w:r>
        <w:rPr>
          <w:rFonts w:ascii="Arial" w:cs="Arial" w:eastAsia="Arial" w:hAnsi="Arial"/>
          <w:b/>
          <w:bCs/>
          <w:color w:val="0A2A5E"/>
          <w:sz w:val="24"/>
          <w:szCs w:val="24"/>
        </w:rPr>
        <w:t xml:space="preserve">8.4 Layout and Interaction</w:t>
      </w:r>
    </w:p>
    <w:p>
      <w:pPr>
        <w:pStyle w:val="ListParagraph"/>
        <w:numPr>
          <w:ilvl w:val="0"/>
          <w:numId w:val="2"/>
        </w:numPr>
        <w:spacing w:after="60" w:before="40" w:line="264"/>
      </w:pPr>
      <w:r>
        <w:rPr>
          <w:rFonts w:ascii="Arial" w:cs="Arial" w:eastAsia="Arial" w:hAnsi="Arial"/>
          <w:color w:val="2C2F36"/>
          <w:sz w:val="20"/>
          <w:szCs w:val="20"/>
        </w:rPr>
        <w:t xml:space="preserve">Mobile-first. The majority of traffic from the target segments arrives on mobile devices, frequently from social and messaging applications.</w:t>
      </w:r>
    </w:p>
    <w:p>
      <w:pPr>
        <w:pStyle w:val="ListParagraph"/>
        <w:numPr>
          <w:ilvl w:val="0"/>
          <w:numId w:val="2"/>
        </w:numPr>
        <w:spacing w:after="60" w:before="40" w:line="264"/>
      </w:pPr>
      <w:r>
        <w:rPr>
          <w:rFonts w:ascii="Arial" w:cs="Arial" w:eastAsia="Arial" w:hAnsi="Arial"/>
          <w:color w:val="2C2F36"/>
          <w:sz w:val="20"/>
          <w:szCs w:val="20"/>
        </w:rPr>
        <w:t xml:space="preserve">Anchor navigation in a sticky header, with a hamburger pattern on mobile.</w:t>
      </w:r>
    </w:p>
    <w:p>
      <w:pPr>
        <w:pStyle w:val="ListParagraph"/>
        <w:numPr>
          <w:ilvl w:val="0"/>
          <w:numId w:val="2"/>
        </w:numPr>
        <w:spacing w:after="60" w:before="40" w:line="264"/>
      </w:pPr>
      <w:r>
        <w:rPr>
          <w:rFonts w:ascii="Arial" w:cs="Arial" w:eastAsia="Arial" w:hAnsi="Arial"/>
          <w:color w:val="2C2F36"/>
          <w:sz w:val="20"/>
          <w:szCs w:val="20"/>
        </w:rPr>
        <w:t xml:space="preserve">A call-to-action button in every service section, as specified in the brief.</w:t>
      </w:r>
    </w:p>
    <w:p>
      <w:pPr>
        <w:pStyle w:val="ListParagraph"/>
        <w:numPr>
          <w:ilvl w:val="0"/>
          <w:numId w:val="2"/>
        </w:numPr>
        <w:spacing w:after="60" w:before="40" w:line="264"/>
      </w:pPr>
      <w:r>
        <w:rPr>
          <w:rFonts w:ascii="Arial" w:cs="Arial" w:eastAsia="Arial" w:hAnsi="Arial"/>
          <w:color w:val="2C2F36"/>
          <w:sz w:val="20"/>
          <w:szCs w:val="20"/>
        </w:rPr>
        <w:t xml:space="preserve">Alternating light and neutral section backgrounds to establish visual rhythm.</w:t>
      </w:r>
    </w:p>
    <w:p>
      <w:pPr>
        <w:pStyle w:val="ListParagraph"/>
        <w:numPr>
          <w:ilvl w:val="0"/>
          <w:numId w:val="2"/>
        </w:numPr>
        <w:spacing w:after="60" w:before="40" w:line="264"/>
      </w:pPr>
      <w:r>
        <w:rPr>
          <w:rFonts w:ascii="Arial" w:cs="Arial" w:eastAsia="Arial" w:hAnsi="Arial"/>
          <w:color w:val="2C2F36"/>
          <w:sz w:val="20"/>
          <w:szCs w:val="20"/>
        </w:rPr>
        <w:t xml:space="preserve">Motion limited to subtle entrance transitions; no parallax, no automatic carousels.</w:t>
      </w:r>
    </w:p>
    <w:p>
      <w:pPr>
        <w:pStyle w:val="ListParagraph"/>
        <w:numPr>
          <w:ilvl w:val="0"/>
          <w:numId w:val="2"/>
        </w:numPr>
        <w:spacing w:after="60" w:before="40" w:line="264"/>
      </w:pPr>
      <w:r>
        <w:rPr>
          <w:rFonts w:ascii="Arial" w:cs="Arial" w:eastAsia="Arial" w:hAnsi="Arial"/>
          <w:color w:val="2C2F36"/>
          <w:sz w:val="20"/>
          <w:szCs w:val="20"/>
        </w:rPr>
        <w:t xml:space="preserve">All imagery must be authentic to Spain and consistent in treatment; generic stock imagery undermines the credibility the site is built to establish.</w:t>
      </w:r>
    </w:p>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9. Technical Requirements</w:t>
      </w:r>
    </w:p>
    <w:p>
      <w:pPr>
        <w:pStyle w:val="Heading2"/>
        <w:spacing w:after="120" w:before="260"/>
      </w:pPr>
      <w:r>
        <w:rPr>
          <w:rFonts w:ascii="Arial" w:cs="Arial" w:eastAsia="Arial" w:hAnsi="Arial"/>
          <w:b/>
          <w:bCs/>
          <w:color w:val="0A2A5E"/>
          <w:sz w:val="24"/>
          <w:szCs w:val="24"/>
        </w:rPr>
        <w:t xml:space="preserve">9.1 Functional Technical Requirements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500"/>
        <w:gridCol w:w="3200"/>
        <w:gridCol w:w="4300"/>
      </w:tblGrid>
      <w:tr>
        <w:trPr>
          <w:tblHeader/>
        </w:trPr>
        <w:tc>
          <w:tcPr>
            <w:tcW w:type="dxa" w:w="15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ID</w:t>
            </w:r>
          </w:p>
        </w:tc>
        <w:tc>
          <w:tcPr>
            <w:tcW w:type="dxa" w:w="32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Requirement</w:t>
            </w:r>
          </w:p>
        </w:tc>
        <w:tc>
          <w:tcPr>
            <w:tcW w:type="dxa" w:w="43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Acceptance Criterion</w:t>
            </w:r>
          </w:p>
        </w:tc>
      </w:tr>
      <w:tr>
        <w:tc>
          <w:tcPr>
            <w:tcW w:type="dxa" w:w="1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TR-01</w:t>
            </w:r>
          </w:p>
        </w:tc>
        <w:tc>
          <w:tcPr>
            <w:tcW w:type="dxa" w:w="3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Responsive design</w:t>
            </w:r>
          </w:p>
        </w:tc>
        <w:tc>
          <w:tcPr>
            <w:tcW w:type="dxa" w:w="4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Renders correctly from 320 px to 2560 px with no horizontal scroll and no overlapping elements</w:t>
            </w:r>
          </w:p>
        </w:tc>
      </w:tr>
      <w:tr>
        <w:tc>
          <w:tcPr>
            <w:tcW w:type="dxa" w:w="15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TR-02</w:t>
            </w:r>
          </w:p>
        </w:tc>
        <w:tc>
          <w:tcPr>
            <w:tcW w:type="dxa" w:w="3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Performance</w:t>
            </w:r>
          </w:p>
        </w:tc>
        <w:tc>
          <w:tcPr>
            <w:tcW w:type="dxa" w:w="43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Google PageSpeed Insights score of 85 or above on mobile and desktop, in every language edition</w:t>
            </w:r>
          </w:p>
        </w:tc>
      </w:tr>
      <w:tr>
        <w:tc>
          <w:tcPr>
            <w:tcW w:type="dxa" w:w="1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TR-03</w:t>
            </w:r>
          </w:p>
        </w:tc>
        <w:tc>
          <w:tcPr>
            <w:tcW w:type="dxa" w:w="3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Search optimisation</w:t>
            </w:r>
          </w:p>
        </w:tc>
        <w:tc>
          <w:tcPr>
            <w:tcW w:type="dxa" w:w="4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Per-language metadata, semantic heading structure, structured data, XML sitemap, and robots directives</w:t>
            </w:r>
          </w:p>
        </w:tc>
      </w:tr>
      <w:tr>
        <w:tc>
          <w:tcPr>
            <w:tcW w:type="dxa" w:w="15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TR-04</w:t>
            </w:r>
          </w:p>
        </w:tc>
        <w:tc>
          <w:tcPr>
            <w:tcW w:type="dxa" w:w="3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Enquiry form</w:t>
            </w:r>
          </w:p>
        </w:tc>
        <w:tc>
          <w:tcPr>
            <w:tcW w:type="dxa" w:w="43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Validated, spam-protected, delivering to both email and a structured store, with localised confirmation</w:t>
            </w:r>
          </w:p>
        </w:tc>
      </w:tr>
      <w:tr>
        <w:tc>
          <w:tcPr>
            <w:tcW w:type="dxa" w:w="1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TR-05</w:t>
            </w:r>
          </w:p>
        </w:tc>
        <w:tc>
          <w:tcPr>
            <w:tcW w:type="dxa" w:w="3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WhatsApp integration</w:t>
            </w:r>
          </w:p>
        </w:tc>
        <w:tc>
          <w:tcPr>
            <w:tcW w:type="dxa" w:w="4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Persistent action with language-aware pre-filled message and conversion tracking</w:t>
            </w:r>
          </w:p>
        </w:tc>
      </w:tr>
      <w:tr>
        <w:tc>
          <w:tcPr>
            <w:tcW w:type="dxa" w:w="15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TR-06</w:t>
            </w:r>
          </w:p>
        </w:tc>
        <w:tc>
          <w:tcPr>
            <w:tcW w:type="dxa" w:w="3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Content management</w:t>
            </w:r>
          </w:p>
        </w:tc>
        <w:tc>
          <w:tcPr>
            <w:tcW w:type="dxa" w:w="43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All copy, service items, and FAQ entries editable per language by a non-technical administrator</w:t>
            </w:r>
          </w:p>
        </w:tc>
      </w:tr>
      <w:tr>
        <w:tc>
          <w:tcPr>
            <w:tcW w:type="dxa" w:w="1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TR-07</w:t>
            </w:r>
          </w:p>
        </w:tc>
        <w:tc>
          <w:tcPr>
            <w:tcW w:type="dxa" w:w="3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Locale detection</w:t>
            </w:r>
          </w:p>
        </w:tc>
        <w:tc>
          <w:tcPr>
            <w:tcW w:type="dxa" w:w="4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Geographic and browser-based default selection with a persistent manual override</w:t>
            </w:r>
          </w:p>
        </w:tc>
      </w:tr>
      <w:tr>
        <w:tc>
          <w:tcPr>
            <w:tcW w:type="dxa" w:w="15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TR-08</w:t>
            </w:r>
          </w:p>
        </w:tc>
        <w:tc>
          <w:tcPr>
            <w:tcW w:type="dxa" w:w="3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Analytics</w:t>
            </w:r>
          </w:p>
        </w:tc>
        <w:tc>
          <w:tcPr>
            <w:tcW w:type="dxa" w:w="43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Traffic, engagement, and conversion measurable by language, by device, and by service interest</w:t>
            </w:r>
          </w:p>
        </w:tc>
      </w:tr>
      <w:tr>
        <w:tc>
          <w:tcPr>
            <w:tcW w:type="dxa" w:w="1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TR-09</w:t>
            </w:r>
          </w:p>
        </w:tc>
        <w:tc>
          <w:tcPr>
            <w:tcW w:type="dxa" w:w="3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Consent management</w:t>
            </w:r>
          </w:p>
        </w:tc>
        <w:tc>
          <w:tcPr>
            <w:tcW w:type="dxa" w:w="4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Cookie banner with granular consent; no non-essential scripts execute before consent is given</w:t>
            </w:r>
          </w:p>
        </w:tc>
      </w:tr>
      <w:tr>
        <w:tc>
          <w:tcPr>
            <w:tcW w:type="dxa" w:w="15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TR-10</w:t>
            </w:r>
          </w:p>
        </w:tc>
        <w:tc>
          <w:tcPr>
            <w:tcW w:type="dxa" w:w="3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Secure transport</w:t>
            </w:r>
          </w:p>
        </w:tc>
        <w:tc>
          <w:tcPr>
            <w:tcW w:type="dxa" w:w="43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HTTPS enforced across all paths with automated certificate renewal</w:t>
            </w:r>
          </w:p>
        </w:tc>
      </w:tr>
    </w:tbl>
    <w:p>
      <w:pPr>
        <w:pStyle w:val="Heading2"/>
        <w:spacing w:after="120" w:before="260"/>
      </w:pPr>
      <w:r>
        <w:rPr>
          <w:rFonts w:ascii="Arial" w:cs="Arial" w:eastAsia="Arial" w:hAnsi="Arial"/>
          <w:b/>
          <w:bCs/>
          <w:color w:val="0A2A5E"/>
          <w:sz w:val="24"/>
          <w:szCs w:val="24"/>
        </w:rPr>
        <w:t xml:space="preserve">9.2 Content Management</w:t>
      </w:r>
    </w:p>
    <w:p>
      <w:pPr>
        <w:spacing w:after="120" w:before="60" w:line="276"/>
        <w:jc w:val="left"/>
      </w:pPr>
      <w:r>
        <w:rPr>
          <w:rFonts w:ascii="Arial" w:cs="Arial" w:eastAsia="Arial" w:hAnsi="Arial"/>
          <w:b w:val="false"/>
          <w:bCs w:val="false"/>
          <w:i w:val="false"/>
          <w:iCs w:val="false"/>
          <w:color w:val="2C2F36"/>
          <w:sz w:val="20"/>
          <w:szCs w:val="20"/>
        </w:rPr>
        <w:t xml:space="preserve">The administrative interface must be usable by a non-technical operator working in Russian or Ukrainian. It must allow, at minimum:</w:t>
      </w:r>
    </w:p>
    <w:p>
      <w:pPr>
        <w:pStyle w:val="ListParagraph"/>
        <w:numPr>
          <w:ilvl w:val="0"/>
          <w:numId w:val="2"/>
        </w:numPr>
        <w:spacing w:after="60" w:before="40" w:line="264"/>
      </w:pPr>
      <w:r>
        <w:rPr>
          <w:rFonts w:ascii="Arial" w:cs="Arial" w:eastAsia="Arial" w:hAnsi="Arial"/>
          <w:color w:val="2C2F36"/>
          <w:sz w:val="20"/>
          <w:szCs w:val="20"/>
        </w:rPr>
        <w:t xml:space="preserve">Editing of all headings, body copy, and service list items in each of the four languages.</w:t>
      </w:r>
    </w:p>
    <w:p>
      <w:pPr>
        <w:pStyle w:val="ListParagraph"/>
        <w:numPr>
          <w:ilvl w:val="0"/>
          <w:numId w:val="2"/>
        </w:numPr>
        <w:spacing w:after="60" w:before="40" w:line="264"/>
      </w:pPr>
      <w:r>
        <w:rPr>
          <w:rFonts w:ascii="Arial" w:cs="Arial" w:eastAsia="Arial" w:hAnsi="Arial"/>
          <w:color w:val="2C2F36"/>
          <w:sz w:val="20"/>
          <w:szCs w:val="20"/>
        </w:rPr>
        <w:t xml:space="preserve">Creation, editing, reordering, and removal of FAQ entries per language.</w:t>
      </w:r>
    </w:p>
    <w:p>
      <w:pPr>
        <w:pStyle w:val="ListParagraph"/>
        <w:numPr>
          <w:ilvl w:val="0"/>
          <w:numId w:val="2"/>
        </w:numPr>
        <w:spacing w:after="60" w:before="40" w:line="264"/>
      </w:pPr>
      <w:r>
        <w:rPr>
          <w:rFonts w:ascii="Arial" w:cs="Arial" w:eastAsia="Arial" w:hAnsi="Arial"/>
          <w:color w:val="2C2F36"/>
          <w:sz w:val="20"/>
          <w:szCs w:val="20"/>
        </w:rPr>
        <w:t xml:space="preserve">Replacement of images and updating of contact details and social links.</w:t>
      </w:r>
    </w:p>
    <w:p>
      <w:pPr>
        <w:pStyle w:val="ListParagraph"/>
        <w:numPr>
          <w:ilvl w:val="0"/>
          <w:numId w:val="2"/>
        </w:numPr>
        <w:spacing w:after="60" w:before="40" w:line="264"/>
      </w:pPr>
      <w:r>
        <w:rPr>
          <w:rFonts w:ascii="Arial" w:cs="Arial" w:eastAsia="Arial" w:hAnsi="Arial"/>
          <w:color w:val="2C2F36"/>
          <w:sz w:val="20"/>
          <w:szCs w:val="20"/>
        </w:rPr>
        <w:t xml:space="preserve">Viewing and exporting of enquiry submissions.</w:t>
      </w:r>
    </w:p>
    <w:p>
      <w:pPr>
        <w:pStyle w:val="ListParagraph"/>
        <w:numPr>
          <w:ilvl w:val="0"/>
          <w:numId w:val="2"/>
        </w:numPr>
        <w:spacing w:after="60" w:before="40" w:line="264"/>
      </w:pPr>
      <w:r>
        <w:rPr>
          <w:rFonts w:ascii="Arial" w:cs="Arial" w:eastAsia="Arial" w:hAnsi="Arial"/>
          <w:color w:val="2C2F36"/>
          <w:sz w:val="20"/>
          <w:szCs w:val="20"/>
        </w:rPr>
        <w:t xml:space="preserve">Side-by-side visibility of which fields are still untranslated in each language, so that gaps are obvious.</w:t>
      </w:r>
    </w:p>
    <w:p>
      <w:pPr>
        <w:pStyle w:val="Heading2"/>
        <w:spacing w:after="120" w:before="260"/>
      </w:pPr>
      <w:r>
        <w:rPr>
          <w:rFonts w:ascii="Arial" w:cs="Arial" w:eastAsia="Arial" w:hAnsi="Arial"/>
          <w:b/>
          <w:bCs/>
          <w:color w:val="0A2A5E"/>
          <w:sz w:val="24"/>
          <w:szCs w:val="24"/>
        </w:rPr>
        <w:t xml:space="preserve">9.3 Non-Functional Requirements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500"/>
        <w:gridCol w:w="3200"/>
        <w:gridCol w:w="4300"/>
      </w:tblGrid>
      <w:tr>
        <w:trPr>
          <w:tblHeader/>
        </w:trPr>
        <w:tc>
          <w:tcPr>
            <w:tcW w:type="dxa" w:w="15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ID</w:t>
            </w:r>
          </w:p>
        </w:tc>
        <w:tc>
          <w:tcPr>
            <w:tcW w:type="dxa" w:w="32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Category</w:t>
            </w:r>
          </w:p>
        </w:tc>
        <w:tc>
          <w:tcPr>
            <w:tcW w:type="dxa" w:w="43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Requirement</w:t>
            </w:r>
          </w:p>
        </w:tc>
      </w:tr>
      <w:tr>
        <w:tc>
          <w:tcPr>
            <w:tcW w:type="dxa" w:w="1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NFR-01</w:t>
            </w:r>
          </w:p>
        </w:tc>
        <w:tc>
          <w:tcPr>
            <w:tcW w:type="dxa" w:w="3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Availability</w:t>
            </w:r>
          </w:p>
        </w:tc>
        <w:tc>
          <w:tcPr>
            <w:tcW w:type="dxa" w:w="4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Minimum 99.5% monthly uptime</w:t>
            </w:r>
          </w:p>
        </w:tc>
      </w:tr>
      <w:tr>
        <w:tc>
          <w:tcPr>
            <w:tcW w:type="dxa" w:w="15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NFR-02</w:t>
            </w:r>
          </w:p>
        </w:tc>
        <w:tc>
          <w:tcPr>
            <w:tcW w:type="dxa" w:w="3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Page load</w:t>
            </w:r>
          </w:p>
        </w:tc>
        <w:tc>
          <w:tcPr>
            <w:tcW w:type="dxa" w:w="43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Largest Contentful Paint under 2.5 seconds on a 4G mobile connection</w:t>
            </w:r>
          </w:p>
        </w:tc>
      </w:tr>
      <w:tr>
        <w:tc>
          <w:tcPr>
            <w:tcW w:type="dxa" w:w="1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NFR-03</w:t>
            </w:r>
          </w:p>
        </w:tc>
        <w:tc>
          <w:tcPr>
            <w:tcW w:type="dxa" w:w="3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Browser support</w:t>
            </w:r>
          </w:p>
        </w:tc>
        <w:tc>
          <w:tcPr>
            <w:tcW w:type="dxa" w:w="4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Current and previous major versions of Chrome, Safari, Firefox, and Edge</w:t>
            </w:r>
          </w:p>
        </w:tc>
      </w:tr>
      <w:tr>
        <w:tc>
          <w:tcPr>
            <w:tcW w:type="dxa" w:w="15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NFR-04</w:t>
            </w:r>
          </w:p>
        </w:tc>
        <w:tc>
          <w:tcPr>
            <w:tcW w:type="dxa" w:w="3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Mobile platforms</w:t>
            </w:r>
          </w:p>
        </w:tc>
        <w:tc>
          <w:tcPr>
            <w:tcW w:type="dxa" w:w="43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iOS Safari and Android Chrome, current and previous major versions</w:t>
            </w:r>
          </w:p>
        </w:tc>
      </w:tr>
      <w:tr>
        <w:tc>
          <w:tcPr>
            <w:tcW w:type="dxa" w:w="1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NFR-05</w:t>
            </w:r>
          </w:p>
        </w:tc>
        <w:tc>
          <w:tcPr>
            <w:tcW w:type="dxa" w:w="3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Accessibility</w:t>
            </w:r>
          </w:p>
        </w:tc>
        <w:tc>
          <w:tcPr>
            <w:tcW w:type="dxa" w:w="4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WCAG 2.1 Level AA as the target standard, with colour contrast and keyboard navigation as mandatory minimums</w:t>
            </w:r>
          </w:p>
        </w:tc>
      </w:tr>
      <w:tr>
        <w:tc>
          <w:tcPr>
            <w:tcW w:type="dxa" w:w="15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NFR-06</w:t>
            </w:r>
          </w:p>
        </w:tc>
        <w:tc>
          <w:tcPr>
            <w:tcW w:type="dxa" w:w="3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Data protection</w:t>
            </w:r>
          </w:p>
        </w:tc>
        <w:tc>
          <w:tcPr>
            <w:tcW w:type="dxa" w:w="43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Enquiry data encrypted in transit and at rest; access limited to authorised SRH personnel</w:t>
            </w:r>
          </w:p>
        </w:tc>
      </w:tr>
      <w:tr>
        <w:tc>
          <w:tcPr>
            <w:tcW w:type="dxa" w:w="1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NFR-07</w:t>
            </w:r>
          </w:p>
        </w:tc>
        <w:tc>
          <w:tcPr>
            <w:tcW w:type="dxa" w:w="3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Backup</w:t>
            </w:r>
          </w:p>
        </w:tc>
        <w:tc>
          <w:tcPr>
            <w:tcW w:type="dxa" w:w="43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Automated daily backup of content and submissions with a documented restore procedure</w:t>
            </w:r>
          </w:p>
        </w:tc>
      </w:tr>
      <w:tr>
        <w:tc>
          <w:tcPr>
            <w:tcW w:type="dxa" w:w="15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NFR-08</w:t>
            </w:r>
          </w:p>
        </w:tc>
        <w:tc>
          <w:tcPr>
            <w:tcW w:type="dxa" w:w="3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Scalability</w:t>
            </w:r>
          </w:p>
        </w:tc>
        <w:tc>
          <w:tcPr>
            <w:tcW w:type="dxa" w:w="43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Handles traffic spikes from social media referral without degradation</w:t>
            </w:r>
          </w:p>
        </w:tc>
      </w:tr>
    </w:tbl>
    <w:p>
      <w:pPr>
        <w:pStyle w:val="Heading2"/>
        <w:spacing w:after="120" w:before="260"/>
      </w:pPr>
      <w:r>
        <w:rPr>
          <w:rFonts w:ascii="Arial" w:cs="Arial" w:eastAsia="Arial" w:hAnsi="Arial"/>
          <w:b/>
          <w:bCs/>
          <w:color w:val="0A2A5E"/>
          <w:sz w:val="24"/>
          <w:szCs w:val="24"/>
        </w:rPr>
        <w:t xml:space="preserve">9.4 Legal and Compliance</w:t>
      </w:r>
    </w:p>
    <w:p>
      <w:pPr>
        <w:spacing w:after="120" w:before="60" w:line="276"/>
        <w:jc w:val="left"/>
      </w:pPr>
      <w:r>
        <w:rPr>
          <w:rFonts w:ascii="Arial" w:cs="Arial" w:eastAsia="Arial" w:hAnsi="Arial"/>
          <w:b w:val="false"/>
          <w:bCs w:val="false"/>
          <w:i w:val="false"/>
          <w:iCs w:val="false"/>
          <w:color w:val="2C2F36"/>
          <w:sz w:val="20"/>
          <w:szCs w:val="20"/>
        </w:rPr>
        <w:t xml:space="preserve">SRH collects personal data from EU residents and operates in Spain. The following are not optional and must be delivered as part of Phase 1:</w:t>
      </w:r>
    </w:p>
    <w:p>
      <w:pPr>
        <w:pStyle w:val="ListParagraph"/>
        <w:numPr>
          <w:ilvl w:val="0"/>
          <w:numId w:val="2"/>
        </w:numPr>
        <w:spacing w:after="60" w:before="40" w:line="264"/>
      </w:pPr>
      <w:r>
        <w:rPr>
          <w:rFonts w:ascii="Arial" w:cs="Arial" w:eastAsia="Arial" w:hAnsi="Arial"/>
          <w:color w:val="2C2F36"/>
          <w:sz w:val="20"/>
          <w:szCs w:val="20"/>
        </w:rPr>
        <w:t xml:space="preserve">A privacy notice published in all four languages, identifying the data controller, the lawful basis for processing, retention periods, and data subject rights.</w:t>
      </w:r>
    </w:p>
    <w:p>
      <w:pPr>
        <w:pStyle w:val="ListParagraph"/>
        <w:numPr>
          <w:ilvl w:val="0"/>
          <w:numId w:val="2"/>
        </w:numPr>
        <w:spacing w:after="60" w:before="40" w:line="264"/>
      </w:pPr>
      <w:r>
        <w:rPr>
          <w:rFonts w:ascii="Arial" w:cs="Arial" w:eastAsia="Arial" w:hAnsi="Arial"/>
          <w:color w:val="2C2F36"/>
          <w:sz w:val="20"/>
          <w:szCs w:val="20"/>
        </w:rPr>
        <w:t xml:space="preserve">A cookie policy and a consent mechanism satisfying both GDPR and Spanish LOPDGDD requirements, with granular opt-in and no pre-ticked boxes.</w:t>
      </w:r>
    </w:p>
    <w:p>
      <w:pPr>
        <w:pStyle w:val="ListParagraph"/>
        <w:numPr>
          <w:ilvl w:val="0"/>
          <w:numId w:val="2"/>
        </w:numPr>
        <w:spacing w:after="60" w:before="40" w:line="264"/>
      </w:pPr>
      <w:r>
        <w:rPr>
          <w:rFonts w:ascii="Arial" w:cs="Arial" w:eastAsia="Arial" w:hAnsi="Arial"/>
          <w:color w:val="2C2F36"/>
          <w:sz w:val="20"/>
          <w:szCs w:val="20"/>
        </w:rPr>
        <w:t xml:space="preserve">Explicit, separately actioned consent on the enquiry form, with the consent record stored alongside the submission.</w:t>
      </w:r>
    </w:p>
    <w:p>
      <w:pPr>
        <w:pStyle w:val="ListParagraph"/>
        <w:numPr>
          <w:ilvl w:val="0"/>
          <w:numId w:val="2"/>
        </w:numPr>
        <w:spacing w:after="60" w:before="40" w:line="264"/>
      </w:pPr>
      <w:r>
        <w:rPr>
          <w:rFonts w:ascii="Arial" w:cs="Arial" w:eastAsia="Arial" w:hAnsi="Arial"/>
          <w:color w:val="2C2F36"/>
          <w:sz w:val="20"/>
          <w:szCs w:val="20"/>
        </w:rPr>
        <w:t xml:space="preserve">A defined retention period for enquiry data and a documented procedure for erasure requests.</w:t>
      </w:r>
    </w:p>
    <w:p>
      <w:pPr>
        <w:pStyle w:val="ListParagraph"/>
        <w:numPr>
          <w:ilvl w:val="0"/>
          <w:numId w:val="2"/>
        </w:numPr>
        <w:spacing w:after="60" w:before="40" w:line="264"/>
      </w:pPr>
      <w:r>
        <w:rPr>
          <w:rFonts w:ascii="Arial" w:cs="Arial" w:eastAsia="Arial" w:hAnsi="Arial"/>
          <w:color w:val="2C2F36"/>
          <w:sz w:val="20"/>
          <w:szCs w:val="20"/>
        </w:rPr>
        <w:t xml:space="preserve">Legal notice and company identification details as required of commercial websites operating in Spain.</w:t>
      </w:r>
    </w:p>
    <w:p>
      <w:pPr>
        <w:spacing w:after="120" w:before="60" w:line="276"/>
        <w:jc w:val="left"/>
      </w:pPr>
      <w:r>
        <w:rPr>
          <w:rFonts w:ascii="Arial" w:cs="Arial" w:eastAsia="Arial" w:hAnsi="Arial"/>
          <w:b w:val="false"/>
          <w:bCs w:val="false"/>
          <w:i/>
          <w:iCs/>
          <w:color w:val="2C2F36"/>
          <w:sz w:val="20"/>
          <w:szCs w:val="20"/>
        </w:rPr>
        <w:t xml:space="preserve">If any enquiry data is processed or stored outside the European Economic Area, the transfer mechanism must be documented before launch.</w:t>
      </w:r>
    </w:p>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10. Success Criteria</w:t>
      </w:r>
    </w:p>
    <w:p>
      <w:pPr>
        <w:pStyle w:val="Heading2"/>
        <w:spacing w:after="120" w:before="260"/>
      </w:pPr>
      <w:r>
        <w:rPr>
          <w:rFonts w:ascii="Arial" w:cs="Arial" w:eastAsia="Arial" w:hAnsi="Arial"/>
          <w:b/>
          <w:bCs/>
          <w:color w:val="0A2A5E"/>
          <w:sz w:val="24"/>
          <w:szCs w:val="24"/>
        </w:rPr>
        <w:t xml:space="preserve">10.1 Launch Acceptance</w:t>
      </w:r>
    </w:p>
    <w:p>
      <w:pPr>
        <w:spacing w:after="120" w:before="60" w:line="276"/>
        <w:jc w:val="left"/>
      </w:pPr>
      <w:r>
        <w:rPr>
          <w:rFonts w:ascii="Arial" w:cs="Arial" w:eastAsia="Arial" w:hAnsi="Arial"/>
          <w:b w:val="false"/>
          <w:bCs w:val="false"/>
          <w:i w:val="false"/>
          <w:iCs w:val="false"/>
          <w:color w:val="2C2F36"/>
          <w:sz w:val="20"/>
          <w:szCs w:val="20"/>
        </w:rPr>
        <w:t xml:space="preserve">Phase 1 is accepted when all of the following hold:</w:t>
      </w:r>
    </w:p>
    <w:p>
      <w:pPr>
        <w:pStyle w:val="ListParagraph"/>
        <w:numPr>
          <w:ilvl w:val="0"/>
          <w:numId w:val="2"/>
        </w:numPr>
        <w:spacing w:after="60" w:before="40" w:line="264"/>
      </w:pPr>
      <w:r>
        <w:rPr>
          <w:rFonts w:ascii="Arial" w:cs="Arial" w:eastAsia="Arial" w:hAnsi="Arial"/>
          <w:color w:val="2C2F36"/>
          <w:sz w:val="20"/>
          <w:szCs w:val="20"/>
        </w:rPr>
        <w:t xml:space="preserve">All eleven sections are live, complete, and fully translated in all four languages.</w:t>
      </w:r>
    </w:p>
    <w:p>
      <w:pPr>
        <w:pStyle w:val="ListParagraph"/>
        <w:numPr>
          <w:ilvl w:val="0"/>
          <w:numId w:val="2"/>
        </w:numPr>
        <w:spacing w:after="60" w:before="40" w:line="264"/>
      </w:pPr>
      <w:r>
        <w:rPr>
          <w:rFonts w:ascii="Arial" w:cs="Arial" w:eastAsia="Arial" w:hAnsi="Arial"/>
          <w:color w:val="2C2F36"/>
          <w:sz w:val="20"/>
          <w:szCs w:val="20"/>
        </w:rPr>
        <w:t xml:space="preserve">PageSpeed Insights returns 85 or above on mobile and desktop for every language edition.</w:t>
      </w:r>
    </w:p>
    <w:p>
      <w:pPr>
        <w:pStyle w:val="ListParagraph"/>
        <w:numPr>
          <w:ilvl w:val="0"/>
          <w:numId w:val="2"/>
        </w:numPr>
        <w:spacing w:after="60" w:before="40" w:line="264"/>
      </w:pPr>
      <w:r>
        <w:rPr>
          <w:rFonts w:ascii="Arial" w:cs="Arial" w:eastAsia="Arial" w:hAnsi="Arial"/>
          <w:color w:val="2C2F36"/>
          <w:sz w:val="20"/>
          <w:szCs w:val="20"/>
        </w:rPr>
        <w:t xml:space="preserve">The enquiry form has been tested end to end in all four languages, with confirmed delivery and correct localisation of confirmations.</w:t>
      </w:r>
    </w:p>
    <w:p>
      <w:pPr>
        <w:pStyle w:val="ListParagraph"/>
        <w:numPr>
          <w:ilvl w:val="0"/>
          <w:numId w:val="2"/>
        </w:numPr>
        <w:spacing w:after="60" w:before="40" w:line="264"/>
      </w:pPr>
      <w:r>
        <w:rPr>
          <w:rFonts w:ascii="Arial" w:cs="Arial" w:eastAsia="Arial" w:hAnsi="Arial"/>
          <w:color w:val="2C2F36"/>
          <w:sz w:val="20"/>
          <w:szCs w:val="20"/>
        </w:rPr>
        <w:t xml:space="preserve">WhatsApp integration functions correctly on iOS, Android, and desktop.</w:t>
      </w:r>
    </w:p>
    <w:p>
      <w:pPr>
        <w:pStyle w:val="ListParagraph"/>
        <w:numPr>
          <w:ilvl w:val="0"/>
          <w:numId w:val="2"/>
        </w:numPr>
        <w:spacing w:after="60" w:before="40" w:line="264"/>
      </w:pPr>
      <w:r>
        <w:rPr>
          <w:rFonts w:ascii="Arial" w:cs="Arial" w:eastAsia="Arial" w:hAnsi="Arial"/>
          <w:color w:val="2C2F36"/>
          <w:sz w:val="20"/>
          <w:szCs w:val="20"/>
        </w:rPr>
        <w:t xml:space="preserve">Locale detection and manual override behave as specified.</w:t>
      </w:r>
    </w:p>
    <w:p>
      <w:pPr>
        <w:pStyle w:val="ListParagraph"/>
        <w:numPr>
          <w:ilvl w:val="0"/>
          <w:numId w:val="2"/>
        </w:numPr>
        <w:spacing w:after="60" w:before="40" w:line="264"/>
      </w:pPr>
      <w:r>
        <w:rPr>
          <w:rFonts w:ascii="Arial" w:cs="Arial" w:eastAsia="Arial" w:hAnsi="Arial"/>
          <w:color w:val="2C2F36"/>
          <w:sz w:val="20"/>
          <w:szCs w:val="20"/>
        </w:rPr>
        <w:t xml:space="preserve">The CMS has been demonstrated to SRH staff, who have successfully completed a content edit unaided.</w:t>
      </w:r>
    </w:p>
    <w:p>
      <w:pPr>
        <w:pStyle w:val="ListParagraph"/>
        <w:numPr>
          <w:ilvl w:val="0"/>
          <w:numId w:val="2"/>
        </w:numPr>
        <w:spacing w:after="60" w:before="40" w:line="264"/>
      </w:pPr>
      <w:r>
        <w:rPr>
          <w:rFonts w:ascii="Arial" w:cs="Arial" w:eastAsia="Arial" w:hAnsi="Arial"/>
          <w:color w:val="2C2F36"/>
          <w:sz w:val="20"/>
          <w:szCs w:val="20"/>
        </w:rPr>
        <w:t xml:space="preserve">Privacy, cookie, and legal notices are published in all four languages.</w:t>
      </w:r>
    </w:p>
    <w:p>
      <w:pPr>
        <w:pStyle w:val="ListParagraph"/>
        <w:numPr>
          <w:ilvl w:val="0"/>
          <w:numId w:val="2"/>
        </w:numPr>
        <w:spacing w:after="60" w:before="40" w:line="264"/>
      </w:pPr>
      <w:r>
        <w:rPr>
          <w:rFonts w:ascii="Arial" w:cs="Arial" w:eastAsia="Arial" w:hAnsi="Arial"/>
          <w:color w:val="2C2F36"/>
          <w:sz w:val="20"/>
          <w:szCs w:val="20"/>
        </w:rPr>
        <w:t xml:space="preserve">Analytics is confirmed to be recording sessions and both conversion event types.</w:t>
      </w:r>
    </w:p>
    <w:p>
      <w:pPr>
        <w:pStyle w:val="Heading2"/>
        <w:spacing w:after="120" w:before="260"/>
      </w:pPr>
      <w:r>
        <w:rPr>
          <w:rFonts w:ascii="Arial" w:cs="Arial" w:eastAsia="Arial" w:hAnsi="Arial"/>
          <w:b/>
          <w:bCs/>
          <w:color w:val="0A2A5E"/>
          <w:sz w:val="24"/>
          <w:szCs w:val="24"/>
        </w:rPr>
        <w:t xml:space="preserve">10.2 Operating Metrics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600"/>
        <w:gridCol w:w="2200"/>
        <w:gridCol w:w="4200"/>
      </w:tblGrid>
      <w:tr>
        <w:trPr>
          <w:tblHeader/>
        </w:trPr>
        <w:tc>
          <w:tcPr>
            <w:tcW w:type="dxa" w:w="26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Metric</w:t>
            </w:r>
          </w:p>
        </w:tc>
        <w:tc>
          <w:tcPr>
            <w:tcW w:type="dxa" w:w="22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Target</w:t>
            </w:r>
          </w:p>
        </w:tc>
        <w:tc>
          <w:tcPr>
            <w:tcW w:type="dxa" w:w="42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Interpretation</w:t>
            </w:r>
          </w:p>
        </w:tc>
      </w:tr>
      <w:tr>
        <w:tc>
          <w:tcPr>
            <w:tcW w:type="dxa" w:w="2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Visitor-to-enquiry conversion</w:t>
            </w:r>
          </w:p>
        </w:tc>
        <w:tc>
          <w:tcPr>
            <w:tcW w:type="dxa" w:w="2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3–5%</w:t>
            </w:r>
          </w:p>
        </w:tc>
        <w:tc>
          <w:tcPr>
            <w:tcW w:type="dxa" w:w="4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Standard range for a well-executed service landing page; below 2% indicates a message or trust problem</w:t>
            </w:r>
          </w:p>
        </w:tc>
      </w:tr>
      <w:tr>
        <w:tc>
          <w:tcPr>
            <w:tcW w:type="dxa" w:w="2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Qualified leads per month</w:t>
            </w:r>
          </w:p>
        </w:tc>
        <w:tc>
          <w:tcPr>
            <w:tcW w:type="dxa" w:w="2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Baseline set in month one</w:t>
            </w:r>
          </w:p>
        </w:tc>
        <w:tc>
          <w:tcPr>
            <w:tcW w:type="dxa" w:w="4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The primary commercial measure of the product</w:t>
            </w:r>
          </w:p>
        </w:tc>
      </w:tr>
      <w:tr>
        <w:tc>
          <w:tcPr>
            <w:tcW w:type="dxa" w:w="2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Step 2 completion rate</w:t>
            </w:r>
          </w:p>
        </w:tc>
        <w:tc>
          <w:tcPr>
            <w:tcW w:type="dxa" w:w="2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Above 50%</w:t>
            </w:r>
          </w:p>
        </w:tc>
        <w:tc>
          <w:tcPr>
            <w:tcW w:type="dxa" w:w="4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Indicates whether the qualification questions are acceptable to clients</w:t>
            </w:r>
          </w:p>
        </w:tc>
      </w:tr>
      <w:tr>
        <w:tc>
          <w:tcPr>
            <w:tcW w:type="dxa" w:w="2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WhatsApp conversion share</w:t>
            </w:r>
          </w:p>
        </w:tc>
        <w:tc>
          <w:tcPr>
            <w:tcW w:type="dxa" w:w="2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Tracked, not targeted</w:t>
            </w:r>
          </w:p>
        </w:tc>
        <w:tc>
          <w:tcPr>
            <w:tcW w:type="dxa" w:w="4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Expected to be high in Ukrainian and Russian segments; informs future channel investment</w:t>
            </w:r>
          </w:p>
        </w:tc>
      </w:tr>
      <w:tr>
        <w:tc>
          <w:tcPr>
            <w:tcW w:type="dxa" w:w="2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Mobile bounce rate</w:t>
            </w:r>
          </w:p>
        </w:tc>
        <w:tc>
          <w:tcPr>
            <w:tcW w:type="dxa" w:w="2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Below 55%</w:t>
            </w:r>
          </w:p>
        </w:tc>
        <w:tc>
          <w:tcPr>
            <w:tcW w:type="dxa" w:w="4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Above this level, the hero section is failing its five-second test</w:t>
            </w:r>
          </w:p>
        </w:tc>
      </w:tr>
      <w:tr>
        <w:tc>
          <w:tcPr>
            <w:tcW w:type="dxa" w:w="2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Conversion by language</w:t>
            </w:r>
          </w:p>
        </w:tc>
        <w:tc>
          <w:tcPr>
            <w:tcW w:type="dxa" w:w="2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Compared across editions</w:t>
            </w:r>
          </w:p>
        </w:tc>
        <w:tc>
          <w:tcPr>
            <w:tcW w:type="dxa" w:w="42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 materially weaker edition usually indicates a translation quality problem, not a demand problem</w:t>
            </w:r>
          </w:p>
        </w:tc>
      </w:tr>
      <w:tr>
        <w:tc>
          <w:tcPr>
            <w:tcW w:type="dxa" w:w="2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Organic traffic growth</w:t>
            </w:r>
          </w:p>
        </w:tc>
        <w:tc>
          <w:tcPr>
            <w:tcW w:type="dxa" w:w="2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Measured from month two</w:t>
            </w:r>
          </w:p>
        </w:tc>
        <w:tc>
          <w:tcPr>
            <w:tcW w:type="dxa" w:w="42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Validates the SEO and FAQ investment</w:t>
            </w:r>
          </w:p>
        </w:tc>
      </w:tr>
    </w:tbl>
    <w:p>
      <w:pPr>
        <w:pStyle w:val="Heading1"/>
        <w:pBdr>
          <w:bottom w:val="single" w:color="C9A227" w:sz="12" w:space="6"/>
        </w:pBdr>
        <w:spacing w:after="160" w:before="360"/>
      </w:pPr>
      <w:r>
        <w:rPr>
          <w:rFonts w:ascii="Arial" w:cs="Arial" w:eastAsia="Arial" w:hAnsi="Arial"/>
          <w:b/>
          <w:bCs/>
          <w:color w:val="0A2A5E"/>
          <w:sz w:val="30"/>
          <w:szCs w:val="30"/>
        </w:rPr>
        <w:t xml:space="preserve">11. Roadmap</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500"/>
        <w:gridCol w:w="2600"/>
        <w:gridCol w:w="4900"/>
      </w:tblGrid>
      <w:tr>
        <w:trPr>
          <w:tblHeader/>
        </w:trPr>
        <w:tc>
          <w:tcPr>
            <w:tcW w:type="dxa" w:w="15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Phase</w:t>
            </w:r>
          </w:p>
        </w:tc>
        <w:tc>
          <w:tcPr>
            <w:tcW w:type="dxa" w:w="26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Scope</w:t>
            </w:r>
          </w:p>
        </w:tc>
        <w:tc>
          <w:tcPr>
            <w:tcW w:type="dxa" w:w="49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Trigger to Proceed</w:t>
            </w:r>
          </w:p>
        </w:tc>
      </w:tr>
      <w:tr>
        <w:tc>
          <w:tcPr>
            <w:tcW w:type="dxa" w:w="1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Phase 1</w:t>
            </w:r>
          </w:p>
        </w:tc>
        <w:tc>
          <w:tcPr>
            <w:tcW w:type="dxa" w:w="2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Multilingual landing page and lead capture, as defined in this document</w:t>
            </w:r>
          </w:p>
        </w:tc>
        <w:tc>
          <w:tcPr>
            <w:tcW w:type="dxa" w:w="49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Current — immediate delivery</w:t>
            </w:r>
          </w:p>
        </w:tc>
      </w:tr>
      <w:tr>
        <w:tc>
          <w:tcPr>
            <w:tcW w:type="dxa" w:w="15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Phase 1.5</w:t>
            </w:r>
          </w:p>
        </w:tc>
        <w:tc>
          <w:tcPr>
            <w:tcW w:type="dxa" w:w="2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Dedicated service sub-pages for Residency and Business Relocation; a content and case-study section</w:t>
            </w:r>
          </w:p>
        </w:tc>
        <w:tc>
          <w:tcPr>
            <w:tcW w:type="dxa" w:w="49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Consistent lead flow established and search demand confirmed</w:t>
            </w:r>
          </w:p>
        </w:tc>
      </w:tr>
      <w:tr>
        <w:tc>
          <w:tcPr>
            <w:tcW w:type="dxa" w:w="15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Phase 2</w:t>
            </w:r>
          </w:p>
        </w:tc>
        <w:tc>
          <w:tcPr>
            <w:tcW w:type="dxa" w:w="26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Property listings with search, filtering, saved favourites, and per-listing enquiry routing</w:t>
            </w:r>
          </w:p>
        </w:tc>
        <w:tc>
          <w:tcPr>
            <w:tcW w:type="dxa" w:w="49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Verified property inventory secured and moderation capacity in place</w:t>
            </w:r>
          </w:p>
        </w:tc>
      </w:tr>
      <w:tr>
        <w:tc>
          <w:tcPr>
            <w:tcW w:type="dxa" w:w="15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Phase 3</w:t>
            </w:r>
          </w:p>
        </w:tc>
        <w:tc>
          <w:tcPr>
            <w:tcW w:type="dxa" w:w="26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Transactional layer: productised services with online booking and payment; client case portal</w:t>
            </w:r>
          </w:p>
        </w:tc>
        <w:tc>
          <w:tcPr>
            <w:tcW w:type="dxa" w:w="49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Standardised, fixed-price service packages defined and case volume justifies a portal</w:t>
            </w:r>
          </w:p>
        </w:tc>
      </w:tr>
    </w:tbl>
    <w:p>
      <w:pPr>
        <w:pStyle w:val="Heading1"/>
        <w:pBdr>
          <w:bottom w:val="single" w:color="C9A227" w:sz="12" w:space="6"/>
        </w:pBdr>
        <w:spacing w:after="160" w:before="360"/>
      </w:pPr>
      <w:r>
        <w:rPr>
          <w:rFonts w:ascii="Arial" w:cs="Arial" w:eastAsia="Arial" w:hAnsi="Arial"/>
          <w:b/>
          <w:bCs/>
          <w:color w:val="0A2A5E"/>
          <w:sz w:val="30"/>
          <w:szCs w:val="30"/>
        </w:rPr>
        <w:t xml:space="preserve">12. Assumptions, Risks, and Open Questions</w:t>
      </w:r>
    </w:p>
    <w:p>
      <w:pPr>
        <w:pStyle w:val="Heading2"/>
        <w:spacing w:after="120" w:before="260"/>
      </w:pPr>
      <w:r>
        <w:rPr>
          <w:rFonts w:ascii="Arial" w:cs="Arial" w:eastAsia="Arial" w:hAnsi="Arial"/>
          <w:b/>
          <w:bCs/>
          <w:color w:val="0A2A5E"/>
          <w:sz w:val="24"/>
          <w:szCs w:val="24"/>
        </w:rPr>
        <w:t xml:space="preserve">12.1 Assumptions</w:t>
      </w:r>
    </w:p>
    <w:p>
      <w:pPr>
        <w:pStyle w:val="ListParagraph"/>
        <w:numPr>
          <w:ilvl w:val="0"/>
          <w:numId w:val="2"/>
        </w:numPr>
        <w:spacing w:after="60" w:before="40" w:line="264"/>
      </w:pPr>
      <w:r>
        <w:rPr>
          <w:rFonts w:ascii="Arial" w:cs="Arial" w:eastAsia="Arial" w:hAnsi="Arial"/>
          <w:color w:val="2C2F36"/>
          <w:sz w:val="20"/>
          <w:szCs w:val="20"/>
        </w:rPr>
        <w:t xml:space="preserve">SRH will supply source copy and imagery, or approve copy drafted on its behalf, before development begins.</w:t>
      </w:r>
    </w:p>
    <w:p>
      <w:pPr>
        <w:pStyle w:val="ListParagraph"/>
        <w:numPr>
          <w:ilvl w:val="0"/>
          <w:numId w:val="2"/>
        </w:numPr>
        <w:spacing w:after="60" w:before="40" w:line="264"/>
      </w:pPr>
      <w:r>
        <w:rPr>
          <w:rFonts w:ascii="Arial" w:cs="Arial" w:eastAsia="Arial" w:hAnsi="Arial"/>
          <w:color w:val="2C2F36"/>
          <w:sz w:val="20"/>
          <w:szCs w:val="20"/>
        </w:rPr>
        <w:t xml:space="preserve">The partner network is contracted and able to absorb the lead volume the site is designed to generate.</w:t>
      </w:r>
    </w:p>
    <w:p>
      <w:pPr>
        <w:pStyle w:val="ListParagraph"/>
        <w:numPr>
          <w:ilvl w:val="0"/>
          <w:numId w:val="2"/>
        </w:numPr>
        <w:spacing w:after="60" w:before="40" w:line="264"/>
      </w:pPr>
      <w:r>
        <w:rPr>
          <w:rFonts w:ascii="Arial" w:cs="Arial" w:eastAsia="Arial" w:hAnsi="Arial"/>
          <w:color w:val="2C2F36"/>
          <w:sz w:val="20"/>
          <w:szCs w:val="20"/>
        </w:rPr>
        <w:t xml:space="preserve">A domain and business WhatsApp number are available at project start.</w:t>
      </w:r>
    </w:p>
    <w:p>
      <w:pPr>
        <w:pStyle w:val="ListParagraph"/>
        <w:numPr>
          <w:ilvl w:val="0"/>
          <w:numId w:val="2"/>
        </w:numPr>
        <w:spacing w:after="60" w:before="40" w:line="264"/>
      </w:pPr>
      <w:r>
        <w:rPr>
          <w:rFonts w:ascii="Arial" w:cs="Arial" w:eastAsia="Arial" w:hAnsi="Arial"/>
          <w:color w:val="2C2F36"/>
          <w:sz w:val="20"/>
          <w:szCs w:val="20"/>
        </w:rPr>
        <w:t xml:space="preserve">A named SRH representative is available for content review in each language.</w:t>
      </w:r>
    </w:p>
    <w:p>
      <w:pPr>
        <w:pStyle w:val="Heading2"/>
        <w:spacing w:after="120" w:before="260"/>
      </w:pPr>
      <w:r>
        <w:rPr>
          <w:rFonts w:ascii="Arial" w:cs="Arial" w:eastAsia="Arial" w:hAnsi="Arial"/>
          <w:b/>
          <w:bCs/>
          <w:color w:val="0A2A5E"/>
          <w:sz w:val="24"/>
          <w:szCs w:val="24"/>
        </w:rPr>
        <w:t xml:space="preserve">12.2 Risks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900"/>
        <w:gridCol w:w="3000"/>
        <w:gridCol w:w="3100"/>
      </w:tblGrid>
      <w:tr>
        <w:trPr>
          <w:tblHeader/>
        </w:trPr>
        <w:tc>
          <w:tcPr>
            <w:tcW w:type="dxa" w:w="29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Risk</w:t>
            </w:r>
          </w:p>
        </w:tc>
        <w:tc>
          <w:tcPr>
            <w:tcW w:type="dxa" w:w="30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Impact</w:t>
            </w:r>
          </w:p>
        </w:tc>
        <w:tc>
          <w:tcPr>
            <w:tcW w:type="dxa" w:w="3100"/>
            <w:shd w:fill="0A2A5E" w:color="auto" w:val="clear"/>
            <w:tcMar>
              <w:top w:type="dxa" w:w="90"/>
              <w:left w:type="dxa" w:w="120"/>
              <w:bottom w:type="dxa" w:w="90"/>
              <w:right w:type="dxa" w:w="120"/>
            </w:tcMar>
            <w:vAlign w:val="center"/>
          </w:tcPr>
          <w:p>
            <w:pPr>
              <w:spacing w:after="0" w:before="0" w:line="252"/>
              <w:jc w:val="left"/>
            </w:pPr>
            <w:r>
              <w:rPr>
                <w:rFonts w:ascii="Arial" w:cs="Arial" w:eastAsia="Arial" w:hAnsi="Arial"/>
                <w:b/>
                <w:bCs/>
                <w:color w:val="FFFFFF"/>
                <w:sz w:val="18"/>
                <w:szCs w:val="18"/>
              </w:rPr>
              <w:t xml:space="preserve">Mitigation</w:t>
            </w:r>
          </w:p>
        </w:tc>
      </w:tr>
      <w:tr>
        <w:tc>
          <w:tcPr>
            <w:tcW w:type="dxa" w:w="29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Poor translation quality in one edition</w:t>
            </w:r>
          </w:p>
        </w:tc>
        <w:tc>
          <w:tcPr>
            <w:tcW w:type="dxa" w:w="30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Credibility loss in the segment that edition serves; conversion collapse</w:t>
            </w:r>
          </w:p>
        </w:tc>
        <w:tc>
          <w:tcPr>
            <w:tcW w:type="dxa" w:w="31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Native-speaker review before launch; monitor conversion by language after launch</w:t>
            </w:r>
          </w:p>
        </w:tc>
      </w:tr>
      <w:tr>
        <w:tc>
          <w:tcPr>
            <w:tcW w:type="dxa" w:w="29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Lead volume exceeds capacity to respond</w:t>
            </w:r>
          </w:p>
        </w:tc>
        <w:tc>
          <w:tcPr>
            <w:tcW w:type="dxa" w:w="30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Slow responses destroy the trust the site is built to create</w:t>
            </w:r>
          </w:p>
        </w:tc>
        <w:tc>
          <w:tcPr>
            <w:tcW w:type="dxa" w:w="31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Agree a response-time commitment before launch; the automated acknowledgement must state it honestly</w:t>
            </w:r>
          </w:p>
        </w:tc>
      </w:tr>
      <w:tr>
        <w:tc>
          <w:tcPr>
            <w:tcW w:type="dxa" w:w="29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Content becomes stale as immigration rules change</w:t>
            </w:r>
          </w:p>
        </w:tc>
        <w:tc>
          <w:tcPr>
            <w:tcW w:type="dxa" w:w="30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Inaccurate information carries reputational and potentially legal risk</w:t>
            </w:r>
          </w:p>
        </w:tc>
        <w:tc>
          <w:tcPr>
            <w:tcW w:type="dxa" w:w="31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All regulatory copy is CMS-editable; assign a named owner and a review cadence</w:t>
            </w:r>
          </w:p>
        </w:tc>
      </w:tr>
      <w:tr>
        <w:tc>
          <w:tcPr>
            <w:tcW w:type="dxa" w:w="29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Single-page structure limits search visibility</w:t>
            </w:r>
          </w:p>
        </w:tc>
        <w:tc>
          <w:tcPr>
            <w:tcW w:type="dxa" w:w="30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Weak organic acquisition over time</w:t>
            </w:r>
          </w:p>
        </w:tc>
        <w:tc>
          <w:tcPr>
            <w:tcW w:type="dxa" w:w="3100"/>
            <w:shd w:fill="F4F5F7"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Strong FAQ with structured data at launch; Phase 1.5 sub-pages address it properly</w:t>
            </w:r>
          </w:p>
        </w:tc>
      </w:tr>
      <w:tr>
        <w:tc>
          <w:tcPr>
            <w:tcW w:type="dxa" w:w="29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Photography quality below the premium standard</w:t>
            </w:r>
          </w:p>
        </w:tc>
        <w:tc>
          <w:tcPr>
            <w:tcW w:type="dxa" w:w="30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Undermines positioning more than any copy decision</w:t>
            </w:r>
          </w:p>
        </w:tc>
        <w:tc>
          <w:tcPr>
            <w:tcW w:type="dxa" w:w="3100"/>
            <w:shd w:fill="FFFFFF" w:color="auto" w:val="clear"/>
            <w:tcMar>
              <w:top w:type="dxa" w:w="90"/>
              <w:left w:type="dxa" w:w="120"/>
              <w:bottom w:type="dxa" w:w="90"/>
              <w:right w:type="dxa" w:w="120"/>
            </w:tcMar>
            <w:vAlign w:val="center"/>
          </w:tcPr>
          <w:p>
            <w:pPr>
              <w:spacing w:after="0" w:before="0" w:line="252"/>
              <w:jc w:val="left"/>
            </w:pPr>
            <w:r>
              <w:rPr>
                <w:rFonts w:ascii="Arial" w:cs="Arial" w:eastAsia="Arial" w:hAnsi="Arial"/>
                <w:b w:val="false"/>
                <w:bCs w:val="false"/>
                <w:color w:val="2C2F36"/>
                <w:sz w:val="18"/>
                <w:szCs w:val="18"/>
              </w:rPr>
              <w:t xml:space="preserve">Budget for licensed premium imagery or a commissioned shoot</w:t>
            </w:r>
          </w:p>
        </w:tc>
      </w:tr>
    </w:tbl>
    <w:p>
      <w:pPr>
        <w:pStyle w:val="Heading2"/>
        <w:spacing w:after="120" w:before="260"/>
      </w:pPr>
      <w:r>
        <w:rPr>
          <w:rFonts w:ascii="Arial" w:cs="Arial" w:eastAsia="Arial" w:hAnsi="Arial"/>
          <w:b/>
          <w:bCs/>
          <w:color w:val="0A2A5E"/>
          <w:sz w:val="24"/>
          <w:szCs w:val="24"/>
        </w:rPr>
        <w:t xml:space="preserve">12.3 Open Questions for SRH</w:t>
      </w:r>
    </w:p>
    <w:p>
      <w:pPr>
        <w:pStyle w:val="ListParagraph"/>
        <w:numPr>
          <w:ilvl w:val="0"/>
          <w:numId w:val="2"/>
        </w:numPr>
        <w:spacing w:after="60" w:before="40" w:line="264"/>
      </w:pPr>
      <w:r>
        <w:rPr>
          <w:rFonts w:ascii="Arial" w:cs="Arial" w:eastAsia="Arial" w:hAnsi="Arial"/>
          <w:color w:val="2C2F36"/>
          <w:sz w:val="20"/>
          <w:szCs w:val="20"/>
        </w:rPr>
        <w:t xml:space="preserve">Is Russian confirmed as a launch language alongside Ukrainian, Spanish, and English?</w:t>
      </w:r>
    </w:p>
    <w:p>
      <w:pPr>
        <w:pStyle w:val="ListParagraph"/>
        <w:numPr>
          <w:ilvl w:val="0"/>
          <w:numId w:val="2"/>
        </w:numPr>
        <w:spacing w:after="60" w:before="40" w:line="264"/>
      </w:pPr>
      <w:r>
        <w:rPr>
          <w:rFonts w:ascii="Arial" w:cs="Arial" w:eastAsia="Arial" w:hAnsi="Arial"/>
          <w:color w:val="2C2F36"/>
          <w:sz w:val="20"/>
          <w:szCs w:val="20"/>
        </w:rPr>
        <w:t xml:space="preserve">What response-time commitment can SRH honour, so that the automated acknowledgement states it accurately?</w:t>
      </w:r>
    </w:p>
    <w:p>
      <w:pPr>
        <w:pStyle w:val="ListParagraph"/>
        <w:numPr>
          <w:ilvl w:val="0"/>
          <w:numId w:val="2"/>
        </w:numPr>
        <w:spacing w:after="60" w:before="40" w:line="264"/>
      </w:pPr>
      <w:r>
        <w:rPr>
          <w:rFonts w:ascii="Arial" w:cs="Arial" w:eastAsia="Arial" w:hAnsi="Arial"/>
          <w:color w:val="2C2F36"/>
          <w:sz w:val="20"/>
          <w:szCs w:val="20"/>
        </w:rPr>
        <w:t xml:space="preserve">Which legal entity is the data controller, and in which jurisdiction is it registered?</w:t>
      </w:r>
    </w:p>
    <w:p>
      <w:pPr>
        <w:pStyle w:val="ListParagraph"/>
        <w:numPr>
          <w:ilvl w:val="0"/>
          <w:numId w:val="2"/>
        </w:numPr>
        <w:spacing w:after="60" w:before="40" w:line="264"/>
      </w:pPr>
      <w:r>
        <w:rPr>
          <w:rFonts w:ascii="Arial" w:cs="Arial" w:eastAsia="Arial" w:hAnsi="Arial"/>
          <w:color w:val="2C2F36"/>
          <w:sz w:val="20"/>
          <w:szCs w:val="20"/>
        </w:rPr>
        <w:t xml:space="preserve">Is a CRM already in use, or should submissions be delivered to email and the CMS store only at launch?</w:t>
      </w:r>
    </w:p>
    <w:p>
      <w:pPr>
        <w:pStyle w:val="ListParagraph"/>
        <w:numPr>
          <w:ilvl w:val="0"/>
          <w:numId w:val="2"/>
        </w:numPr>
        <w:spacing w:after="60" w:before="40" w:line="264"/>
      </w:pPr>
      <w:r>
        <w:rPr>
          <w:rFonts w:ascii="Arial" w:cs="Arial" w:eastAsia="Arial" w:hAnsi="Arial"/>
          <w:color w:val="2C2F36"/>
          <w:sz w:val="20"/>
          <w:szCs w:val="20"/>
        </w:rPr>
        <w:t xml:space="preserve">Are service prices to be published, indicated as ranges, or withheld until consultation?</w:t>
      </w:r>
    </w:p>
    <w:p>
      <w:pPr>
        <w:pStyle w:val="ListParagraph"/>
        <w:numPr>
          <w:ilvl w:val="0"/>
          <w:numId w:val="2"/>
        </w:numPr>
        <w:spacing w:after="60" w:before="40" w:line="264"/>
      </w:pPr>
      <w:r>
        <w:rPr>
          <w:rFonts w:ascii="Arial" w:cs="Arial" w:eastAsia="Arial" w:hAnsi="Arial"/>
          <w:color w:val="2C2F36"/>
          <w:sz w:val="20"/>
          <w:szCs w:val="20"/>
        </w:rPr>
        <w:t xml:space="preserve">Does SRH hold rights to photography of completed cases, or should licensed imagery be sourced?</w:t>
      </w:r>
    </w:p>
    <w:p>
      <w:pPr>
        <w:spacing w:after="300" w:before="0"/>
      </w:pPr>
    </w:p>
    <w:p>
      <w:pPr>
        <w:pBdr>
          <w:top w:val="single" w:color="C9A227" w:sz="12" w:space="10"/>
        </w:pBdr>
        <w:spacing w:before="300"/>
        <w:jc w:val="center"/>
      </w:pPr>
      <w:r>
        <w:rPr>
          <w:rFonts w:ascii="Arial" w:cs="Arial" w:eastAsia="Arial" w:hAnsi="Arial"/>
          <w:i/>
          <w:iCs/>
          <w:color w:val="2C2F36"/>
          <w:sz w:val="16"/>
          <w:szCs w:val="16"/>
        </w:rPr>
        <w:t xml:space="preserve">End of document  ·  Spain Relocation Hub  ·  Product Definition Document v1.0</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2" w:sz="4" w:space="8"/>
      </w:pBdr>
      <w:jc w:val="center"/>
    </w:pPr>
    <w:r>
      <w:rPr>
        <w:rFonts w:ascii="Arial" w:cs="Arial" w:eastAsia="Arial" w:hAnsi="Arial"/>
        <w:color w:val="808894"/>
        <w:sz w:val="15"/>
        <w:szCs w:val="15"/>
      </w:rPr>
      <w:t xml:space="preserve">Spain Relocation Hub — Product Definition Document v1.0  |  Confidential  |  Page </w:t>
    </w:r>
    <w:r>
      <w:rPr>
        <w:rFonts w:ascii="Arial" w:cs="Arial" w:eastAsia="Arial" w:hAnsi="Arial"/>
        <w:color w:val="80889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C9A227"/>
        <w:sz w:val="20"/>
        <w:szCs w:val="20"/>
      </w:rPr>
    </w:lvl>
    <w:lvl w:ilvl="1" w15:tentative="1">
      <w:start w:val="1"/>
      <w:numFmt w:val="bullet"/>
      <w:lvlText w:val="–"/>
      <w:lvlJc w:val="left"/>
      <w:pPr>
        <w:ind w:left="880" w:hanging="240"/>
      </w:pPr>
      <w:rPr>
        <w:color w:val="C9A227"/>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F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beafcc058c473042cba9a998343160dd1ff0792.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2026-08-01T12:57:39.327Z</dcterms:created>
  <dcterms:modified xsi:type="dcterms:W3CDTF">2026-08-01T12:57:39.340Z</dcterms:modified>
</cp:coreProperties>
</file>

<file path=docProps/custom.xml><?xml version="1.0" encoding="utf-8"?>
<Properties xmlns="http://schemas.openxmlformats.org/officeDocument/2006/custom-properties" xmlns:vt="http://schemas.openxmlformats.org/officeDocument/2006/docPropsVTypes"/>
</file>