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300"/>
        <w:jc w:val="center"/>
      </w:pPr>
      <w:r>
        <w:drawing>
          <wp:inline distT="0" distB="0" distL="0" distR="0">
            <wp:extent cx="3238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162175"/>
                    </a:xfrm>
                    <a:prstGeom prst="rect">
                      <a:avLst/>
                    </a:prstGeom>
                  </pic:spPr>
                </pic:pic>
              </a:graphicData>
            </a:graphic>
          </wp:inline>
        </w:drawing>
      </w:r>
    </w:p>
    <w:p>
      <w:pPr>
        <w:spacing w:after="80" w:before="200"/>
        <w:jc w:val="center"/>
      </w:pPr>
      <w:r>
        <w:rPr>
          <w:rFonts w:ascii="Arial" w:cs="Arial" w:eastAsia="Arial" w:hAnsi="Arial"/>
          <w:b/>
          <w:bCs/>
          <w:color w:val="C9A227"/>
          <w:spacing w:val="60"/>
          <w:sz w:val="20"/>
          <w:szCs w:val="20"/>
        </w:rPr>
        <w:t xml:space="preserve">PRODUCT REQUIREMENTS DOCUMENT</w:t>
      </w:r>
    </w:p>
    <w:p>
      <w:pPr>
        <w:spacing w:after="100"/>
        <w:jc w:val="center"/>
      </w:pPr>
      <w:r>
        <w:rPr>
          <w:rFonts w:ascii="Arial" w:cs="Arial" w:eastAsia="Arial" w:hAnsi="Arial"/>
          <w:b/>
          <w:bCs/>
          <w:color w:val="0A2A5E"/>
          <w:sz w:val="48"/>
          <w:szCs w:val="48"/>
        </w:rPr>
        <w:t xml:space="preserve">Spain Relocation Hub</w:t>
      </w:r>
    </w:p>
    <w:p>
      <w:pPr>
        <w:pBdr>
          <w:bottom w:val="single" w:color="C9A227" w:sz="12" w:space="10"/>
        </w:pBdr>
        <w:spacing w:after="300"/>
        <w:jc w:val="center"/>
      </w:pPr>
      <w:r>
        <w:rPr>
          <w:rFonts w:ascii="Arial" w:cs="Arial" w:eastAsia="Arial" w:hAnsi="Arial"/>
          <w:color w:val="2C2F36"/>
          <w:sz w:val="22"/>
          <w:szCs w:val="22"/>
        </w:rPr>
        <w:t xml:space="preserve">Release 1.0  ·  Multilingual Lead-Generation Website</w:t>
      </w:r>
    </w:p>
    <w:p>
      <w:pPr>
        <w:spacing w:after="400" w:before="0"/>
      </w:pP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600"/>
        <w:gridCol w:w="6400"/>
      </w:tblGrid>
      <w:tr>
        <w:trPr>
          <w:tblHeader/>
        </w:trPr>
        <w:tc>
          <w:tcPr>
            <w:tcW w:type="dxa" w:w="26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Field</w:t>
            </w:r>
          </w:p>
        </w:tc>
        <w:tc>
          <w:tcPr>
            <w:tcW w:type="dxa" w:w="64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Detail</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Document</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Product Requirements Document (PRD)</w:t>
            </w:r>
          </w:p>
        </w:tc>
      </w:tr>
      <w:tr>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Product</w:t>
            </w:r>
          </w:p>
        </w:tc>
        <w:tc>
          <w:tcPr>
            <w:tcW w:type="dxa" w:w="6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Spain Relocation Hub (SRH) — corporate website</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Release</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R1.0 — Phase 1</w:t>
            </w:r>
          </w:p>
        </w:tc>
      </w:tr>
      <w:tr>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Version</w:t>
            </w:r>
          </w:p>
        </w:tc>
        <w:tc>
          <w:tcPr>
            <w:tcW w:type="dxa" w:w="6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1.0</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Status</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Draft for client and development review</w:t>
            </w:r>
          </w:p>
        </w:tc>
      </w:tr>
      <w:tr>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Date</w:t>
            </w:r>
          </w:p>
        </w:tc>
        <w:tc>
          <w:tcPr>
            <w:tcW w:type="dxa" w:w="6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August 2026</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Prepared by</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LucrumTech</w:t>
            </w:r>
          </w:p>
        </w:tc>
      </w:tr>
      <w:tr>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Parent document</w:t>
            </w:r>
          </w:p>
        </w:tc>
        <w:tc>
          <w:tcPr>
            <w:tcW w:type="dxa" w:w="6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SRH Product Definition Document v1.0</w:t>
            </w:r>
          </w:p>
        </w:tc>
      </w:tr>
      <w:tr>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Language editions</w:t>
            </w:r>
          </w:p>
        </w:tc>
        <w:tc>
          <w:tcPr>
            <w:tcW w:type="dxa" w:w="6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English · Українська · Español</w:t>
            </w:r>
          </w:p>
        </w:tc>
      </w:tr>
      <w:tr>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Classification</w:t>
            </w:r>
          </w:p>
        </w:tc>
        <w:tc>
          <w:tcPr>
            <w:tcW w:type="dxa" w:w="6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Confidential — Client and Partner Use Only</w:t>
            </w:r>
          </w:p>
        </w:tc>
      </w:tr>
    </w:tbl>
    <w:p>
      <w:pPr>
        <w:spacing w:after="300" w:before="0"/>
      </w:pPr>
    </w:p>
    <w:p>
      <w:pPr>
        <w:spacing w:after="120" w:before="60" w:line="276"/>
        <w:jc w:val="center"/>
      </w:pPr>
      <w:r>
        <w:rPr>
          <w:rFonts w:ascii="Arial" w:cs="Arial" w:eastAsia="Arial" w:hAnsi="Arial"/>
          <w:b w:val="false"/>
          <w:bCs w:val="false"/>
          <w:i/>
          <w:iCs/>
          <w:color w:val="2C2F36"/>
          <w:sz w:val="18"/>
          <w:szCs w:val="18"/>
        </w:rPr>
        <w:t xml:space="preserve">This document translates the Product Definition Document into implementable requirements. It defines every functional and non-functional requirement, the user stories and acceptance criteria that govern them, the data model, the analytics event dictionary, and the test and release plan for Release 1.0.</w:t>
      </w:r>
    </w:p>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1. Introduction</w:t>
      </w:r>
    </w:p>
    <w:p>
      <w:pPr>
        <w:pStyle w:val="Heading2"/>
        <w:spacing w:after="120" w:before="260"/>
      </w:pPr>
      <w:r>
        <w:rPr>
          <w:rFonts w:ascii="Arial" w:cs="Arial" w:eastAsia="Arial" w:hAnsi="Arial"/>
          <w:b/>
          <w:bCs/>
          <w:color w:val="0A2A5E"/>
          <w:sz w:val="24"/>
          <w:szCs w:val="24"/>
        </w:rPr>
        <w:t xml:space="preserve">1.1 Purpose</w:t>
      </w:r>
    </w:p>
    <w:p>
      <w:pPr>
        <w:spacing w:after="120" w:before="60" w:line="276"/>
        <w:jc w:val="left"/>
      </w:pPr>
      <w:r>
        <w:rPr>
          <w:rFonts w:ascii="Arial" w:cs="Arial" w:eastAsia="Arial" w:hAnsi="Arial"/>
          <w:b w:val="false"/>
          <w:bCs w:val="false"/>
          <w:i w:val="false"/>
          <w:iCs w:val="false"/>
          <w:color w:val="2C2F36"/>
          <w:sz w:val="20"/>
          <w:szCs w:val="20"/>
        </w:rPr>
        <w:t xml:space="preserve">The Product Definition Document (PDD) establishes what Spain Relocation Hub is building and why. This Product Requirements Document establishes exactly what must be built, how each behaviour is verified, and what constitutes completion. It is the contract between the client and the delivery team: any behaviour not specified here is out of scope for Release 1.0.</w:t>
      </w:r>
    </w:p>
    <w:p>
      <w:pPr>
        <w:spacing w:after="120" w:before="60" w:line="276"/>
        <w:jc w:val="left"/>
      </w:pPr>
      <w:r>
        <w:rPr>
          <w:rFonts w:ascii="Arial" w:cs="Arial" w:eastAsia="Arial" w:hAnsi="Arial"/>
          <w:b w:val="false"/>
          <w:bCs w:val="false"/>
          <w:i w:val="false"/>
          <w:iCs w:val="false"/>
          <w:color w:val="2C2F36"/>
          <w:sz w:val="20"/>
          <w:szCs w:val="20"/>
        </w:rPr>
        <w:t xml:space="preserve">Every requirement carries an identifier, an acceptance criterion, and a priority. A requirement is complete only when its acceptance criterion is demonstrably satisfied in all four language editions.</w:t>
      </w:r>
    </w:p>
    <w:p>
      <w:pPr>
        <w:pStyle w:val="Heading2"/>
        <w:spacing w:after="120" w:before="260"/>
      </w:pPr>
      <w:r>
        <w:rPr>
          <w:rFonts w:ascii="Arial" w:cs="Arial" w:eastAsia="Arial" w:hAnsi="Arial"/>
          <w:b/>
          <w:bCs/>
          <w:color w:val="0A2A5E"/>
          <w:sz w:val="24"/>
          <w:szCs w:val="24"/>
        </w:rPr>
        <w:t xml:space="preserve">1.2 Priority Definitions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600"/>
        <w:gridCol w:w="2400"/>
        <w:gridCol w:w="5000"/>
      </w:tblGrid>
      <w:tr>
        <w:trPr>
          <w:tblHeader/>
        </w:trPr>
        <w:tc>
          <w:tcPr>
            <w:tcW w:type="dxa" w:w="16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Priority</w:t>
            </w:r>
          </w:p>
        </w:tc>
        <w:tc>
          <w:tcPr>
            <w:tcW w:type="dxa" w:w="24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Meaning</w:t>
            </w:r>
          </w:p>
        </w:tc>
        <w:tc>
          <w:tcPr>
            <w:tcW w:type="dxa" w:w="50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Consequence if not delivered</w:t>
            </w:r>
          </w:p>
        </w:tc>
      </w:tr>
      <w:tr>
        <w:tc>
          <w:tcPr>
            <w:tcW w:type="dxa" w:w="1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 — Must</w:t>
            </w:r>
          </w:p>
        </w:tc>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Release cannot ship without it</w:t>
            </w:r>
          </w:p>
        </w:tc>
        <w:tc>
          <w:tcPr>
            <w:tcW w:type="dxa" w:w="5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Launch is blocked</w:t>
            </w:r>
          </w:p>
        </w:tc>
      </w:tr>
      <w:tr>
        <w:tc>
          <w:tcPr>
            <w:tcW w:type="dxa" w:w="1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 — Should</w:t>
            </w:r>
          </w:p>
        </w:tc>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Materially degrades the product if absent</w:t>
            </w:r>
          </w:p>
        </w:tc>
        <w:tc>
          <w:tcPr>
            <w:tcW w:type="dxa" w:w="5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Ships only with explicit client acceptance of the gap</w:t>
            </w:r>
          </w:p>
        </w:tc>
      </w:tr>
      <w:tr>
        <w:tc>
          <w:tcPr>
            <w:tcW w:type="dxa" w:w="1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P2 — Could</w:t>
            </w:r>
          </w:p>
        </w:tc>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Valuable but deferrable</w:t>
            </w:r>
          </w:p>
        </w:tc>
        <w:tc>
          <w:tcPr>
            <w:tcW w:type="dxa" w:w="5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Moves to the Release 1.1 backlog</w:t>
            </w:r>
          </w:p>
        </w:tc>
      </w:tr>
      <w:tr>
        <w:tc>
          <w:tcPr>
            <w:tcW w:type="dxa" w:w="1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P3 — Won't</w:t>
            </w:r>
          </w:p>
        </w:tc>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Explicitly excluded from this release</w:t>
            </w:r>
          </w:p>
        </w:tc>
        <w:tc>
          <w:tcPr>
            <w:tcW w:type="dxa" w:w="5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Recorded for a future phase</w:t>
            </w:r>
          </w:p>
        </w:tc>
      </w:tr>
    </w:tbl>
    <w:p>
      <w:pPr>
        <w:pStyle w:val="Heading2"/>
        <w:spacing w:after="120" w:before="260"/>
      </w:pPr>
      <w:r>
        <w:rPr>
          <w:rFonts w:ascii="Arial" w:cs="Arial" w:eastAsia="Arial" w:hAnsi="Arial"/>
          <w:b/>
          <w:bCs/>
          <w:color w:val="0A2A5E"/>
          <w:sz w:val="24"/>
          <w:szCs w:val="24"/>
        </w:rPr>
        <w:t xml:space="preserve">1.3 User Roles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000"/>
        <w:gridCol w:w="3200"/>
        <w:gridCol w:w="3800"/>
      </w:tblGrid>
      <w:tr>
        <w:trPr>
          <w:tblHeader/>
        </w:trPr>
        <w:tc>
          <w:tcPr>
            <w:tcW w:type="dxa" w:w="20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Role</w:t>
            </w:r>
          </w:p>
        </w:tc>
        <w:tc>
          <w:tcPr>
            <w:tcW w:type="dxa" w:w="32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Description</w:t>
            </w:r>
          </w:p>
        </w:tc>
        <w:tc>
          <w:tcPr>
            <w:tcW w:type="dxa" w:w="38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System access</w:t>
            </w:r>
          </w:p>
        </w:tc>
      </w:tr>
      <w:tr>
        <w:tc>
          <w:tcPr>
            <w:tcW w:type="dxa" w:w="2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Visitor</w:t>
            </w:r>
          </w:p>
        </w:tc>
        <w:tc>
          <w:tcPr>
            <w:tcW w:type="dxa" w:w="3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Any unauthenticated person browsing the site</w:t>
            </w:r>
          </w:p>
        </w:tc>
        <w:tc>
          <w:tcPr>
            <w:tcW w:type="dxa" w:w="3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Public pages only; no account</w:t>
            </w:r>
          </w:p>
        </w:tc>
      </w:tr>
      <w:tr>
        <w:tc>
          <w:tcPr>
            <w:tcW w:type="dxa" w:w="2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Content administrator</w:t>
            </w:r>
          </w:p>
        </w:tc>
        <w:tc>
          <w:tcPr>
            <w:tcW w:type="dxa" w:w="3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SRH staff member maintaining copy, services, and FAQ</w:t>
            </w:r>
          </w:p>
        </w:tc>
        <w:tc>
          <w:tcPr>
            <w:tcW w:type="dxa" w:w="3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Authenticated CMS access; full content editing in all languages</w:t>
            </w:r>
          </w:p>
        </w:tc>
      </w:tr>
      <w:tr>
        <w:tc>
          <w:tcPr>
            <w:tcW w:type="dxa" w:w="2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Lead handler</w:t>
            </w:r>
          </w:p>
        </w:tc>
        <w:tc>
          <w:tcPr>
            <w:tcW w:type="dxa" w:w="3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SRH consultant receiving and working enquiries</w:t>
            </w:r>
          </w:p>
        </w:tc>
        <w:tc>
          <w:tcPr>
            <w:tcW w:type="dxa" w:w="38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Receives notifications; reads and exports lead records</w:t>
            </w:r>
          </w:p>
        </w:tc>
      </w:tr>
      <w:tr>
        <w:tc>
          <w:tcPr>
            <w:tcW w:type="dxa" w:w="2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System owner</w:t>
            </w:r>
          </w:p>
        </w:tc>
        <w:tc>
          <w:tcPr>
            <w:tcW w:type="dxa" w:w="3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Technical account holder for hosting, domain, and analytics</w:t>
            </w:r>
          </w:p>
        </w:tc>
        <w:tc>
          <w:tcPr>
            <w:tcW w:type="dxa" w:w="38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Infrastructure and configuration access</w:t>
            </w:r>
          </w:p>
        </w:tc>
      </w:tr>
    </w:tbl>
    <w:p>
      <w:pPr>
        <w:pStyle w:val="Heading2"/>
        <w:spacing w:after="120" w:before="260"/>
      </w:pPr>
      <w:r>
        <w:rPr>
          <w:rFonts w:ascii="Arial" w:cs="Arial" w:eastAsia="Arial" w:hAnsi="Arial"/>
          <w:b/>
          <w:bCs/>
          <w:color w:val="0A2A5E"/>
          <w:sz w:val="24"/>
          <w:szCs w:val="24"/>
        </w:rPr>
        <w:t xml:space="preserve">1.4 Epic Map</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200"/>
        <w:gridCol w:w="3200"/>
        <w:gridCol w:w="3300"/>
        <w:gridCol w:w="1300"/>
      </w:tblGrid>
      <w:tr>
        <w:trPr>
          <w:tblHeader/>
        </w:trPr>
        <w:tc>
          <w:tcPr>
            <w:tcW w:type="dxa" w:w="12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Epic</w:t>
            </w:r>
          </w:p>
        </w:tc>
        <w:tc>
          <w:tcPr>
            <w:tcW w:type="dxa" w:w="32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Title</w:t>
            </w:r>
          </w:p>
        </w:tc>
        <w:tc>
          <w:tcPr>
            <w:tcW w:type="dxa" w:w="33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Covers</w:t>
            </w:r>
          </w:p>
        </w:tc>
        <w:tc>
          <w:tcPr>
            <w:tcW w:type="dxa" w:w="13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Priority</w:t>
            </w:r>
          </w:p>
        </w:tc>
      </w:tr>
      <w:tr>
        <w:tc>
          <w:tcPr>
            <w:tcW w:type="dxa" w:w="1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EP-01</w:t>
            </w:r>
          </w:p>
        </w:tc>
        <w:tc>
          <w:tcPr>
            <w:tcW w:type="dxa" w:w="3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Global shell and navigation</w:t>
            </w:r>
          </w:p>
        </w:tc>
        <w:tc>
          <w:tcPr>
            <w:tcW w:type="dxa" w:w="3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Header, anchor navigation, footer, responsive behaviour</w:t>
            </w:r>
          </w:p>
        </w:tc>
        <w:tc>
          <w:tcPr>
            <w:tcW w:type="dxa" w:w="1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EP-02</w:t>
            </w:r>
          </w:p>
        </w:tc>
        <w:tc>
          <w:tcPr>
            <w:tcW w:type="dxa" w:w="3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Language and localisation</w:t>
            </w:r>
          </w:p>
        </w:tc>
        <w:tc>
          <w:tcPr>
            <w:tcW w:type="dxa" w:w="3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Four editions, detection, switching, persistence</w:t>
            </w:r>
          </w:p>
        </w:tc>
        <w:tc>
          <w:tcPr>
            <w:tcW w:type="dxa" w:w="1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EP-03</w:t>
            </w:r>
          </w:p>
        </w:tc>
        <w:tc>
          <w:tcPr>
            <w:tcW w:type="dxa" w:w="3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Hero section</w:t>
            </w:r>
          </w:p>
        </w:tc>
        <w:tc>
          <w:tcPr>
            <w:tcW w:type="dxa" w:w="3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Headline, dual call to action, value points</w:t>
            </w:r>
          </w:p>
        </w:tc>
        <w:tc>
          <w:tcPr>
            <w:tcW w:type="dxa" w:w="1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EP-04</w:t>
            </w:r>
          </w:p>
        </w:tc>
        <w:tc>
          <w:tcPr>
            <w:tcW w:type="dxa" w:w="3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Service content sections</w:t>
            </w:r>
          </w:p>
        </w:tc>
        <w:tc>
          <w:tcPr>
            <w:tcW w:type="dxa" w:w="3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Six service blocks plus Why Us and How We Work</w:t>
            </w:r>
          </w:p>
        </w:tc>
        <w:tc>
          <w:tcPr>
            <w:tcW w:type="dxa" w:w="1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EP-05</w:t>
            </w:r>
          </w:p>
        </w:tc>
        <w:tc>
          <w:tcPr>
            <w:tcW w:type="dxa" w:w="3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FAQ</w:t>
            </w:r>
          </w:p>
        </w:tc>
        <w:tc>
          <w:tcPr>
            <w:tcW w:type="dxa" w:w="3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Expandable questions with structured data</w:t>
            </w:r>
          </w:p>
        </w:tc>
        <w:tc>
          <w:tcPr>
            <w:tcW w:type="dxa" w:w="1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r>
        <w:tc>
          <w:tcPr>
            <w:tcW w:type="dxa" w:w="1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EP-06</w:t>
            </w:r>
          </w:p>
        </w:tc>
        <w:tc>
          <w:tcPr>
            <w:tcW w:type="dxa" w:w="3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Lead capture form</w:t>
            </w:r>
          </w:p>
        </w:tc>
        <w:tc>
          <w:tcPr>
            <w:tcW w:type="dxa" w:w="3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Two-step form, validation, consent, delivery</w:t>
            </w:r>
          </w:p>
        </w:tc>
        <w:tc>
          <w:tcPr>
            <w:tcW w:type="dxa" w:w="1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EP-07</w:t>
            </w:r>
          </w:p>
        </w:tc>
        <w:tc>
          <w:tcPr>
            <w:tcW w:type="dxa" w:w="3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WhatsApp channel</w:t>
            </w:r>
          </w:p>
        </w:tc>
        <w:tc>
          <w:tcPr>
            <w:tcW w:type="dxa" w:w="3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Persistent button, prefilled context-aware message</w:t>
            </w:r>
          </w:p>
        </w:tc>
        <w:tc>
          <w:tcPr>
            <w:tcW w:type="dxa" w:w="1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EP-08</w:t>
            </w:r>
          </w:p>
        </w:tc>
        <w:tc>
          <w:tcPr>
            <w:tcW w:type="dxa" w:w="3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Contact and social</w:t>
            </w:r>
          </w:p>
        </w:tc>
        <w:tc>
          <w:tcPr>
            <w:tcW w:type="dxa" w:w="3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Direct channels and social profiles</w:t>
            </w:r>
          </w:p>
        </w:tc>
        <w:tc>
          <w:tcPr>
            <w:tcW w:type="dxa" w:w="1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EP-09</w:t>
            </w:r>
          </w:p>
        </w:tc>
        <w:tc>
          <w:tcPr>
            <w:tcW w:type="dxa" w:w="3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Content management</w:t>
            </w:r>
          </w:p>
        </w:tc>
        <w:tc>
          <w:tcPr>
            <w:tcW w:type="dxa" w:w="3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Admin editing of all content in all languages</w:t>
            </w:r>
          </w:p>
        </w:tc>
        <w:tc>
          <w:tcPr>
            <w:tcW w:type="dxa" w:w="1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EP-10</w:t>
            </w:r>
          </w:p>
        </w:tc>
        <w:tc>
          <w:tcPr>
            <w:tcW w:type="dxa" w:w="3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Search optimisation</w:t>
            </w:r>
          </w:p>
        </w:tc>
        <w:tc>
          <w:tcPr>
            <w:tcW w:type="dxa" w:w="3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Metadata, hreflang, sitemap, structured data</w:t>
            </w:r>
          </w:p>
        </w:tc>
        <w:tc>
          <w:tcPr>
            <w:tcW w:type="dxa" w:w="1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EP-11</w:t>
            </w:r>
          </w:p>
        </w:tc>
        <w:tc>
          <w:tcPr>
            <w:tcW w:type="dxa" w:w="3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Analytics and tracking</w:t>
            </w:r>
          </w:p>
        </w:tc>
        <w:tc>
          <w:tcPr>
            <w:tcW w:type="dxa" w:w="3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Events, attribution, conversion measurement</w:t>
            </w:r>
          </w:p>
        </w:tc>
        <w:tc>
          <w:tcPr>
            <w:tcW w:type="dxa" w:w="1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r>
        <w:tc>
          <w:tcPr>
            <w:tcW w:type="dxa" w:w="1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EP-12</w:t>
            </w:r>
          </w:p>
        </w:tc>
        <w:tc>
          <w:tcPr>
            <w:tcW w:type="dxa" w:w="3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Consent and legal</w:t>
            </w:r>
          </w:p>
        </w:tc>
        <w:tc>
          <w:tcPr>
            <w:tcW w:type="dxa" w:w="3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Cookie consent, privacy, legal notice</w:t>
            </w:r>
          </w:p>
        </w:tc>
        <w:tc>
          <w:tcPr>
            <w:tcW w:type="dxa" w:w="1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bl>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2. EP-01 — Global Shell and Navigation</w:t>
      </w:r>
    </w:p>
    <w:p>
      <w:pPr>
        <w:pStyle w:val="Heading2"/>
        <w:spacing w:after="120" w:before="260"/>
      </w:pPr>
      <w:r>
        <w:rPr>
          <w:rFonts w:ascii="Arial" w:cs="Arial" w:eastAsia="Arial" w:hAnsi="Arial"/>
          <w:b/>
          <w:bCs/>
          <w:color w:val="0A2A5E"/>
          <w:sz w:val="24"/>
          <w:szCs w:val="24"/>
        </w:rPr>
        <w:t xml:space="preserve">2.1 Requirements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050"/>
        <w:gridCol w:w="2550"/>
        <w:gridCol w:w="4300"/>
        <w:gridCol w:w="1100"/>
      </w:tblGrid>
      <w:tr>
        <w:trPr>
          <w:tblHeader/>
        </w:trPr>
        <w:tc>
          <w:tcPr>
            <w:tcW w:type="dxa" w:w="10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ID</w:t>
            </w:r>
          </w:p>
        </w:tc>
        <w:tc>
          <w:tcPr>
            <w:tcW w:type="dxa" w:w="25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Requirement</w:t>
            </w:r>
          </w:p>
        </w:tc>
        <w:tc>
          <w:tcPr>
            <w:tcW w:type="dxa" w:w="43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Acceptance criteria</w:t>
            </w:r>
          </w:p>
        </w:tc>
        <w:tc>
          <w:tcPr>
            <w:tcW w:type="dxa" w:w="11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Priority</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FR-01.1</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Single-page structure with anchor navigation</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All eleven sections exist on one document; each has a unique anchor identifier reachable by URL fragment</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FR-01.2</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Sticky header</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The header remains visible while scrolling on all viewports and does not obscure section headings when an anchor is followed</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FR-01.3</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Desktop navigation</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Anchor links to all major sections are visible in the header at viewports of 1024 px and above</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FR-01.4</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Mobile navigation</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Below 1024 px the navigation collapses into a menu that opens, closes on selection, and traps focus while open</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FR-01.5</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Smooth anchor scrolling</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Selecting a navigation item scrolls to the target section with the section heading fully visible below the sticky header</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FR-01.6</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Responsive layout</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No horizontal scrolling and no overlapping elements from 320 px to 2560 px</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FR-01.7</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Footer</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Contains contact details, social links, legal links, and copyright, all localised</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FR-01.8</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Section call to action</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Every service section contains a visible button that opens the enquiry form</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FR-01.9</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Keyboard navigation</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All interactive elements are reachable by keyboard with a visible focus indicator</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FR-01.10</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Skip link</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skip-to-content link is available to assistive technology users</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P2</w:t>
            </w:r>
          </w:p>
        </w:tc>
      </w:tr>
    </w:tbl>
    <w:p>
      <w:pPr>
        <w:pStyle w:val="Heading2"/>
        <w:spacing w:after="120" w:before="260"/>
      </w:pPr>
      <w:r>
        <w:rPr>
          <w:rFonts w:ascii="Arial" w:cs="Arial" w:eastAsia="Arial" w:hAnsi="Arial"/>
          <w:b/>
          <w:bCs/>
          <w:color w:val="0A2A5E"/>
          <w:sz w:val="24"/>
          <w:szCs w:val="24"/>
        </w:rPr>
        <w:t xml:space="preserve">2.2 User Stories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050"/>
        <w:gridCol w:w="3450"/>
        <w:gridCol w:w="4500"/>
      </w:tblGrid>
      <w:tr>
        <w:trPr>
          <w:tblHeader/>
        </w:trPr>
        <w:tc>
          <w:tcPr>
            <w:tcW w:type="dxa" w:w="10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ID</w:t>
            </w:r>
          </w:p>
        </w:tc>
        <w:tc>
          <w:tcPr>
            <w:tcW w:type="dxa" w:w="34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User story</w:t>
            </w:r>
          </w:p>
        </w:tc>
        <w:tc>
          <w:tcPr>
            <w:tcW w:type="dxa" w:w="45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Acceptance criteria (Given / When / Then)</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US-01.1</w:t>
            </w:r>
          </w:p>
        </w:tc>
        <w:tc>
          <w:tcPr>
            <w:tcW w:type="dxa" w:w="34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As a visitor on mobile, I want to reach any service section quickly, so that I do not have to scroll through content that does not concern me.</w:t>
            </w:r>
          </w:p>
        </w:tc>
        <w:tc>
          <w:tcPr>
            <w:tcW w:type="dxa" w:w="4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Given I am on a viewport below 1024 px, when I open the menu and select a section, then the menu closes and the page scrolls to that section with its heading visible.</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US-01.2</w:t>
            </w:r>
          </w:p>
        </w:tc>
        <w:tc>
          <w:tcPr>
            <w:tcW w:type="dxa" w:w="34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As a visitor reading a service section, I want to request a consultation without scrolling to the bottom, so that I can act at the moment of interest.</w:t>
            </w:r>
          </w:p>
        </w:tc>
        <w:tc>
          <w:tcPr>
            <w:tcW w:type="dxa" w:w="45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Given I am viewing any service section, when I select its call-to-action button, then the enquiry form opens with that section's service pre-selected.</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US-01.3</w:t>
            </w:r>
          </w:p>
        </w:tc>
        <w:tc>
          <w:tcPr>
            <w:tcW w:type="dxa" w:w="34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As a visitor sharing a section, I want the link to open at the right place, so that the recipient sees what I intended.</w:t>
            </w:r>
          </w:p>
        </w:tc>
        <w:tc>
          <w:tcPr>
            <w:tcW w:type="dxa" w:w="4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Given a URL containing a section fragment, when the page loads, then the browser position rests at that section.</w:t>
            </w:r>
          </w:p>
        </w:tc>
      </w:tr>
    </w:tbl>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3. EP-02 — Language and Localisation</w:t>
      </w:r>
    </w:p>
    <w:p>
      <w:pPr>
        <w:pStyle w:val="Heading2"/>
        <w:spacing w:after="120" w:before="260"/>
      </w:pPr>
      <w:r>
        <w:rPr>
          <w:rFonts w:ascii="Arial" w:cs="Arial" w:eastAsia="Arial" w:hAnsi="Arial"/>
          <w:b/>
          <w:bCs/>
          <w:color w:val="0A2A5E"/>
          <w:sz w:val="24"/>
          <w:szCs w:val="24"/>
        </w:rPr>
        <w:t xml:space="preserve">3.1 Requirements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050"/>
        <w:gridCol w:w="2550"/>
        <w:gridCol w:w="4300"/>
        <w:gridCol w:w="1100"/>
      </w:tblGrid>
      <w:tr>
        <w:trPr>
          <w:tblHeader/>
        </w:trPr>
        <w:tc>
          <w:tcPr>
            <w:tcW w:type="dxa" w:w="10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ID</w:t>
            </w:r>
          </w:p>
        </w:tc>
        <w:tc>
          <w:tcPr>
            <w:tcW w:type="dxa" w:w="25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Requirement</w:t>
            </w:r>
          </w:p>
        </w:tc>
        <w:tc>
          <w:tcPr>
            <w:tcW w:type="dxa" w:w="43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Acceptance criteria</w:t>
            </w:r>
          </w:p>
        </w:tc>
        <w:tc>
          <w:tcPr>
            <w:tcW w:type="dxa" w:w="11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Priority</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FR-02.1</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Four language editions</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Ukrainian, Russian, Spanish, and English editions are complete, with no untranslated strings in any edition</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FR-02.2</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Distinct URL per language</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Each edition is served at its own indexable path: /uk/, /ru/, /es/, /en/</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FR-02.3</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Geographic default</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visitor whose request originates in Spain is served the Spanish edition on first visit</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FR-02.4</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Browser-language default</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visitor outside Spain is served the edition matching their browser language where supported</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FR-02.5</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Fallback</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Where no supported match exists, the English edition is served</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FR-02.6</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Manual switcher</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language switcher is present in the header at every viewport and reachable without scrolling</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FR-02.7</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Override persistence</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manually selected language persists for the session and on return visits, and is not overridden by detection</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FR-02.8</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Switch preserves position</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Switching language while scrolled retains the equivalent section position rather than returning to the top</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FR-02.9</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Full interface translation</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Form labels, placeholders, validation messages, error states, buttons, and automated emails are translated</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FR-02.10</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Text expansion tolerance</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No headline, button, or navigation element truncates or wraps unacceptably in any language at any supported viewport</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FR-02.11</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Cyrillic rendering</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Ukrainian and Russian render correctly in all supported browsers and both mobile platforms</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FR-02.12</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Locale formats</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Telephone, date, and address formats follow the conventions of each locale</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P2</w:t>
            </w:r>
          </w:p>
        </w:tc>
      </w:tr>
    </w:tbl>
    <w:p>
      <w:pPr>
        <w:pStyle w:val="Heading2"/>
        <w:spacing w:after="120" w:before="260"/>
      </w:pPr>
      <w:r>
        <w:rPr>
          <w:rFonts w:ascii="Arial" w:cs="Arial" w:eastAsia="Arial" w:hAnsi="Arial"/>
          <w:b/>
          <w:bCs/>
          <w:color w:val="0A2A5E"/>
          <w:sz w:val="24"/>
          <w:szCs w:val="24"/>
        </w:rPr>
        <w:t xml:space="preserve">3.2 User Stories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050"/>
        <w:gridCol w:w="3450"/>
        <w:gridCol w:w="4500"/>
      </w:tblGrid>
      <w:tr>
        <w:trPr>
          <w:tblHeader/>
        </w:trPr>
        <w:tc>
          <w:tcPr>
            <w:tcW w:type="dxa" w:w="10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ID</w:t>
            </w:r>
          </w:p>
        </w:tc>
        <w:tc>
          <w:tcPr>
            <w:tcW w:type="dxa" w:w="34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User story</w:t>
            </w:r>
          </w:p>
        </w:tc>
        <w:tc>
          <w:tcPr>
            <w:tcW w:type="dxa" w:w="45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Acceptance criteria (Given / When / Then)</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US-02.1</w:t>
            </w:r>
          </w:p>
        </w:tc>
        <w:tc>
          <w:tcPr>
            <w:tcW w:type="dxa" w:w="34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As a visitor located in Spain, I want the site to open in Spanish, so that I can read it immediately.</w:t>
            </w:r>
          </w:p>
        </w:tc>
        <w:tc>
          <w:tcPr>
            <w:tcW w:type="dxa" w:w="4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Given my request originates in Spain and I have no stored preference, when I load the site, then the Spanish edition is served.</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US-02.2</w:t>
            </w:r>
          </w:p>
        </w:tc>
        <w:tc>
          <w:tcPr>
            <w:tcW w:type="dxa" w:w="34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As a Ukrainian speaker in Spain, I want to switch to Ukrainian and keep that choice, so that I do not repeat the switch on every visit.</w:t>
            </w:r>
          </w:p>
        </w:tc>
        <w:tc>
          <w:tcPr>
            <w:tcW w:type="dxa" w:w="45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Given the Spanish edition was served by detection, when I select Ukrainian and later return to the site, then the Ukrainian edition is served without further action.</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US-02.3</w:t>
            </w:r>
          </w:p>
        </w:tc>
        <w:tc>
          <w:tcPr>
            <w:tcW w:type="dxa" w:w="34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As an English-speaking visitor, I want the page to open in English from a search result, so that I do not bounce.</w:t>
            </w:r>
          </w:p>
        </w:tc>
        <w:tc>
          <w:tcPr>
            <w:tcW w:type="dxa" w:w="4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Given my browser language is English and I am outside Spain, when I arrive from a search result, then the English edition renders on first paint.</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US-02.4</w:t>
            </w:r>
          </w:p>
        </w:tc>
        <w:tc>
          <w:tcPr>
            <w:tcW w:type="dxa" w:w="34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As a content administrator, I want to see which strings are untranslated, so that no edition ships incomplete.</w:t>
            </w:r>
          </w:p>
        </w:tc>
        <w:tc>
          <w:tcPr>
            <w:tcW w:type="dxa" w:w="45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Given I open the CMS translation view, when an edition has missing strings, then those fields are listed and flagged.</w:t>
            </w:r>
          </w:p>
        </w:tc>
      </w:tr>
    </w:tbl>
    <w:p>
      <w:pPr>
        <w:spacing w:after="120" w:before="60" w:line="276"/>
        <w:jc w:val="left"/>
      </w:pPr>
      <w:r>
        <w:rPr>
          <w:rFonts w:ascii="Arial" w:cs="Arial" w:eastAsia="Arial" w:hAnsi="Arial"/>
          <w:b w:val="false"/>
          <w:bCs w:val="false"/>
          <w:i/>
          <w:iCs/>
          <w:color w:val="2C2F36"/>
          <w:sz w:val="20"/>
          <w:szCs w:val="20"/>
        </w:rPr>
        <w:t xml:space="preserve">Constraint: automatic redirection must never prevent a visitor from reaching another edition. Detection sets the initial default only.</w:t>
      </w:r>
    </w:p>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4. EP-03 — Hero Section</w:t>
      </w:r>
    </w:p>
    <w:p>
      <w:pPr>
        <w:pStyle w:val="Heading2"/>
        <w:spacing w:after="120" w:before="260"/>
      </w:pPr>
      <w:r>
        <w:rPr>
          <w:rFonts w:ascii="Arial" w:cs="Arial" w:eastAsia="Arial" w:hAnsi="Arial"/>
          <w:b/>
          <w:bCs/>
          <w:color w:val="0A2A5E"/>
          <w:sz w:val="24"/>
          <w:szCs w:val="24"/>
        </w:rPr>
        <w:t xml:space="preserve">4.1 Requirements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050"/>
        <w:gridCol w:w="2550"/>
        <w:gridCol w:w="4300"/>
        <w:gridCol w:w="1100"/>
      </w:tblGrid>
      <w:tr>
        <w:trPr>
          <w:tblHeader/>
        </w:trPr>
        <w:tc>
          <w:tcPr>
            <w:tcW w:type="dxa" w:w="10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ID</w:t>
            </w:r>
          </w:p>
        </w:tc>
        <w:tc>
          <w:tcPr>
            <w:tcW w:type="dxa" w:w="25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Requirement</w:t>
            </w:r>
          </w:p>
        </w:tc>
        <w:tc>
          <w:tcPr>
            <w:tcW w:type="dxa" w:w="43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Acceptance criteria</w:t>
            </w:r>
          </w:p>
        </w:tc>
        <w:tc>
          <w:tcPr>
            <w:tcW w:type="dxa" w:w="11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Priority</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FR-03.1</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Headline and sub-headline</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Both render above the fold at all supported viewports, in the active language</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FR-03.2</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Primary call to action</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button opens the enquiry form with the service checklist visible</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FR-03.3</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Secondary call to action</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WhatsApp button opens a chat with a prefilled message in the active language</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FR-03.4</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Background image</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premium photograph of Madrid or contemporary Spanish architecture, served responsively in a modern format</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FR-03.5</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Text legibility</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Contrast between hero text and background meets a minimum ratio of 4.5:1 at every viewport</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FR-03.6</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Value points</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Four benefit statements display in a row at desktop widths and stack on mobile</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FR-03.7</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Five-second comprehension</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Offering and value are stated without scrolling on a 375 px viewport</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FR-03.8</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Image performance</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The hero image does not delay Largest Contentful Paint beyond 2.5 seconds on a 4G connection</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bl>
    <w:p>
      <w:pPr>
        <w:pStyle w:val="Heading2"/>
        <w:spacing w:after="120" w:before="260"/>
      </w:pPr>
      <w:r>
        <w:rPr>
          <w:rFonts w:ascii="Arial" w:cs="Arial" w:eastAsia="Arial" w:hAnsi="Arial"/>
          <w:b/>
          <w:bCs/>
          <w:color w:val="0A2A5E"/>
          <w:sz w:val="24"/>
          <w:szCs w:val="24"/>
        </w:rPr>
        <w:t xml:space="preserve">4.2 Content Specification</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300"/>
        <w:gridCol w:w="6700"/>
      </w:tblGrid>
      <w:tr>
        <w:trPr>
          <w:tblHeader/>
        </w:trPr>
        <w:tc>
          <w:tcPr>
            <w:tcW w:type="dxa" w:w="23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Element</w:t>
            </w:r>
          </w:p>
        </w:tc>
        <w:tc>
          <w:tcPr>
            <w:tcW w:type="dxa" w:w="67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Content</w:t>
            </w:r>
          </w:p>
        </w:tc>
      </w:tr>
      <w:tr>
        <w:tc>
          <w:tcPr>
            <w:tcW w:type="dxa" w:w="2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Headline</w:t>
            </w:r>
          </w:p>
        </w:tc>
        <w:tc>
          <w:tcPr>
            <w:tcW w:type="dxa" w:w="67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Complete relocation to Spain</w:t>
            </w:r>
          </w:p>
        </w:tc>
      </w:tr>
      <w:tr>
        <w:tc>
          <w:tcPr>
            <w:tcW w:type="dxa" w:w="2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Sub-headline</w:t>
            </w:r>
          </w:p>
        </w:tc>
        <w:tc>
          <w:tcPr>
            <w:tcW w:type="dxa" w:w="67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We make your move to Spain calm and clear. Property, residency, insurance, vehicles, and everyday adaptation — all in one place.</w:t>
            </w:r>
          </w:p>
        </w:tc>
      </w:tr>
      <w:tr>
        <w:tc>
          <w:tcPr>
            <w:tcW w:type="dxa" w:w="2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Value point 1</w:t>
            </w:r>
          </w:p>
        </w:tc>
        <w:tc>
          <w:tcPr>
            <w:tcW w:type="dxa" w:w="67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Support at every stage of the move</w:t>
            </w:r>
          </w:p>
        </w:tc>
      </w:tr>
      <w:tr>
        <w:tc>
          <w:tcPr>
            <w:tcW w:type="dxa" w:w="2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Value point 2</w:t>
            </w:r>
          </w:p>
        </w:tc>
        <w:tc>
          <w:tcPr>
            <w:tcW w:type="dxa" w:w="67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Savings in both time and cost</w:t>
            </w:r>
          </w:p>
        </w:tc>
      </w:tr>
      <w:tr>
        <w:tc>
          <w:tcPr>
            <w:tcW w:type="dxa" w:w="2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Value point 3</w:t>
            </w:r>
          </w:p>
        </w:tc>
        <w:tc>
          <w:tcPr>
            <w:tcW w:type="dxa" w:w="67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Work conducted through verified partners</w:t>
            </w:r>
          </w:p>
        </w:tc>
      </w:tr>
      <w:tr>
        <w:tc>
          <w:tcPr>
            <w:tcW w:type="dxa" w:w="2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Value point 4</w:t>
            </w:r>
          </w:p>
        </w:tc>
        <w:tc>
          <w:tcPr>
            <w:tcW w:type="dxa" w:w="67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Assistance in Russian, Ukrainian, and Spanish</w:t>
            </w:r>
          </w:p>
        </w:tc>
      </w:tr>
      <w:tr>
        <w:tc>
          <w:tcPr>
            <w:tcW w:type="dxa" w:w="2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Primary button</w:t>
            </w:r>
          </w:p>
        </w:tc>
        <w:tc>
          <w:tcPr>
            <w:tcW w:type="dxa" w:w="67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Request a consultation</w:t>
            </w:r>
          </w:p>
        </w:tc>
      </w:tr>
      <w:tr>
        <w:tc>
          <w:tcPr>
            <w:tcW w:type="dxa" w:w="2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Secondary button</w:t>
            </w:r>
          </w:p>
        </w:tc>
        <w:tc>
          <w:tcPr>
            <w:tcW w:type="dxa" w:w="67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WhatsApp</w:t>
            </w:r>
          </w:p>
        </w:tc>
      </w:tr>
    </w:tbl>
    <w:p>
      <w:pPr>
        <w:pStyle w:val="Heading1"/>
        <w:pBdr>
          <w:bottom w:val="single" w:color="C9A227" w:sz="12" w:space="6"/>
        </w:pBdr>
        <w:spacing w:after="160" w:before="360"/>
      </w:pPr>
      <w:r>
        <w:rPr>
          <w:rFonts w:ascii="Arial" w:cs="Arial" w:eastAsia="Arial" w:hAnsi="Arial"/>
          <w:b/>
          <w:bCs/>
          <w:color w:val="0A2A5E"/>
          <w:sz w:val="30"/>
          <w:szCs w:val="30"/>
        </w:rPr>
        <w:t xml:space="preserve">5. EP-04 — Service Content Sections</w:t>
      </w:r>
    </w:p>
    <w:p>
      <w:pPr>
        <w:pStyle w:val="Heading2"/>
        <w:spacing w:after="120" w:before="260"/>
      </w:pPr>
      <w:r>
        <w:rPr>
          <w:rFonts w:ascii="Arial" w:cs="Arial" w:eastAsia="Arial" w:hAnsi="Arial"/>
          <w:b/>
          <w:bCs/>
          <w:color w:val="0A2A5E"/>
          <w:sz w:val="24"/>
          <w:szCs w:val="24"/>
        </w:rPr>
        <w:t xml:space="preserve">5.1 Requirements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050"/>
        <w:gridCol w:w="2550"/>
        <w:gridCol w:w="4300"/>
        <w:gridCol w:w="1100"/>
      </w:tblGrid>
      <w:tr>
        <w:trPr>
          <w:tblHeader/>
        </w:trPr>
        <w:tc>
          <w:tcPr>
            <w:tcW w:type="dxa" w:w="10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ID</w:t>
            </w:r>
          </w:p>
        </w:tc>
        <w:tc>
          <w:tcPr>
            <w:tcW w:type="dxa" w:w="25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Requirement</w:t>
            </w:r>
          </w:p>
        </w:tc>
        <w:tc>
          <w:tcPr>
            <w:tcW w:type="dxa" w:w="43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Acceptance criteria</w:t>
            </w:r>
          </w:p>
        </w:tc>
        <w:tc>
          <w:tcPr>
            <w:tcW w:type="dxa" w:w="11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Priority</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FR-04.1</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Six service sections</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Property, Residency, Vehicles, Business Relocation, Insurance, and Practical Adaptation each render as a distinct section</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FR-04.2</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Sub-block structure</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Property and Vehicles render their sub-blocks as specified in the PDD</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FR-04.3</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Service item lists</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Each section lists its service items, all editable through the CMS</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FR-04.4</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Section call to action</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Each section contains a button that opens the form with that service pre-selected</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FR-04.5</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Why Choose Us section</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Five differentiators render as specified</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FR-04.6</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How We Work section</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Four numbered steps render in sequence with visual step indicators</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FR-04.7</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Alternating backgrounds</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Sections alternate between white and light neutral backgrounds</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FR-04.8</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Iconography</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Each service section carries a consistent icon treatment in the brand palette</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FR-04.9</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Residency copy editability</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All residency route names and regulatory statements are CMS-editable without a release</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FR-04.10</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Insurance cross-reference</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The residency-qualifying insurance item links to or sits adjacent to the Residency section</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P2</w:t>
            </w:r>
          </w:p>
        </w:tc>
      </w:tr>
    </w:tbl>
    <w:p>
      <w:pPr>
        <w:pStyle w:val="Heading2"/>
        <w:spacing w:after="120" w:before="260"/>
      </w:pPr>
      <w:r>
        <w:rPr>
          <w:rFonts w:ascii="Arial" w:cs="Arial" w:eastAsia="Arial" w:hAnsi="Arial"/>
          <w:b/>
          <w:bCs/>
          <w:color w:val="0A2A5E"/>
          <w:sz w:val="24"/>
          <w:szCs w:val="24"/>
        </w:rPr>
        <w:t xml:space="preserve">5.2 User Stories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050"/>
        <w:gridCol w:w="3450"/>
        <w:gridCol w:w="4500"/>
      </w:tblGrid>
      <w:tr>
        <w:trPr>
          <w:tblHeader/>
        </w:trPr>
        <w:tc>
          <w:tcPr>
            <w:tcW w:type="dxa" w:w="10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ID</w:t>
            </w:r>
          </w:p>
        </w:tc>
        <w:tc>
          <w:tcPr>
            <w:tcW w:type="dxa" w:w="34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User story</w:t>
            </w:r>
          </w:p>
        </w:tc>
        <w:tc>
          <w:tcPr>
            <w:tcW w:type="dxa" w:w="45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Acceptance criteria (Given / When / Then)</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US-04.1</w:t>
            </w:r>
          </w:p>
        </w:tc>
        <w:tc>
          <w:tcPr>
            <w:tcW w:type="dxa" w:w="34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As a family relocating, I want to see that school placement is handled, so that I know my main concern is covered.</w:t>
            </w:r>
          </w:p>
        </w:tc>
        <w:tc>
          <w:tcPr>
            <w:tcW w:type="dxa" w:w="4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Given I reach the Practical Adaptation section, when it renders, then school and kindergarten placement is listed as a named service.</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US-04.2</w:t>
            </w:r>
          </w:p>
        </w:tc>
        <w:tc>
          <w:tcPr>
            <w:tcW w:type="dxa" w:w="34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As a business owner, I want enough depth in the business section to judge competence, so that I am willing to make contact.</w:t>
            </w:r>
          </w:p>
        </w:tc>
        <w:tc>
          <w:tcPr>
            <w:tcW w:type="dxa" w:w="45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Given I reach the Business Relocation section, when it renders, then all five business services are listed with descriptive copy, not labels alone.</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US-04.3</w:t>
            </w:r>
          </w:p>
        </w:tc>
        <w:tc>
          <w:tcPr>
            <w:tcW w:type="dxa" w:w="34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As a content administrator, I want to update residency wording when the rules change, so that the site is never inaccurate.</w:t>
            </w:r>
          </w:p>
        </w:tc>
        <w:tc>
          <w:tcPr>
            <w:tcW w:type="dxa" w:w="4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Given immigration terminology changes, when I edit that copy in the CMS and save, then the change is live without a deployment.</w:t>
            </w:r>
          </w:p>
        </w:tc>
      </w:tr>
    </w:tbl>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6. EP-05 — Frequently Asked Questions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050"/>
        <w:gridCol w:w="2550"/>
        <w:gridCol w:w="4300"/>
        <w:gridCol w:w="1100"/>
      </w:tblGrid>
      <w:tr>
        <w:trPr>
          <w:tblHeader/>
        </w:trPr>
        <w:tc>
          <w:tcPr>
            <w:tcW w:type="dxa" w:w="10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ID</w:t>
            </w:r>
          </w:p>
        </w:tc>
        <w:tc>
          <w:tcPr>
            <w:tcW w:type="dxa" w:w="25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Requirement</w:t>
            </w:r>
          </w:p>
        </w:tc>
        <w:tc>
          <w:tcPr>
            <w:tcW w:type="dxa" w:w="43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Acceptance criteria</w:t>
            </w:r>
          </w:p>
        </w:tc>
        <w:tc>
          <w:tcPr>
            <w:tcW w:type="dxa" w:w="11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Priority</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FR-05.1</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Expandable list</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Between eight and twelve questions render as an expand-and-collapse list</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FR-05.2</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CMS management</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Questions can be created, edited, reordered, and removed per language by an administrator</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FR-05.3</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Structured data</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FAQ structured data is emitted and validates without errors in a structured data testing tool</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FR-05.4</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Crawlable answers</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Answer text is present in the served markup, not injected only on expansion</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FR-05.5</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Independent expansion</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Opening one question does not close another</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P2</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FR-05.6</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Call to action</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form call to action closes the FAQ section</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bl>
    <w:p>
      <w:pPr>
        <w:pStyle w:val="Heading2"/>
        <w:spacing w:after="120" w:before="260"/>
      </w:pPr>
      <w:r>
        <w:rPr>
          <w:rFonts w:ascii="Arial" w:cs="Arial" w:eastAsia="Arial" w:hAnsi="Arial"/>
          <w:b/>
          <w:bCs/>
          <w:color w:val="0A2A5E"/>
          <w:sz w:val="24"/>
          <w:szCs w:val="24"/>
        </w:rPr>
        <w:t xml:space="preserve">6.1 Launch Question Set</w:t>
      </w:r>
    </w:p>
    <w:p>
      <w:pPr>
        <w:pStyle w:val="ListParagraph"/>
        <w:numPr>
          <w:ilvl w:val="0"/>
          <w:numId w:val="2"/>
        </w:numPr>
        <w:spacing w:after="60" w:before="40" w:line="264"/>
      </w:pPr>
      <w:r>
        <w:rPr>
          <w:rFonts w:ascii="Arial" w:cs="Arial" w:eastAsia="Arial" w:hAnsi="Arial"/>
          <w:color w:val="2C2F36"/>
          <w:sz w:val="20"/>
          <w:szCs w:val="20"/>
        </w:rPr>
        <w:t xml:space="preserve">How long does the relocation process take?</w:t>
      </w:r>
    </w:p>
    <w:p>
      <w:pPr>
        <w:pStyle w:val="ListParagraph"/>
        <w:numPr>
          <w:ilvl w:val="0"/>
          <w:numId w:val="2"/>
        </w:numPr>
        <w:spacing w:after="60" w:before="40" w:line="264"/>
      </w:pPr>
      <w:r>
        <w:rPr>
          <w:rFonts w:ascii="Arial" w:cs="Arial" w:eastAsia="Arial" w:hAnsi="Arial"/>
          <w:color w:val="2C2F36"/>
          <w:sz w:val="20"/>
          <w:szCs w:val="20"/>
        </w:rPr>
        <w:t xml:space="preserve">What does your service cost, and how is it charged?</w:t>
      </w:r>
    </w:p>
    <w:p>
      <w:pPr>
        <w:pStyle w:val="ListParagraph"/>
        <w:numPr>
          <w:ilvl w:val="0"/>
          <w:numId w:val="2"/>
        </w:numPr>
        <w:spacing w:after="60" w:before="40" w:line="264"/>
      </w:pPr>
      <w:r>
        <w:rPr>
          <w:rFonts w:ascii="Arial" w:cs="Arial" w:eastAsia="Arial" w:hAnsi="Arial"/>
          <w:color w:val="2C2F36"/>
          <w:sz w:val="20"/>
          <w:szCs w:val="20"/>
        </w:rPr>
        <w:t xml:space="preserve">Can you help if I am already in Spain?</w:t>
      </w:r>
    </w:p>
    <w:p>
      <w:pPr>
        <w:pStyle w:val="ListParagraph"/>
        <w:numPr>
          <w:ilvl w:val="0"/>
          <w:numId w:val="2"/>
        </w:numPr>
        <w:spacing w:after="60" w:before="40" w:line="264"/>
      </w:pPr>
      <w:r>
        <w:rPr>
          <w:rFonts w:ascii="Arial" w:cs="Arial" w:eastAsia="Arial" w:hAnsi="Arial"/>
          <w:color w:val="2C2F36"/>
          <w:sz w:val="20"/>
          <w:szCs w:val="20"/>
        </w:rPr>
        <w:t xml:space="preserve">Which residency route is right for my situation?</w:t>
      </w:r>
    </w:p>
    <w:p>
      <w:pPr>
        <w:pStyle w:val="ListParagraph"/>
        <w:numPr>
          <w:ilvl w:val="0"/>
          <w:numId w:val="2"/>
        </w:numPr>
        <w:spacing w:after="60" w:before="40" w:line="264"/>
      </w:pPr>
      <w:r>
        <w:rPr>
          <w:rFonts w:ascii="Arial" w:cs="Arial" w:eastAsia="Arial" w:hAnsi="Arial"/>
          <w:color w:val="2C2F36"/>
          <w:sz w:val="20"/>
          <w:szCs w:val="20"/>
        </w:rPr>
        <w:t xml:space="preserve">Do I need to speak Spanish to work with you?</w:t>
      </w:r>
    </w:p>
    <w:p>
      <w:pPr>
        <w:pStyle w:val="ListParagraph"/>
        <w:numPr>
          <w:ilvl w:val="0"/>
          <w:numId w:val="2"/>
        </w:numPr>
        <w:spacing w:after="60" w:before="40" w:line="264"/>
      </w:pPr>
      <w:r>
        <w:rPr>
          <w:rFonts w:ascii="Arial" w:cs="Arial" w:eastAsia="Arial" w:hAnsi="Arial"/>
          <w:color w:val="2C2F36"/>
          <w:sz w:val="20"/>
          <w:szCs w:val="20"/>
        </w:rPr>
        <w:t xml:space="preserve">Can you assist with school placement mid-academic-year?</w:t>
      </w:r>
    </w:p>
    <w:p>
      <w:pPr>
        <w:pStyle w:val="ListParagraph"/>
        <w:numPr>
          <w:ilvl w:val="0"/>
          <w:numId w:val="2"/>
        </w:numPr>
        <w:spacing w:after="60" w:before="40" w:line="264"/>
      </w:pPr>
      <w:r>
        <w:rPr>
          <w:rFonts w:ascii="Arial" w:cs="Arial" w:eastAsia="Arial" w:hAnsi="Arial"/>
          <w:color w:val="2C2F36"/>
          <w:sz w:val="20"/>
          <w:szCs w:val="20"/>
        </w:rPr>
        <w:t xml:space="preserve">Do you work with clients holding temporary protection status?</w:t>
      </w:r>
    </w:p>
    <w:p>
      <w:pPr>
        <w:pStyle w:val="ListParagraph"/>
        <w:numPr>
          <w:ilvl w:val="0"/>
          <w:numId w:val="2"/>
        </w:numPr>
        <w:spacing w:after="60" w:before="40" w:line="264"/>
      </w:pPr>
      <w:r>
        <w:rPr>
          <w:rFonts w:ascii="Arial" w:cs="Arial" w:eastAsia="Arial" w:hAnsi="Arial"/>
          <w:color w:val="2C2F36"/>
          <w:sz w:val="20"/>
          <w:szCs w:val="20"/>
        </w:rPr>
        <w:t xml:space="preserve">What happens if my application is refused?</w:t>
      </w:r>
    </w:p>
    <w:p>
      <w:pPr>
        <w:pStyle w:val="Heading1"/>
        <w:pBdr>
          <w:bottom w:val="single" w:color="C9A227" w:sz="12" w:space="6"/>
        </w:pBdr>
        <w:spacing w:after="160" w:before="360"/>
      </w:pPr>
      <w:r>
        <w:rPr>
          <w:rFonts w:ascii="Arial" w:cs="Arial" w:eastAsia="Arial" w:hAnsi="Arial"/>
          <w:b/>
          <w:bCs/>
          <w:color w:val="0A2A5E"/>
          <w:sz w:val="30"/>
          <w:szCs w:val="30"/>
        </w:rPr>
        <w:t xml:space="preserve">7. EP-06 — Lead Capture Form</w:t>
      </w:r>
    </w:p>
    <w:p>
      <w:pPr>
        <w:spacing w:after="120" w:before="60" w:line="276"/>
        <w:jc w:val="left"/>
      </w:pPr>
      <w:r>
        <w:rPr>
          <w:rFonts w:ascii="Arial" w:cs="Arial" w:eastAsia="Arial" w:hAnsi="Arial"/>
          <w:b w:val="false"/>
          <w:bCs w:val="false"/>
          <w:i w:val="false"/>
          <w:iCs w:val="false"/>
          <w:color w:val="2C2F36"/>
          <w:sz w:val="20"/>
          <w:szCs w:val="20"/>
        </w:rPr>
        <w:t xml:space="preserve">This is the commercial core of the release. It is specified in the greatest detail because its behaviour determines whether the product succeeds.</w:t>
      </w:r>
    </w:p>
    <w:p>
      <w:pPr>
        <w:pStyle w:val="Heading2"/>
        <w:spacing w:after="120" w:before="260"/>
      </w:pPr>
      <w:r>
        <w:rPr>
          <w:rFonts w:ascii="Arial" w:cs="Arial" w:eastAsia="Arial" w:hAnsi="Arial"/>
          <w:b/>
          <w:bCs/>
          <w:color w:val="0A2A5E"/>
          <w:sz w:val="24"/>
          <w:szCs w:val="24"/>
        </w:rPr>
        <w:t xml:space="preserve">7.1 Step 1 — Contact and Interest</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100"/>
        <w:gridCol w:w="1300"/>
        <w:gridCol w:w="1500"/>
        <w:gridCol w:w="4100"/>
      </w:tblGrid>
      <w:tr>
        <w:trPr>
          <w:tblHeader/>
        </w:trPr>
        <w:tc>
          <w:tcPr>
            <w:tcW w:type="dxa" w:w="21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Field</w:t>
            </w:r>
          </w:p>
        </w:tc>
        <w:tc>
          <w:tcPr>
            <w:tcW w:type="dxa" w:w="13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Type</w:t>
            </w:r>
          </w:p>
        </w:tc>
        <w:tc>
          <w:tcPr>
            <w:tcW w:type="dxa" w:w="15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Required</w:t>
            </w:r>
          </w:p>
        </w:tc>
        <w:tc>
          <w:tcPr>
            <w:tcW w:type="dxa" w:w="41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Validation and behaviour</w:t>
            </w:r>
          </w:p>
        </w:tc>
      </w:tr>
      <w:tr>
        <w:tc>
          <w:tcPr>
            <w:tcW w:type="dxa" w:w="2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Name</w:t>
            </w:r>
          </w:p>
        </w:tc>
        <w:tc>
          <w:tcPr>
            <w:tcW w:type="dxa" w:w="1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Text</w:t>
            </w:r>
          </w:p>
        </w:tc>
        <w:tc>
          <w:tcPr>
            <w:tcW w:type="dxa" w:w="1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Yes</w:t>
            </w:r>
          </w:p>
        </w:tc>
        <w:tc>
          <w:tcPr>
            <w:tcW w:type="dxa" w:w="4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Two characters minimum; no forced split into first and last name</w:t>
            </w:r>
          </w:p>
        </w:tc>
      </w:tr>
      <w:tr>
        <w:tc>
          <w:tcPr>
            <w:tcW w:type="dxa" w:w="2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Phone</w:t>
            </w:r>
          </w:p>
        </w:tc>
        <w:tc>
          <w:tcPr>
            <w:tcW w:type="dxa" w:w="1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Telephone</w:t>
            </w:r>
          </w:p>
        </w:tc>
        <w:tc>
          <w:tcPr>
            <w:tcW w:type="dxa" w:w="15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Yes</w:t>
            </w:r>
          </w:p>
        </w:tc>
        <w:tc>
          <w:tcPr>
            <w:tcW w:type="dxa" w:w="4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International format with country selector; country pre-selected from detected locale</w:t>
            </w:r>
          </w:p>
        </w:tc>
      </w:tr>
      <w:tr>
        <w:tc>
          <w:tcPr>
            <w:tcW w:type="dxa" w:w="2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Email</w:t>
            </w:r>
          </w:p>
        </w:tc>
        <w:tc>
          <w:tcPr>
            <w:tcW w:type="dxa" w:w="1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Email</w:t>
            </w:r>
          </w:p>
        </w:tc>
        <w:tc>
          <w:tcPr>
            <w:tcW w:type="dxa" w:w="1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Yes</w:t>
            </w:r>
          </w:p>
        </w:tc>
        <w:tc>
          <w:tcPr>
            <w:tcW w:type="dxa" w:w="4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Format validated on blur, not on every keystroke</w:t>
            </w:r>
          </w:p>
        </w:tc>
      </w:tr>
      <w:tr>
        <w:tc>
          <w:tcPr>
            <w:tcW w:type="dxa" w:w="2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Services of interest</w:t>
            </w:r>
          </w:p>
        </w:tc>
        <w:tc>
          <w:tcPr>
            <w:tcW w:type="dxa" w:w="1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Multi-select</w:t>
            </w:r>
          </w:p>
        </w:tc>
        <w:tc>
          <w:tcPr>
            <w:tcW w:type="dxa" w:w="15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Yes</w:t>
            </w:r>
          </w:p>
        </w:tc>
        <w:tc>
          <w:tcPr>
            <w:tcW w:type="dxa" w:w="4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Six categories; at least one required; pre-selected when opened from a section button</w:t>
            </w:r>
          </w:p>
        </w:tc>
      </w:tr>
      <w:tr>
        <w:tc>
          <w:tcPr>
            <w:tcW w:type="dxa" w:w="2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Consent</w:t>
            </w:r>
          </w:p>
        </w:tc>
        <w:tc>
          <w:tcPr>
            <w:tcW w:type="dxa" w:w="1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Checkbox</w:t>
            </w:r>
          </w:p>
        </w:tc>
        <w:tc>
          <w:tcPr>
            <w:tcW w:type="dxa" w:w="1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Yes</w:t>
            </w:r>
          </w:p>
        </w:tc>
        <w:tc>
          <w:tcPr>
            <w:tcW w:type="dxa" w:w="4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Unticked by default; links to the privacy notice; cannot be bundled with any other agreement</w:t>
            </w:r>
          </w:p>
        </w:tc>
      </w:tr>
    </w:tbl>
    <w:p>
      <w:pPr>
        <w:pStyle w:val="Heading2"/>
        <w:spacing w:after="120" w:before="260"/>
      </w:pPr>
      <w:r>
        <w:rPr>
          <w:rFonts w:ascii="Arial" w:cs="Arial" w:eastAsia="Arial" w:hAnsi="Arial"/>
          <w:b/>
          <w:bCs/>
          <w:color w:val="0A2A5E"/>
          <w:sz w:val="24"/>
          <w:szCs w:val="24"/>
        </w:rPr>
        <w:t xml:space="preserve">7.2 Step 2 — Qualification</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300"/>
        <w:gridCol w:w="1500"/>
        <w:gridCol w:w="5200"/>
      </w:tblGrid>
      <w:tr>
        <w:trPr>
          <w:tblHeader/>
        </w:trPr>
        <w:tc>
          <w:tcPr>
            <w:tcW w:type="dxa" w:w="23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Field</w:t>
            </w:r>
          </w:p>
        </w:tc>
        <w:tc>
          <w:tcPr>
            <w:tcW w:type="dxa" w:w="15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Type</w:t>
            </w:r>
          </w:p>
        </w:tc>
        <w:tc>
          <w:tcPr>
            <w:tcW w:type="dxa" w:w="52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Purpose and behaviour</w:t>
            </w:r>
          </w:p>
        </w:tc>
      </w:tr>
      <w:tr>
        <w:tc>
          <w:tcPr>
            <w:tcW w:type="dxa" w:w="2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Country of residence</w:t>
            </w:r>
          </w:p>
        </w:tc>
        <w:tc>
          <w:tcPr>
            <w:tcW w:type="dxa" w:w="1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Select</w:t>
            </w:r>
          </w:p>
        </w:tc>
        <w:tc>
          <w:tcPr>
            <w:tcW w:type="dxa" w:w="5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Determines the applicable route and whether the client is already in Spain</w:t>
            </w:r>
          </w:p>
        </w:tc>
      </w:tr>
      <w:tr>
        <w:tc>
          <w:tcPr>
            <w:tcW w:type="dxa" w:w="2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Preferred language</w:t>
            </w:r>
          </w:p>
        </w:tc>
        <w:tc>
          <w:tcPr>
            <w:tcW w:type="dxa" w:w="15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Select</w:t>
            </w:r>
          </w:p>
        </w:tc>
        <w:tc>
          <w:tcPr>
            <w:tcW w:type="dxa" w:w="5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Defaults to the active site language; routes the case and sets follow-up language</w:t>
            </w:r>
          </w:p>
        </w:tc>
      </w:tr>
      <w:tr>
        <w:tc>
          <w:tcPr>
            <w:tcW w:type="dxa" w:w="2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Current source of income</w:t>
            </w:r>
          </w:p>
        </w:tc>
        <w:tc>
          <w:tcPr>
            <w:tcW w:type="dxa" w:w="1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Select</w:t>
            </w:r>
          </w:p>
        </w:tc>
        <w:tc>
          <w:tcPr>
            <w:tcW w:type="dxa" w:w="5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Optional; accompanied by a visible explanation of why it is asked</w:t>
            </w:r>
          </w:p>
        </w:tc>
      </w:tr>
      <w:tr>
        <w:tc>
          <w:tcPr>
            <w:tcW w:type="dxa" w:w="2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Intended timeline</w:t>
            </w:r>
          </w:p>
        </w:tc>
        <w:tc>
          <w:tcPr>
            <w:tcW w:type="dxa" w:w="15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Select</w:t>
            </w:r>
          </w:p>
        </w:tc>
        <w:tc>
          <w:tcPr>
            <w:tcW w:type="dxa" w:w="5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Immediate, within three months, within a year, or exploring</w:t>
            </w:r>
          </w:p>
        </w:tc>
      </w:tr>
      <w:tr>
        <w:tc>
          <w:tcPr>
            <w:tcW w:type="dxa" w:w="2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Number of people relocating</w:t>
            </w:r>
          </w:p>
        </w:tc>
        <w:tc>
          <w:tcPr>
            <w:tcW w:type="dxa" w:w="1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Number</w:t>
            </w:r>
          </w:p>
        </w:tc>
        <w:tc>
          <w:tcPr>
            <w:tcW w:type="dxa" w:w="5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Identifies family cases requiring schooling and dependent status</w:t>
            </w:r>
          </w:p>
        </w:tc>
      </w:tr>
    </w:tbl>
    <w:p>
      <w:pPr>
        <w:pStyle w:val="Heading2"/>
        <w:spacing w:after="120" w:before="260"/>
      </w:pPr>
      <w:r>
        <w:rPr>
          <w:rFonts w:ascii="Arial" w:cs="Arial" w:eastAsia="Arial" w:hAnsi="Arial"/>
          <w:b/>
          <w:bCs/>
          <w:color w:val="0A2A5E"/>
          <w:sz w:val="24"/>
          <w:szCs w:val="24"/>
        </w:rPr>
        <w:t xml:space="preserve">7.3 Requirements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050"/>
        <w:gridCol w:w="2550"/>
        <w:gridCol w:w="4300"/>
        <w:gridCol w:w="1100"/>
      </w:tblGrid>
      <w:tr>
        <w:trPr>
          <w:tblHeader/>
        </w:trPr>
        <w:tc>
          <w:tcPr>
            <w:tcW w:type="dxa" w:w="10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ID</w:t>
            </w:r>
          </w:p>
        </w:tc>
        <w:tc>
          <w:tcPr>
            <w:tcW w:type="dxa" w:w="25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Requirement</w:t>
            </w:r>
          </w:p>
        </w:tc>
        <w:tc>
          <w:tcPr>
            <w:tcW w:type="dxa" w:w="43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Acceptance criteria</w:t>
            </w:r>
          </w:p>
        </w:tc>
        <w:tc>
          <w:tcPr>
            <w:tcW w:type="dxa" w:w="11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Priority</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FR-06.1</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Two-step structure</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Step 1 submission creates a complete lead record independently of Step 2</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FR-06.2</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Step 2 optional</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Abandoning Step 2 leaves the Step 1 lead intact and delivered</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FR-06.3</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Service pre-selection</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Opening the form from a section button pre-selects that service</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FR-06.4</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Inline validation</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Errors display beside the field, in the active language, and never clear entered data</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FR-06.5</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Explicit consent</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Submission is blocked until consent is given; the consent text and timestamp are stored with the record</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FR-06.6</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Email delivery</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Every submission is delivered to the designated SRH mailbox within one minute</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FR-06.7</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Structured storage</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Every submission is written to a queryable store and is exportable</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FR-06.8</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Client acknowledgement</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An automated acknowledgement is sent in the submission language, stating the response time commitment</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FR-06.9</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Confirmation screen</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localised confirmation displays with WhatsApp offered as an immediate escalation path</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FR-06.10</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Spam protection</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An invisible mechanism is used; no visual puzzle is presented to the user</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FR-06.11</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Submission metadata</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Language, source section, referrer, and timestamp are recorded on every record</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FR-06.12</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Duplicate handling</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Repeat submissions from the same email within twenty-four hours are flagged rather than rejected</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P2</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FR-06.13</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Failure handling</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If delivery fails, the record is still stored and an alert is raised to the system owner</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FR-06.14</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Mobile input</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Field types invoke the correct mobile keyboard for telephone, email, and numeric input</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bl>
    <w:p>
      <w:pPr>
        <w:pStyle w:val="Heading2"/>
        <w:spacing w:after="120" w:before="260"/>
      </w:pPr>
      <w:r>
        <w:rPr>
          <w:rFonts w:ascii="Arial" w:cs="Arial" w:eastAsia="Arial" w:hAnsi="Arial"/>
          <w:b/>
          <w:bCs/>
          <w:color w:val="0A2A5E"/>
          <w:sz w:val="24"/>
          <w:szCs w:val="24"/>
        </w:rPr>
        <w:t xml:space="preserve">7.4 User Stories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050"/>
        <w:gridCol w:w="3450"/>
        <w:gridCol w:w="4500"/>
      </w:tblGrid>
      <w:tr>
        <w:trPr>
          <w:tblHeader/>
        </w:trPr>
        <w:tc>
          <w:tcPr>
            <w:tcW w:type="dxa" w:w="10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ID</w:t>
            </w:r>
          </w:p>
        </w:tc>
        <w:tc>
          <w:tcPr>
            <w:tcW w:type="dxa" w:w="34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User story</w:t>
            </w:r>
          </w:p>
        </w:tc>
        <w:tc>
          <w:tcPr>
            <w:tcW w:type="dxa" w:w="45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Acceptance criteria (Given / When / Then)</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US-06.1</w:t>
            </w:r>
          </w:p>
        </w:tc>
        <w:tc>
          <w:tcPr>
            <w:tcW w:type="dxa" w:w="34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As a visitor in a hurry, I want to send my details in under a minute, so that I do not abandon the form.</w:t>
            </w:r>
          </w:p>
        </w:tc>
        <w:tc>
          <w:tcPr>
            <w:tcW w:type="dxa" w:w="4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Given I open the form, when I complete only Step 1 and submit, then my enquiry is delivered and I see a confirmation.</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US-06.2</w:t>
            </w:r>
          </w:p>
        </w:tc>
        <w:tc>
          <w:tcPr>
            <w:tcW w:type="dxa" w:w="34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As a lead handler, I want to know what the client wants before I call, so that I do not waste the first conversation.</w:t>
            </w:r>
          </w:p>
        </w:tc>
        <w:tc>
          <w:tcPr>
            <w:tcW w:type="dxa" w:w="45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Given a lead record exists, when I open it, then the selected services, language, and any Step 2 answers are present.</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US-06.3</w:t>
            </w:r>
          </w:p>
        </w:tc>
        <w:tc>
          <w:tcPr>
            <w:tcW w:type="dxa" w:w="34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As a visitor, I want to know when someone will reply, so that I am not left uncertain.</w:t>
            </w:r>
          </w:p>
        </w:tc>
        <w:tc>
          <w:tcPr>
            <w:tcW w:type="dxa" w:w="4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Given I submit the form, when the acknowledgement arrives, then it states the response time in the language I used.</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US-06.4</w:t>
            </w:r>
          </w:p>
        </w:tc>
        <w:tc>
          <w:tcPr>
            <w:tcW w:type="dxa" w:w="34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As a visitor uncomfortable disclosing income, I want to skip that question, so that I still get help.</w:t>
            </w:r>
          </w:p>
        </w:tc>
        <w:tc>
          <w:tcPr>
            <w:tcW w:type="dxa" w:w="45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Given I am on Step 2, when I leave the income field empty and submit, then the submission succeeds without error.</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US-06.5</w:t>
            </w:r>
          </w:p>
        </w:tc>
        <w:tc>
          <w:tcPr>
            <w:tcW w:type="dxa" w:w="34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As a content administrator, I want to export leads, so that I can work them outside the site.</w:t>
            </w:r>
          </w:p>
        </w:tc>
        <w:tc>
          <w:tcPr>
            <w:tcW w:type="dxa" w:w="45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Given I open the leads view in the CMS, when I export, then a file containing all fields and metadata is produced.</w:t>
            </w:r>
          </w:p>
        </w:tc>
      </w:tr>
    </w:tbl>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8. EP-07 — WhatsApp Channel</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050"/>
        <w:gridCol w:w="2550"/>
        <w:gridCol w:w="4300"/>
        <w:gridCol w:w="1100"/>
      </w:tblGrid>
      <w:tr>
        <w:trPr>
          <w:tblHeader/>
        </w:trPr>
        <w:tc>
          <w:tcPr>
            <w:tcW w:type="dxa" w:w="10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ID</w:t>
            </w:r>
          </w:p>
        </w:tc>
        <w:tc>
          <w:tcPr>
            <w:tcW w:type="dxa" w:w="25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Requirement</w:t>
            </w:r>
          </w:p>
        </w:tc>
        <w:tc>
          <w:tcPr>
            <w:tcW w:type="dxa" w:w="43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Acceptance criteria</w:t>
            </w:r>
          </w:p>
        </w:tc>
        <w:tc>
          <w:tcPr>
            <w:tcW w:type="dxa" w:w="11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Priority</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FR-07.1</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Persistent button</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floating WhatsApp action is present at all viewports and does not obscure form fields or the footer</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FR-07.2</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Language-aware message</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The chat opens with a prefilled greeting in the active site language</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FR-07.3</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Context awareness</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When launched from a service section, the prefilled message names that service</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FR-07.4</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Platform behaviour</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Opens the application on mobile and the web client on desktop</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FR-07.5</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Conversion tracking</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Each launch is recorded as a conversion event with equal weight to a form submission</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FR-07.6</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Confirmation escalation</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The form confirmation screen offers WhatsApp as an immediate follow-up</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bl>
    <w:p>
      <w:pPr>
        <w:pStyle w:val="Heading2"/>
        <w:spacing w:after="120" w:before="260"/>
      </w:pPr>
      <w:r>
        <w:rPr>
          <w:rFonts w:ascii="Arial" w:cs="Arial" w:eastAsia="Arial" w:hAnsi="Arial"/>
          <w:b/>
          <w:bCs/>
          <w:color w:val="0A2A5E"/>
          <w:sz w:val="24"/>
          <w:szCs w:val="24"/>
        </w:rPr>
        <w:t xml:space="preserve">8.1 Prefilled Message Pattern</w:t>
      </w:r>
    </w:p>
    <w:p>
      <w:pPr>
        <w:spacing w:after="120" w:before="60" w:line="276"/>
        <w:jc w:val="left"/>
      </w:pPr>
      <w:r>
        <w:rPr>
          <w:rFonts w:ascii="Arial" w:cs="Arial" w:eastAsia="Arial" w:hAnsi="Arial"/>
          <w:b w:val="false"/>
          <w:bCs w:val="false"/>
          <w:i w:val="false"/>
          <w:iCs w:val="false"/>
          <w:color w:val="2C2F36"/>
          <w:sz w:val="20"/>
          <w:szCs w:val="20"/>
        </w:rPr>
        <w:t xml:space="preserve">Base pattern: a greeting, an identification of the source as the website, and, where applicable, the service of interest. Example in English: "Hello, I found you through your website and I would like to ask about residency in Spain." Each language edition carries its own natural phrasing rather than a translation of the English string.</w:t>
      </w:r>
    </w:p>
    <w:p>
      <w:pPr>
        <w:pStyle w:val="Heading1"/>
        <w:pBdr>
          <w:bottom w:val="single" w:color="C9A227" w:sz="12" w:space="6"/>
        </w:pBdr>
        <w:spacing w:after="160" w:before="360"/>
      </w:pPr>
      <w:r>
        <w:rPr>
          <w:rFonts w:ascii="Arial" w:cs="Arial" w:eastAsia="Arial" w:hAnsi="Arial"/>
          <w:b/>
          <w:bCs/>
          <w:color w:val="0A2A5E"/>
          <w:sz w:val="30"/>
          <w:szCs w:val="30"/>
        </w:rPr>
        <w:t xml:space="preserve">9. EP-08 — Contact and Social</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050"/>
        <w:gridCol w:w="2550"/>
        <w:gridCol w:w="4300"/>
        <w:gridCol w:w="1100"/>
      </w:tblGrid>
      <w:tr>
        <w:trPr>
          <w:tblHeader/>
        </w:trPr>
        <w:tc>
          <w:tcPr>
            <w:tcW w:type="dxa" w:w="10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ID</w:t>
            </w:r>
          </w:p>
        </w:tc>
        <w:tc>
          <w:tcPr>
            <w:tcW w:type="dxa" w:w="25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Requirement</w:t>
            </w:r>
          </w:p>
        </w:tc>
        <w:tc>
          <w:tcPr>
            <w:tcW w:type="dxa" w:w="43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Acceptance criteria</w:t>
            </w:r>
          </w:p>
        </w:tc>
        <w:tc>
          <w:tcPr>
            <w:tcW w:type="dxa" w:w="11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Priority</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FR-08.1</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Contact channels</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Telephone, WhatsApp, and email display in the contact section and the footer</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FR-08.2</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Click to call</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The telephone number is actionable on mobile devices</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FR-08.3</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Social profiles</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Instagram, Facebook, and LinkedIn links open in a new context</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FR-08.4</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CMS editability</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All contact details and social links are editable without a release</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FR-08.5</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Organisation structured data</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Contact and organisation structured data is emitted and validates</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P2</w:t>
            </w:r>
          </w:p>
        </w:tc>
      </w:tr>
    </w:tbl>
    <w:p>
      <w:pPr>
        <w:pStyle w:val="Heading1"/>
        <w:pBdr>
          <w:bottom w:val="single" w:color="C9A227" w:sz="12" w:space="6"/>
        </w:pBdr>
        <w:spacing w:after="160" w:before="360"/>
      </w:pPr>
      <w:r>
        <w:rPr>
          <w:rFonts w:ascii="Arial" w:cs="Arial" w:eastAsia="Arial" w:hAnsi="Arial"/>
          <w:b/>
          <w:bCs/>
          <w:color w:val="0A2A5E"/>
          <w:sz w:val="30"/>
          <w:szCs w:val="30"/>
        </w:rPr>
        <w:t xml:space="preserve">10. EP-09 — Content Management</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050"/>
        <w:gridCol w:w="2550"/>
        <w:gridCol w:w="4300"/>
        <w:gridCol w:w="1100"/>
      </w:tblGrid>
      <w:tr>
        <w:trPr>
          <w:tblHeader/>
        </w:trPr>
        <w:tc>
          <w:tcPr>
            <w:tcW w:type="dxa" w:w="10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ID</w:t>
            </w:r>
          </w:p>
        </w:tc>
        <w:tc>
          <w:tcPr>
            <w:tcW w:type="dxa" w:w="25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Requirement</w:t>
            </w:r>
          </w:p>
        </w:tc>
        <w:tc>
          <w:tcPr>
            <w:tcW w:type="dxa" w:w="43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Acceptance criteria</w:t>
            </w:r>
          </w:p>
        </w:tc>
        <w:tc>
          <w:tcPr>
            <w:tcW w:type="dxa" w:w="11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Priority</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FR-09.1</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Authenticated access</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The administration interface requires authentication and enforces session expiry</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FR-09.2</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Full copy editing</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All headings, body copy, and service items are editable in each of the four languages</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FR-09.3</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FAQ management</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Questions can be created, edited, reordered, and deleted per language</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FR-09.4</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Media replacement</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Images can be replaced without developer involvement</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FR-09.5</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Contact editing</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Contact details and social links are editable</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FR-09.6</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Lead access</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Submissions can be viewed, filtered, and exported</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FR-09.7</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Translation gap view</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Untranslated fields are visibly flagged per language</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FR-09.8</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Non-technical usability</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An administrator working in Russian or Ukrainian can complete a content edit unaided after a single demonstration</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FR-09.9</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Change safety</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Content changes are recoverable; a prior version can be restored</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P2</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FR-09.10</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Preview</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Changes can be previewed before publication</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P2</w:t>
            </w:r>
          </w:p>
        </w:tc>
      </w:tr>
    </w:tbl>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11. EP-10 — Search Optimisation</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050"/>
        <w:gridCol w:w="2550"/>
        <w:gridCol w:w="4300"/>
        <w:gridCol w:w="1100"/>
      </w:tblGrid>
      <w:tr>
        <w:trPr>
          <w:tblHeader/>
        </w:trPr>
        <w:tc>
          <w:tcPr>
            <w:tcW w:type="dxa" w:w="10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ID</w:t>
            </w:r>
          </w:p>
        </w:tc>
        <w:tc>
          <w:tcPr>
            <w:tcW w:type="dxa" w:w="25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Requirement</w:t>
            </w:r>
          </w:p>
        </w:tc>
        <w:tc>
          <w:tcPr>
            <w:tcW w:type="dxa" w:w="43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Acceptance criteria</w:t>
            </w:r>
          </w:p>
        </w:tc>
        <w:tc>
          <w:tcPr>
            <w:tcW w:type="dxa" w:w="11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Priority</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FR-10.1</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Per-language metadata</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Each edition has its own title and description, written for search intent in that language, not translated mechanically</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FR-10.2</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Title accuracy</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The title tag describes the actual page content and matches the visible headline in intent</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FR-10.3</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Semantic headings</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single top-level heading per edition with a correct descending hierarchy</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FR-10.4</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Hreflang</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Reciprocal annotations across all four editions plus an x-default declaration</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FR-10.5</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Sitemap</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An XML sitemap listing every language edition is generated and submitted</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FR-10.6</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Robots directives</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Crawl directives permit indexing of all four editions</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FR-10.7</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Server-rendered content</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All body content is present in the served markup without requiring client-side execution to become visible to a crawler</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FR-10.8</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Canonical tags</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Each edition declares its own canonical URL</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FR-10.9</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Image optimisation</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Descriptive alternative text in the active language; modern formats; explicit dimensions</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FR-10.10</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Social preview</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Open Graph metadata renders correctly when a link is shared in messaging applications</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bl>
    <w:p>
      <w:pPr>
        <w:spacing w:after="120" w:before="60" w:line="276"/>
        <w:jc w:val="left"/>
      </w:pPr>
      <w:r>
        <w:rPr>
          <w:rFonts w:ascii="Arial" w:cs="Arial" w:eastAsia="Arial" w:hAnsi="Arial"/>
          <w:b w:val="false"/>
          <w:bCs w:val="false"/>
          <w:i/>
          <w:iCs/>
          <w:color w:val="2C2F36"/>
          <w:sz w:val="20"/>
          <w:szCs w:val="20"/>
        </w:rPr>
        <w:t xml:space="preserve">Requirement FR-10.7 is emphasised: the site must be crawlable without client-side rendering. A page whose content only exists after script execution is functionally invisible to several crawlers and to link previews in messaging applications, which is the primary sharing channel for the target segments.</w:t>
      </w:r>
    </w:p>
    <w:p>
      <w:pPr>
        <w:pStyle w:val="Heading1"/>
        <w:pBdr>
          <w:bottom w:val="single" w:color="C9A227" w:sz="12" w:space="6"/>
        </w:pBdr>
        <w:spacing w:after="160" w:before="360"/>
      </w:pPr>
      <w:r>
        <w:rPr>
          <w:rFonts w:ascii="Arial" w:cs="Arial" w:eastAsia="Arial" w:hAnsi="Arial"/>
          <w:b/>
          <w:bCs/>
          <w:color w:val="0A2A5E"/>
          <w:sz w:val="30"/>
          <w:szCs w:val="30"/>
        </w:rPr>
        <w:t xml:space="preserve">12. EP-11 — Analytics and Tracking</w:t>
      </w:r>
    </w:p>
    <w:p>
      <w:pPr>
        <w:pStyle w:val="Heading2"/>
        <w:spacing w:after="120" w:before="260"/>
      </w:pPr>
      <w:r>
        <w:rPr>
          <w:rFonts w:ascii="Arial" w:cs="Arial" w:eastAsia="Arial" w:hAnsi="Arial"/>
          <w:b/>
          <w:bCs/>
          <w:color w:val="0A2A5E"/>
          <w:sz w:val="24"/>
          <w:szCs w:val="24"/>
        </w:rPr>
        <w:t xml:space="preserve">12.1 Requirements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050"/>
        <w:gridCol w:w="2550"/>
        <w:gridCol w:w="4300"/>
        <w:gridCol w:w="1100"/>
      </w:tblGrid>
      <w:tr>
        <w:trPr>
          <w:tblHeader/>
        </w:trPr>
        <w:tc>
          <w:tcPr>
            <w:tcW w:type="dxa" w:w="10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ID</w:t>
            </w:r>
          </w:p>
        </w:tc>
        <w:tc>
          <w:tcPr>
            <w:tcW w:type="dxa" w:w="25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Requirement</w:t>
            </w:r>
          </w:p>
        </w:tc>
        <w:tc>
          <w:tcPr>
            <w:tcW w:type="dxa" w:w="43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Acceptance criteria</w:t>
            </w:r>
          </w:p>
        </w:tc>
        <w:tc>
          <w:tcPr>
            <w:tcW w:type="dxa" w:w="11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Priority</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FR-11.1</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Analytics installed</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Sessions, sources, devices, and geography are recorded</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FR-11.2</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Consent gating</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No analytics or marketing script executes before consent is granted</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FR-11.3</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Conversion events</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Form submission and WhatsApp launch are both recorded as conversions</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FR-11.4</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Language dimension</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All traffic and conversion metrics are segmentable by language edition</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FR-11.5</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Service dimension</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Conversions are attributable to the service selected or the originating section</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P2</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FR-11.6</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Funnel visibility</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Step 1 and Step 2 completion are separately measurable</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bl>
    <w:p>
      <w:pPr>
        <w:pStyle w:val="Heading2"/>
        <w:spacing w:after="120" w:before="260"/>
      </w:pPr>
      <w:r>
        <w:rPr>
          <w:rFonts w:ascii="Arial" w:cs="Arial" w:eastAsia="Arial" w:hAnsi="Arial"/>
          <w:b/>
          <w:bCs/>
          <w:color w:val="0A2A5E"/>
          <w:sz w:val="24"/>
          <w:szCs w:val="24"/>
        </w:rPr>
        <w:t xml:space="preserve">12.2 Event Dictionary</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400"/>
        <w:gridCol w:w="2600"/>
        <w:gridCol w:w="4000"/>
      </w:tblGrid>
      <w:tr>
        <w:trPr>
          <w:tblHeader/>
        </w:trPr>
        <w:tc>
          <w:tcPr>
            <w:tcW w:type="dxa" w:w="24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Event</w:t>
            </w:r>
          </w:p>
        </w:tc>
        <w:tc>
          <w:tcPr>
            <w:tcW w:type="dxa" w:w="26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Trigger</w:t>
            </w:r>
          </w:p>
        </w:tc>
        <w:tc>
          <w:tcPr>
            <w:tcW w:type="dxa" w:w="40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Attributes</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page_view</w:t>
            </w:r>
          </w:p>
        </w:tc>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Page load</w:t>
            </w:r>
          </w:p>
        </w:tc>
        <w:tc>
          <w:tcPr>
            <w:tcW w:type="dxa" w:w="4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Language, device, referrer, country</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section_view</w:t>
            </w:r>
          </w:p>
        </w:tc>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section enters the viewport</w:t>
            </w:r>
          </w:p>
        </w:tc>
        <w:tc>
          <w:tcPr>
            <w:tcW w:type="dxa" w:w="4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Section identifier, language</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cta_click</w:t>
            </w:r>
          </w:p>
        </w:tc>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Any form call to action is selected</w:t>
            </w:r>
          </w:p>
        </w:tc>
        <w:tc>
          <w:tcPr>
            <w:tcW w:type="dxa" w:w="4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Source section, language</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form_open</w:t>
            </w:r>
          </w:p>
        </w:tc>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The enquiry form is displayed</w:t>
            </w:r>
          </w:p>
        </w:tc>
        <w:tc>
          <w:tcPr>
            <w:tcW w:type="dxa" w:w="4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Source section, pre-selected services</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form_step1_submit</w:t>
            </w:r>
          </w:p>
        </w:tc>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Step 1 is submitted successfully</w:t>
            </w:r>
          </w:p>
        </w:tc>
        <w:tc>
          <w:tcPr>
            <w:tcW w:type="dxa" w:w="4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Services selected, language</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form_step2_submit</w:t>
            </w:r>
          </w:p>
        </w:tc>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Step 2 is submitted successfully</w:t>
            </w:r>
          </w:p>
        </w:tc>
        <w:tc>
          <w:tcPr>
            <w:tcW w:type="dxa" w:w="4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Country, timeline, party size</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form_abandon</w:t>
            </w:r>
          </w:p>
        </w:tc>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The form is closed without submitting</w:t>
            </w:r>
          </w:p>
        </w:tc>
        <w:tc>
          <w:tcPr>
            <w:tcW w:type="dxa" w:w="4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Last field reached, language</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whatsapp_click</w:t>
            </w:r>
          </w:p>
        </w:tc>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The WhatsApp action is launched</w:t>
            </w:r>
          </w:p>
        </w:tc>
        <w:tc>
          <w:tcPr>
            <w:tcW w:type="dxa" w:w="4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Source section, language, device</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language_switch</w:t>
            </w:r>
          </w:p>
        </w:tc>
        <w:tc>
          <w:tcPr>
            <w:tcW w:type="dxa" w:w="2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The language is manually changed</w:t>
            </w:r>
          </w:p>
        </w:tc>
        <w:tc>
          <w:tcPr>
            <w:tcW w:type="dxa" w:w="4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From language, to language</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faq_expand</w:t>
            </w:r>
          </w:p>
        </w:tc>
        <w:tc>
          <w:tcPr>
            <w:tcW w:type="dxa" w:w="2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question is expanded</w:t>
            </w:r>
          </w:p>
        </w:tc>
        <w:tc>
          <w:tcPr>
            <w:tcW w:type="dxa" w:w="4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Question identifier, language</w:t>
            </w:r>
          </w:p>
        </w:tc>
      </w:tr>
    </w:tbl>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13. EP-12 — Consent and Legal</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050"/>
        <w:gridCol w:w="2550"/>
        <w:gridCol w:w="4300"/>
        <w:gridCol w:w="1100"/>
      </w:tblGrid>
      <w:tr>
        <w:trPr>
          <w:tblHeader/>
        </w:trPr>
        <w:tc>
          <w:tcPr>
            <w:tcW w:type="dxa" w:w="10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ID</w:t>
            </w:r>
          </w:p>
        </w:tc>
        <w:tc>
          <w:tcPr>
            <w:tcW w:type="dxa" w:w="25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Requirement</w:t>
            </w:r>
          </w:p>
        </w:tc>
        <w:tc>
          <w:tcPr>
            <w:tcW w:type="dxa" w:w="43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Acceptance criteria</w:t>
            </w:r>
          </w:p>
        </w:tc>
        <w:tc>
          <w:tcPr>
            <w:tcW w:type="dxa" w:w="11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Priority</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FR-12.1</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Cookie banner</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Displays on first visit with granular category consent and no pre-ticked boxes</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FR-12.2</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Script gating</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Non-essential scripts do not execute before consent is granted</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FR-12.3</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Consent withdrawal</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Consent can be changed or withdrawn at any time through a persistent control</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FR-12.4</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Privacy notice</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Published in all four languages, identifying the controller, lawful basis, retention, and data subject rights</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FR-12.5</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Cookie policy</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Published in all four languages and reachable from the banner and footer</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FR-12.6</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Legal notice</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Company identification details are published as required of commercial sites operating in Spain</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FR-12.7</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Consent record</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The consent text version and timestamp are stored with each lead record</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FR-12.8</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Retention and erasure</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 defined retention period is configured and an erasure procedure is documented</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FR-12.9</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Transfer documentation</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Any processing outside the European Economic Area is documented before launch</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bl>
    <w:p>
      <w:pPr>
        <w:pStyle w:val="Heading1"/>
        <w:pBdr>
          <w:bottom w:val="single" w:color="C9A227" w:sz="12" w:space="6"/>
        </w:pBdr>
        <w:spacing w:after="160" w:before="360"/>
      </w:pPr>
      <w:r>
        <w:rPr>
          <w:rFonts w:ascii="Arial" w:cs="Arial" w:eastAsia="Arial" w:hAnsi="Arial"/>
          <w:b/>
          <w:bCs/>
          <w:color w:val="0A2A5E"/>
          <w:sz w:val="30"/>
          <w:szCs w:val="30"/>
        </w:rPr>
        <w:t xml:space="preserve">14. Data Model</w:t>
      </w:r>
    </w:p>
    <w:p>
      <w:pPr>
        <w:pStyle w:val="Heading2"/>
        <w:spacing w:after="120" w:before="260"/>
      </w:pPr>
      <w:r>
        <w:rPr>
          <w:rFonts w:ascii="Arial" w:cs="Arial" w:eastAsia="Arial" w:hAnsi="Arial"/>
          <w:b/>
          <w:bCs/>
          <w:color w:val="0A2A5E"/>
          <w:sz w:val="24"/>
          <w:szCs w:val="24"/>
        </w:rPr>
        <w:t xml:space="preserve">14.1 Lead Record</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400"/>
        <w:gridCol w:w="1600"/>
        <w:gridCol w:w="5000"/>
      </w:tblGrid>
      <w:tr>
        <w:trPr>
          <w:tblHeader/>
        </w:trPr>
        <w:tc>
          <w:tcPr>
            <w:tcW w:type="dxa" w:w="24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Field</w:t>
            </w:r>
          </w:p>
        </w:tc>
        <w:tc>
          <w:tcPr>
            <w:tcW w:type="dxa" w:w="16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Type</w:t>
            </w:r>
          </w:p>
        </w:tc>
        <w:tc>
          <w:tcPr>
            <w:tcW w:type="dxa" w:w="50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Notes</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lead_id</w:t>
            </w:r>
          </w:p>
        </w:tc>
        <w:tc>
          <w:tcPr>
            <w:tcW w:type="dxa" w:w="1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Identifier</w:t>
            </w:r>
          </w:p>
        </w:tc>
        <w:tc>
          <w:tcPr>
            <w:tcW w:type="dxa" w:w="5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System-generated, unique</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created_at</w:t>
            </w:r>
          </w:p>
        </w:tc>
        <w:tc>
          <w:tcPr>
            <w:tcW w:type="dxa" w:w="1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Timestamp</w:t>
            </w:r>
          </w:p>
        </w:tc>
        <w:tc>
          <w:tcPr>
            <w:tcW w:type="dxa" w:w="5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Time of Step 1 submission</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name</w:t>
            </w:r>
          </w:p>
        </w:tc>
        <w:tc>
          <w:tcPr>
            <w:tcW w:type="dxa" w:w="1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Text</w:t>
            </w:r>
          </w:p>
        </w:tc>
        <w:tc>
          <w:tcPr>
            <w:tcW w:type="dxa" w:w="5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Required</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phone</w:t>
            </w:r>
          </w:p>
        </w:tc>
        <w:tc>
          <w:tcPr>
            <w:tcW w:type="dxa" w:w="1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Text</w:t>
            </w:r>
          </w:p>
        </w:tc>
        <w:tc>
          <w:tcPr>
            <w:tcW w:type="dxa" w:w="5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Required; stored in international format</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email</w:t>
            </w:r>
          </w:p>
        </w:tc>
        <w:tc>
          <w:tcPr>
            <w:tcW w:type="dxa" w:w="1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Text</w:t>
            </w:r>
          </w:p>
        </w:tc>
        <w:tc>
          <w:tcPr>
            <w:tcW w:type="dxa" w:w="5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Required</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services</w:t>
            </w:r>
          </w:p>
        </w:tc>
        <w:tc>
          <w:tcPr>
            <w:tcW w:type="dxa" w:w="1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List</w:t>
            </w:r>
          </w:p>
        </w:tc>
        <w:tc>
          <w:tcPr>
            <w:tcW w:type="dxa" w:w="5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One or more of the six service categories</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consent_given</w:t>
            </w:r>
          </w:p>
        </w:tc>
        <w:tc>
          <w:tcPr>
            <w:tcW w:type="dxa" w:w="1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Boolean</w:t>
            </w:r>
          </w:p>
        </w:tc>
        <w:tc>
          <w:tcPr>
            <w:tcW w:type="dxa" w:w="5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Always true for a stored record</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consent_text_version</w:t>
            </w:r>
          </w:p>
        </w:tc>
        <w:tc>
          <w:tcPr>
            <w:tcW w:type="dxa" w:w="1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Text</w:t>
            </w:r>
          </w:p>
        </w:tc>
        <w:tc>
          <w:tcPr>
            <w:tcW w:type="dxa" w:w="5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Version identifier of the consent wording shown</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consent_timestamp</w:t>
            </w:r>
          </w:p>
        </w:tc>
        <w:tc>
          <w:tcPr>
            <w:tcW w:type="dxa" w:w="1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Timestamp</w:t>
            </w:r>
          </w:p>
        </w:tc>
        <w:tc>
          <w:tcPr>
            <w:tcW w:type="dxa" w:w="5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Time consent was given</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submission_language</w:t>
            </w:r>
          </w:p>
        </w:tc>
        <w:tc>
          <w:tcPr>
            <w:tcW w:type="dxa" w:w="1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Code</w:t>
            </w:r>
          </w:p>
        </w:tc>
        <w:tc>
          <w:tcPr>
            <w:tcW w:type="dxa" w:w="5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uk, ru, es, or en</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source_section</w:t>
            </w:r>
          </w:p>
        </w:tc>
        <w:tc>
          <w:tcPr>
            <w:tcW w:type="dxa" w:w="1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Text</w:t>
            </w:r>
          </w:p>
        </w:tc>
        <w:tc>
          <w:tcPr>
            <w:tcW w:type="dxa" w:w="5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Section from which the form was opened</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referrer</w:t>
            </w:r>
          </w:p>
        </w:tc>
        <w:tc>
          <w:tcPr>
            <w:tcW w:type="dxa" w:w="1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Text</w:t>
            </w:r>
          </w:p>
        </w:tc>
        <w:tc>
          <w:tcPr>
            <w:tcW w:type="dxa" w:w="5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Originating URL or campaign parameter</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country_of_residence</w:t>
            </w:r>
          </w:p>
        </w:tc>
        <w:tc>
          <w:tcPr>
            <w:tcW w:type="dxa" w:w="1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Text</w:t>
            </w:r>
          </w:p>
        </w:tc>
        <w:tc>
          <w:tcPr>
            <w:tcW w:type="dxa" w:w="5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Step 2; optional</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preferred_language</w:t>
            </w:r>
          </w:p>
        </w:tc>
        <w:tc>
          <w:tcPr>
            <w:tcW w:type="dxa" w:w="1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Code</w:t>
            </w:r>
          </w:p>
        </w:tc>
        <w:tc>
          <w:tcPr>
            <w:tcW w:type="dxa" w:w="5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Step 2; defaults to submission language</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income_source</w:t>
            </w:r>
          </w:p>
        </w:tc>
        <w:tc>
          <w:tcPr>
            <w:tcW w:type="dxa" w:w="1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Text</w:t>
            </w:r>
          </w:p>
        </w:tc>
        <w:tc>
          <w:tcPr>
            <w:tcW w:type="dxa" w:w="5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Step 2; optional; personal financial data</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timeline</w:t>
            </w:r>
          </w:p>
        </w:tc>
        <w:tc>
          <w:tcPr>
            <w:tcW w:type="dxa" w:w="1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Text</w:t>
            </w:r>
          </w:p>
        </w:tc>
        <w:tc>
          <w:tcPr>
            <w:tcW w:type="dxa" w:w="5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Step 2; optional</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party_size</w:t>
            </w:r>
          </w:p>
        </w:tc>
        <w:tc>
          <w:tcPr>
            <w:tcW w:type="dxa" w:w="1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Number</w:t>
            </w:r>
          </w:p>
        </w:tc>
        <w:tc>
          <w:tcPr>
            <w:tcW w:type="dxa" w:w="5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Step 2; optional</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step2_completed</w:t>
            </w:r>
          </w:p>
        </w:tc>
        <w:tc>
          <w:tcPr>
            <w:tcW w:type="dxa" w:w="1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Boolean</w:t>
            </w:r>
          </w:p>
        </w:tc>
        <w:tc>
          <w:tcPr>
            <w:tcW w:type="dxa" w:w="5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Whether qualification was completed</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status</w:t>
            </w:r>
          </w:p>
        </w:tc>
        <w:tc>
          <w:tcPr>
            <w:tcW w:type="dxa" w:w="1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Text</w:t>
            </w:r>
          </w:p>
        </w:tc>
        <w:tc>
          <w:tcPr>
            <w:tcW w:type="dxa" w:w="5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New, contacted, qualified, or closed</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delivery_status</w:t>
            </w:r>
          </w:p>
        </w:tc>
        <w:tc>
          <w:tcPr>
            <w:tcW w:type="dxa" w:w="1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Text</w:t>
            </w:r>
          </w:p>
        </w:tc>
        <w:tc>
          <w:tcPr>
            <w:tcW w:type="dxa" w:w="5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Whether the notification email was delivered</w:t>
            </w:r>
          </w:p>
        </w:tc>
      </w:tr>
    </w:tbl>
    <w:p>
      <w:pPr>
        <w:pStyle w:val="Heading2"/>
        <w:spacing w:after="120" w:before="260"/>
      </w:pPr>
      <w:r>
        <w:rPr>
          <w:rFonts w:ascii="Arial" w:cs="Arial" w:eastAsia="Arial" w:hAnsi="Arial"/>
          <w:b/>
          <w:bCs/>
          <w:color w:val="0A2A5E"/>
          <w:sz w:val="24"/>
          <w:szCs w:val="24"/>
        </w:rPr>
        <w:t xml:space="preserve">14.2 Content Record</w:t>
      </w:r>
    </w:p>
    <w:p>
      <w:pPr>
        <w:spacing w:after="120" w:before="60" w:line="276"/>
        <w:jc w:val="left"/>
      </w:pPr>
      <w:r>
        <w:rPr>
          <w:rFonts w:ascii="Arial" w:cs="Arial" w:eastAsia="Arial" w:hAnsi="Arial"/>
          <w:b w:val="false"/>
          <w:bCs w:val="false"/>
          <w:i w:val="false"/>
          <w:iCs w:val="false"/>
          <w:color w:val="2C2F36"/>
          <w:sz w:val="20"/>
          <w:szCs w:val="20"/>
        </w:rPr>
        <w:t xml:space="preserve">All editable content is stored as structured records rather than embedded in templates, so that Phase 2 can query and extend it. Each content record carries a key, a language code, a value, a last-modified timestamp, and a translation status flag. A record without a value for a given language is reported in the translation gap view described in FR-09.7.</w:t>
      </w:r>
    </w:p>
    <w:p>
      <w:r>
        <w:br w:type="page"/>
      </w:r>
    </w:p>
    <w:p>
      <w:pPr>
        <w:pStyle w:val="Heading1"/>
        <w:pBdr>
          <w:bottom w:val="single" w:color="C9A227" w:sz="12" w:space="6"/>
        </w:pBdr>
        <w:spacing w:after="160" w:before="360"/>
      </w:pPr>
      <w:r>
        <w:rPr>
          <w:rFonts w:ascii="Arial" w:cs="Arial" w:eastAsia="Arial" w:hAnsi="Arial"/>
          <w:b/>
          <w:bCs/>
          <w:color w:val="0A2A5E"/>
          <w:sz w:val="30"/>
          <w:szCs w:val="30"/>
        </w:rPr>
        <w:t xml:space="preserve">15. Notifications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200"/>
        <w:gridCol w:w="2200"/>
        <w:gridCol w:w="4600"/>
      </w:tblGrid>
      <w:tr>
        <w:trPr>
          <w:tblHeader/>
        </w:trPr>
        <w:tc>
          <w:tcPr>
            <w:tcW w:type="dxa" w:w="22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Notification</w:t>
            </w:r>
          </w:p>
        </w:tc>
        <w:tc>
          <w:tcPr>
            <w:tcW w:type="dxa" w:w="22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Recipient</w:t>
            </w:r>
          </w:p>
        </w:tc>
        <w:tc>
          <w:tcPr>
            <w:tcW w:type="dxa" w:w="46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Content and timing</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Lead acknowledgement</w:t>
            </w:r>
          </w:p>
        </w:tc>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Client</w:t>
            </w:r>
          </w:p>
        </w:tc>
        <w:tc>
          <w:tcPr>
            <w:tcW w:type="dxa" w:w="4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Sent immediately in the submission language; confirms receipt and states the response time commitment</w:t>
            </w:r>
          </w:p>
        </w:tc>
      </w:tr>
      <w:tr>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Lead notification</w:t>
            </w:r>
          </w:p>
        </w:tc>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SRH mailbox</w:t>
            </w:r>
          </w:p>
        </w:tc>
        <w:tc>
          <w:tcPr>
            <w:tcW w:type="dxa" w:w="4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Sent within one minute; contains all captured fields and metadata</w:t>
            </w:r>
          </w:p>
        </w:tc>
      </w:tr>
      <w:tr>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Step 2 update</w:t>
            </w:r>
          </w:p>
        </w:tc>
        <w:tc>
          <w:tcPr>
            <w:tcW w:type="dxa" w:w="2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SRH mailbox</w:t>
            </w:r>
          </w:p>
        </w:tc>
        <w:tc>
          <w:tcPr>
            <w:tcW w:type="dxa" w:w="4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Sent when qualification is completed after the initial submission</w:t>
            </w:r>
          </w:p>
        </w:tc>
      </w:tr>
      <w:tr>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Delivery failure alert</w:t>
            </w:r>
          </w:p>
        </w:tc>
        <w:tc>
          <w:tcPr>
            <w:tcW w:type="dxa" w:w="2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System owner</w:t>
            </w:r>
          </w:p>
        </w:tc>
        <w:tc>
          <w:tcPr>
            <w:tcW w:type="dxa" w:w="4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Raised when a notification cannot be delivered</w:t>
            </w:r>
          </w:p>
        </w:tc>
      </w:tr>
    </w:tbl>
    <w:p>
      <w:pPr>
        <w:spacing w:after="120" w:before="60" w:line="276"/>
        <w:jc w:val="left"/>
      </w:pPr>
      <w:r>
        <w:rPr>
          <w:rFonts w:ascii="Arial" w:cs="Arial" w:eastAsia="Arial" w:hAnsi="Arial"/>
          <w:b w:val="false"/>
          <w:bCs w:val="false"/>
          <w:i/>
          <w:iCs/>
          <w:color w:val="2C2F36"/>
          <w:sz w:val="20"/>
          <w:szCs w:val="20"/>
        </w:rPr>
        <w:t xml:space="preserve">The response time stated in the client acknowledgement must reflect a commitment SRH can honour. An overstated commitment damages trust more than a modest one, and this figure is an open item requiring client confirmation before launch.</w:t>
      </w:r>
    </w:p>
    <w:p>
      <w:pPr>
        <w:pStyle w:val="Heading1"/>
        <w:pBdr>
          <w:bottom w:val="single" w:color="C9A227" w:sz="12" w:space="6"/>
        </w:pBdr>
        <w:spacing w:after="160" w:before="360"/>
      </w:pPr>
      <w:r>
        <w:rPr>
          <w:rFonts w:ascii="Arial" w:cs="Arial" w:eastAsia="Arial" w:hAnsi="Arial"/>
          <w:b/>
          <w:bCs/>
          <w:color w:val="0A2A5E"/>
          <w:sz w:val="30"/>
          <w:szCs w:val="30"/>
        </w:rPr>
        <w:t xml:space="preserve">16. Non-Functional Requirements</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050"/>
        <w:gridCol w:w="2550"/>
        <w:gridCol w:w="4300"/>
        <w:gridCol w:w="1100"/>
      </w:tblGrid>
      <w:tr>
        <w:trPr>
          <w:tblHeader/>
        </w:trPr>
        <w:tc>
          <w:tcPr>
            <w:tcW w:type="dxa" w:w="10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ID</w:t>
            </w:r>
          </w:p>
        </w:tc>
        <w:tc>
          <w:tcPr>
            <w:tcW w:type="dxa" w:w="255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Requirement</w:t>
            </w:r>
          </w:p>
        </w:tc>
        <w:tc>
          <w:tcPr>
            <w:tcW w:type="dxa" w:w="43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Acceptance criteria</w:t>
            </w:r>
          </w:p>
        </w:tc>
        <w:tc>
          <w:tcPr>
            <w:tcW w:type="dxa" w:w="11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Priority</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NFR-01</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Performance score</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PageSpeed Insights returns 85 or above on mobile and desktop for all four editions</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NFR-02</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Load speed</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Largest Contentful Paint under 2.5 seconds on a 4G mobile connection</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NFR-03</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Availability</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Minimum 99.5% monthly uptime</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NFR-04</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Browser support</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Current and previous major versions of Chrome, Safari, Firefox, and Edge</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NFR-05</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Mobile platforms</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iOS Safari and Android Chrome, current and previous major versions</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NFR-06</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Accessibility</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WCAG 2.1 Level AA target; colour contrast and keyboard navigation are mandatory minimums</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NFR-07</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Data security</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Lead data encrypted in transit and at rest; access limited to authorised personnel</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NFR-08</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Transport security</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HTTPS enforced on all paths with automated certificate renewal</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NFR-09</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Backup</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Automated daily backup of content and leads with a documented and tested restore procedure</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P0</w:t>
            </w:r>
          </w:p>
        </w:tc>
      </w:tr>
      <w:tr>
        <w:tc>
          <w:tcPr>
            <w:tcW w:type="dxa" w:w="10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NFR-10</w:t>
            </w:r>
          </w:p>
        </w:tc>
        <w:tc>
          <w:tcPr>
            <w:tcW w:type="dxa" w:w="255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Scalability</w:t>
            </w:r>
          </w:p>
        </w:tc>
        <w:tc>
          <w:tcPr>
            <w:tcW w:type="dxa" w:w="43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Handles social-referral traffic spikes without degradation</w:t>
            </w:r>
          </w:p>
        </w:tc>
        <w:tc>
          <w:tcPr>
            <w:tcW w:type="dxa" w:w="11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r>
        <w:tc>
          <w:tcPr>
            <w:tcW w:type="dxa" w:w="10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NFR-11</w:t>
            </w:r>
          </w:p>
        </w:tc>
        <w:tc>
          <w:tcPr>
            <w:tcW w:type="dxa" w:w="255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Maintainability</w:t>
            </w:r>
          </w:p>
        </w:tc>
        <w:tc>
          <w:tcPr>
            <w:tcW w:type="dxa" w:w="43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Content changes require no deployment; structural changes are documented</w:t>
            </w:r>
          </w:p>
        </w:tc>
        <w:tc>
          <w:tcPr>
            <w:tcW w:type="dxa" w:w="11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P1</w:t>
            </w:r>
          </w:p>
        </w:tc>
      </w:tr>
    </w:tbl>
    <w:p>
      <w:pPr>
        <w:pStyle w:val="Heading1"/>
        <w:pBdr>
          <w:bottom w:val="single" w:color="C9A227" w:sz="12" w:space="6"/>
        </w:pBdr>
        <w:spacing w:after="160" w:before="360"/>
      </w:pPr>
      <w:r>
        <w:rPr>
          <w:rFonts w:ascii="Arial" w:cs="Arial" w:eastAsia="Arial" w:hAnsi="Arial"/>
          <w:b/>
          <w:bCs/>
          <w:color w:val="0A2A5E"/>
          <w:sz w:val="30"/>
          <w:szCs w:val="30"/>
        </w:rPr>
        <w:t xml:space="preserve">17. Test and Acceptance Plan</w:t>
      </w:r>
    </w:p>
    <w:p>
      <w:pPr>
        <w:pStyle w:val="Heading2"/>
        <w:spacing w:after="120" w:before="260"/>
      </w:pPr>
      <w:r>
        <w:rPr>
          <w:rFonts w:ascii="Arial" w:cs="Arial" w:eastAsia="Arial" w:hAnsi="Arial"/>
          <w:b/>
          <w:bCs/>
          <w:color w:val="0A2A5E"/>
          <w:sz w:val="24"/>
          <w:szCs w:val="24"/>
        </w:rPr>
        <w:t xml:space="preserve">17.1 Test Matrix</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2400"/>
        <w:gridCol w:w="3200"/>
        <w:gridCol w:w="3400"/>
      </w:tblGrid>
      <w:tr>
        <w:trPr>
          <w:tblHeader/>
        </w:trPr>
        <w:tc>
          <w:tcPr>
            <w:tcW w:type="dxa" w:w="24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Area</w:t>
            </w:r>
          </w:p>
        </w:tc>
        <w:tc>
          <w:tcPr>
            <w:tcW w:type="dxa" w:w="32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Method</w:t>
            </w:r>
          </w:p>
        </w:tc>
        <w:tc>
          <w:tcPr>
            <w:tcW w:type="dxa" w:w="34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Pass condition</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Functional</w:t>
            </w:r>
          </w:p>
        </w:tc>
        <w:tc>
          <w:tcPr>
            <w:tcW w:type="dxa" w:w="3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Manual execution of every user story in all four languages</w:t>
            </w:r>
          </w:p>
        </w:tc>
        <w:tc>
          <w:tcPr>
            <w:tcW w:type="dxa" w:w="3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All acceptance criteria satisfied</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Language</w:t>
            </w:r>
          </w:p>
        </w:tc>
        <w:tc>
          <w:tcPr>
            <w:tcW w:type="dxa" w:w="3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Native-speaker review of every edition</w:t>
            </w:r>
          </w:p>
        </w:tc>
        <w:tc>
          <w:tcPr>
            <w:tcW w:type="dxa" w:w="3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No untranslated strings; no terminology errors</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Responsive</w:t>
            </w:r>
          </w:p>
        </w:tc>
        <w:tc>
          <w:tcPr>
            <w:tcW w:type="dxa" w:w="3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Viewport testing at 320, 375, 768, 1024, 1440, and 2560 px</w:t>
            </w:r>
          </w:p>
        </w:tc>
        <w:tc>
          <w:tcPr>
            <w:tcW w:type="dxa" w:w="3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No overflow, overlap, or truncation</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Performance</w:t>
            </w:r>
          </w:p>
        </w:tc>
        <w:tc>
          <w:tcPr>
            <w:tcW w:type="dxa" w:w="3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PageSpeed Insights per edition, mobile and desktop</w:t>
            </w:r>
          </w:p>
        </w:tc>
        <w:tc>
          <w:tcPr>
            <w:tcW w:type="dxa" w:w="3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Score of 85 or above in all eight runs</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Form delivery</w:t>
            </w:r>
          </w:p>
        </w:tc>
        <w:tc>
          <w:tcPr>
            <w:tcW w:type="dxa" w:w="3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End-to-end submission in each language</w:t>
            </w:r>
          </w:p>
        </w:tc>
        <w:tc>
          <w:tcPr>
            <w:tcW w:type="dxa" w:w="3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Email received, record stored, acknowledgement correctly localised</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WhatsApp</w:t>
            </w:r>
          </w:p>
        </w:tc>
        <w:tc>
          <w:tcPr>
            <w:tcW w:type="dxa" w:w="3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Launch on iOS, Android, and desktop</w:t>
            </w:r>
          </w:p>
        </w:tc>
        <w:tc>
          <w:tcPr>
            <w:tcW w:type="dxa" w:w="3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Chat opens with the correct prefilled message</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SEO</w:t>
            </w:r>
          </w:p>
        </w:tc>
        <w:tc>
          <w:tcPr>
            <w:tcW w:type="dxa" w:w="3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Structured data validation and crawl inspection</w:t>
            </w:r>
          </w:p>
        </w:tc>
        <w:tc>
          <w:tcPr>
            <w:tcW w:type="dxa" w:w="3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No errors; content visible without client-side rendering</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Consent</w:t>
            </w:r>
          </w:p>
        </w:tc>
        <w:tc>
          <w:tcPr>
            <w:tcW w:type="dxa" w:w="3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Script inspection before and after consent</w:t>
            </w:r>
          </w:p>
        </w:tc>
        <w:tc>
          <w:tcPr>
            <w:tcW w:type="dxa" w:w="3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No non-essential script executes prior to consent</w:t>
            </w:r>
          </w:p>
        </w:tc>
      </w:tr>
      <w:tr>
        <w:tc>
          <w:tcPr>
            <w:tcW w:type="dxa" w:w="2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Accessibility</w:t>
            </w:r>
          </w:p>
        </w:tc>
        <w:tc>
          <w:tcPr>
            <w:tcW w:type="dxa" w:w="32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Automated audit plus keyboard traversal</w:t>
            </w:r>
          </w:p>
        </w:tc>
        <w:tc>
          <w:tcPr>
            <w:tcW w:type="dxa" w:w="3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No critical violations; all controls reachable</w:t>
            </w:r>
          </w:p>
        </w:tc>
      </w:tr>
      <w:tr>
        <w:tc>
          <w:tcPr>
            <w:tcW w:type="dxa" w:w="2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CMS</w:t>
            </w:r>
          </w:p>
        </w:tc>
        <w:tc>
          <w:tcPr>
            <w:tcW w:type="dxa" w:w="32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Unaided content edit by an SRH administrator</w:t>
            </w:r>
          </w:p>
        </w:tc>
        <w:tc>
          <w:tcPr>
            <w:tcW w:type="dxa" w:w="3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Edit completed and published without assistance</w:t>
            </w:r>
          </w:p>
        </w:tc>
      </w:tr>
    </w:tbl>
    <w:p>
      <w:pPr>
        <w:pStyle w:val="Heading2"/>
        <w:spacing w:after="120" w:before="260"/>
      </w:pPr>
      <w:r>
        <w:rPr>
          <w:rFonts w:ascii="Arial" w:cs="Arial" w:eastAsia="Arial" w:hAnsi="Arial"/>
          <w:b/>
          <w:bCs/>
          <w:color w:val="0A2A5E"/>
          <w:sz w:val="24"/>
          <w:szCs w:val="24"/>
        </w:rPr>
        <w:t xml:space="preserve">17.2 Release Acceptance</w:t>
      </w:r>
    </w:p>
    <w:p>
      <w:pPr>
        <w:spacing w:after="120" w:before="60" w:line="276"/>
        <w:jc w:val="left"/>
      </w:pPr>
      <w:r>
        <w:rPr>
          <w:rFonts w:ascii="Arial" w:cs="Arial" w:eastAsia="Arial" w:hAnsi="Arial"/>
          <w:b w:val="false"/>
          <w:bCs w:val="false"/>
          <w:i w:val="false"/>
          <w:iCs w:val="false"/>
          <w:color w:val="2C2F36"/>
          <w:sz w:val="20"/>
          <w:szCs w:val="20"/>
        </w:rPr>
        <w:t xml:space="preserve">Release 1.0 is accepted when every P0 requirement passes its acceptance criterion, the test matrix passes in full, and the client has signed off the content in all four editions. Outstanding P1 items may ship only with recorded client acceptance; P2 items move to the Release 1.1 backlog.</w:t>
      </w:r>
    </w:p>
    <w:p>
      <w:pPr>
        <w:pStyle w:val="Heading1"/>
        <w:pBdr>
          <w:bottom w:val="single" w:color="C9A227" w:sz="12" w:space="6"/>
        </w:pBdr>
        <w:spacing w:after="160" w:before="360"/>
      </w:pPr>
      <w:r>
        <w:rPr>
          <w:rFonts w:ascii="Arial" w:cs="Arial" w:eastAsia="Arial" w:hAnsi="Arial"/>
          <w:b/>
          <w:bCs/>
          <w:color w:val="0A2A5E"/>
          <w:sz w:val="30"/>
          <w:szCs w:val="30"/>
        </w:rPr>
        <w:t xml:space="preserve">18. Release Plan</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1600"/>
        <w:gridCol w:w="3000"/>
        <w:gridCol w:w="4400"/>
      </w:tblGrid>
      <w:tr>
        <w:trPr>
          <w:tblHeader/>
        </w:trPr>
        <w:tc>
          <w:tcPr>
            <w:tcW w:type="dxa" w:w="16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Milestone</w:t>
            </w:r>
          </w:p>
        </w:tc>
        <w:tc>
          <w:tcPr>
            <w:tcW w:type="dxa" w:w="30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Contents</w:t>
            </w:r>
          </w:p>
        </w:tc>
        <w:tc>
          <w:tcPr>
            <w:tcW w:type="dxa" w:w="44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Exit condition</w:t>
            </w:r>
          </w:p>
        </w:tc>
      </w:tr>
      <w:tr>
        <w:tc>
          <w:tcPr>
            <w:tcW w:type="dxa" w:w="1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M1 — Content lock</w:t>
            </w:r>
          </w:p>
        </w:tc>
        <w:tc>
          <w:tcPr>
            <w:tcW w:type="dxa" w:w="3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Final English copy approved; imagery selected</w:t>
            </w:r>
          </w:p>
        </w:tc>
        <w:tc>
          <w:tcPr>
            <w:tcW w:type="dxa" w:w="4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Client sign-off on English source content</w:t>
            </w:r>
          </w:p>
        </w:tc>
      </w:tr>
      <w:tr>
        <w:tc>
          <w:tcPr>
            <w:tcW w:type="dxa" w:w="1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M2 — Translation</w:t>
            </w:r>
          </w:p>
        </w:tc>
        <w:tc>
          <w:tcPr>
            <w:tcW w:type="dxa" w:w="3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Ukrainian, Russian, and Spanish editions produced and reviewed</w:t>
            </w:r>
          </w:p>
        </w:tc>
        <w:tc>
          <w:tcPr>
            <w:tcW w:type="dxa" w:w="4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Native-speaker review complete for each edition</w:t>
            </w:r>
          </w:p>
        </w:tc>
      </w:tr>
      <w:tr>
        <w:tc>
          <w:tcPr>
            <w:tcW w:type="dxa" w:w="1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M3 — Build</w:t>
            </w:r>
          </w:p>
        </w:tc>
        <w:tc>
          <w:tcPr>
            <w:tcW w:type="dxa" w:w="3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All P0 epics implemented; CMS populated</w:t>
            </w:r>
          </w:p>
        </w:tc>
        <w:tc>
          <w:tcPr>
            <w:tcW w:type="dxa" w:w="4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Internal test matrix passes in English</w:t>
            </w:r>
          </w:p>
        </w:tc>
      </w:tr>
      <w:tr>
        <w:tc>
          <w:tcPr>
            <w:tcW w:type="dxa" w:w="1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M4 — Localised build</w:t>
            </w:r>
          </w:p>
        </w:tc>
        <w:tc>
          <w:tcPr>
            <w:tcW w:type="dxa" w:w="3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All four editions live in a staging environment</w:t>
            </w:r>
          </w:p>
        </w:tc>
        <w:tc>
          <w:tcPr>
            <w:tcW w:type="dxa" w:w="4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Test matrix passes in all four languages</w:t>
            </w:r>
          </w:p>
        </w:tc>
      </w:tr>
      <w:tr>
        <w:tc>
          <w:tcPr>
            <w:tcW w:type="dxa" w:w="16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M5 — Compliance</w:t>
            </w:r>
          </w:p>
        </w:tc>
        <w:tc>
          <w:tcPr>
            <w:tcW w:type="dxa" w:w="3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Privacy, cookie, and legal notices published; consent gating verified</w:t>
            </w:r>
          </w:p>
        </w:tc>
        <w:tc>
          <w:tcPr>
            <w:tcW w:type="dxa" w:w="44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Legal content approved by the client</w:t>
            </w:r>
          </w:p>
        </w:tc>
      </w:tr>
      <w:tr>
        <w:tc>
          <w:tcPr>
            <w:tcW w:type="dxa" w:w="16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M6 — Launch</w:t>
            </w:r>
          </w:p>
        </w:tc>
        <w:tc>
          <w:tcPr>
            <w:tcW w:type="dxa" w:w="3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Production deployment; analytics and sitemap submitted</w:t>
            </w:r>
          </w:p>
        </w:tc>
        <w:tc>
          <w:tcPr>
            <w:tcW w:type="dxa" w:w="44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Release acceptance criteria met</w:t>
            </w:r>
          </w:p>
        </w:tc>
      </w:tr>
    </w:tbl>
    <w:p>
      <w:pPr>
        <w:pStyle w:val="Heading1"/>
        <w:pBdr>
          <w:bottom w:val="single" w:color="C9A227" w:sz="12" w:space="6"/>
        </w:pBdr>
        <w:spacing w:after="160" w:before="360"/>
      </w:pPr>
      <w:r>
        <w:rPr>
          <w:rFonts w:ascii="Arial" w:cs="Arial" w:eastAsia="Arial" w:hAnsi="Arial"/>
          <w:b/>
          <w:bCs/>
          <w:color w:val="0A2A5E"/>
          <w:sz w:val="30"/>
          <w:szCs w:val="30"/>
        </w:rPr>
        <w:t xml:space="preserve">19. Dependencies and Open Items</w:t>
      </w:r>
    </w:p>
    <w:p>
      <w:pPr>
        <w:pStyle w:val="Heading2"/>
        <w:spacing w:after="120" w:before="260"/>
      </w:pPr>
      <w:r>
        <w:rPr>
          <w:rFonts w:ascii="Arial" w:cs="Arial" w:eastAsia="Arial" w:hAnsi="Arial"/>
          <w:b/>
          <w:bCs/>
          <w:color w:val="0A2A5E"/>
          <w:sz w:val="24"/>
          <w:szCs w:val="24"/>
        </w:rPr>
        <w:t xml:space="preserve">19.1 Client Dependencies</w:t>
      </w:r>
    </w:p>
    <w:p>
      <w:pPr>
        <w:pStyle w:val="ListParagraph"/>
        <w:numPr>
          <w:ilvl w:val="0"/>
          <w:numId w:val="2"/>
        </w:numPr>
        <w:spacing w:after="60" w:before="40" w:line="264"/>
      </w:pPr>
      <w:r>
        <w:rPr>
          <w:rFonts w:ascii="Arial" w:cs="Arial" w:eastAsia="Arial" w:hAnsi="Arial"/>
          <w:color w:val="2C2F36"/>
          <w:sz w:val="20"/>
          <w:szCs w:val="20"/>
        </w:rPr>
        <w:t xml:space="preserve">Approved source copy and imagery, or authority for LucrumTech to draft on SRH's behalf.</w:t>
      </w:r>
    </w:p>
    <w:p>
      <w:pPr>
        <w:pStyle w:val="ListParagraph"/>
        <w:numPr>
          <w:ilvl w:val="0"/>
          <w:numId w:val="2"/>
        </w:numPr>
        <w:spacing w:after="60" w:before="40" w:line="264"/>
      </w:pPr>
      <w:r>
        <w:rPr>
          <w:rFonts w:ascii="Arial" w:cs="Arial" w:eastAsia="Arial" w:hAnsi="Arial"/>
          <w:color w:val="2C2F36"/>
          <w:sz w:val="20"/>
          <w:szCs w:val="20"/>
        </w:rPr>
        <w:t xml:space="preserve">Domain name and business WhatsApp number available at project start.</w:t>
      </w:r>
    </w:p>
    <w:p>
      <w:pPr>
        <w:pStyle w:val="ListParagraph"/>
        <w:numPr>
          <w:ilvl w:val="0"/>
          <w:numId w:val="2"/>
        </w:numPr>
        <w:spacing w:after="60" w:before="40" w:line="264"/>
      </w:pPr>
      <w:r>
        <w:rPr>
          <w:rFonts w:ascii="Arial" w:cs="Arial" w:eastAsia="Arial" w:hAnsi="Arial"/>
          <w:color w:val="2C2F36"/>
          <w:sz w:val="20"/>
          <w:szCs w:val="20"/>
        </w:rPr>
        <w:t xml:space="preserve">A designated reviewer for each language edition.</w:t>
      </w:r>
    </w:p>
    <w:p>
      <w:pPr>
        <w:pStyle w:val="ListParagraph"/>
        <w:numPr>
          <w:ilvl w:val="0"/>
          <w:numId w:val="2"/>
        </w:numPr>
        <w:spacing w:after="60" w:before="40" w:line="264"/>
      </w:pPr>
      <w:r>
        <w:rPr>
          <w:rFonts w:ascii="Arial" w:cs="Arial" w:eastAsia="Arial" w:hAnsi="Arial"/>
          <w:color w:val="2C2F36"/>
          <w:sz w:val="20"/>
          <w:szCs w:val="20"/>
        </w:rPr>
        <w:t xml:space="preserve">Legal entity details for the legal notice and privacy documentation.</w:t>
      </w:r>
    </w:p>
    <w:p>
      <w:pPr>
        <w:pStyle w:val="Heading2"/>
        <w:spacing w:after="120" w:before="260"/>
      </w:pPr>
      <w:r>
        <w:rPr>
          <w:rFonts w:ascii="Arial" w:cs="Arial" w:eastAsia="Arial" w:hAnsi="Arial"/>
          <w:b/>
          <w:bCs/>
          <w:color w:val="0A2A5E"/>
          <w:sz w:val="24"/>
          <w:szCs w:val="24"/>
        </w:rPr>
        <w:t xml:space="preserve">19.2 Open Items Blocking Launch</w:t>
      </w:r>
    </w:p>
    <w:tbl>
      <w:tblPr>
        <w:tblW w:type="dxa" w:w="9000"/>
        <w:tblBorders>
          <w:top w:val="single" w:color="C8CCD4" w:sz="4"/>
          <w:left w:val="single" w:color="C8CCD4" w:sz="4"/>
          <w:bottom w:val="single" w:color="C8CCD4" w:sz="4"/>
          <w:right w:val="single" w:color="C8CCD4" w:sz="4"/>
          <w:insideH w:val="single" w:color="D8DCE2" w:sz="2"/>
          <w:insideV w:val="single" w:color="D8DCE2" w:sz="2"/>
        </w:tblBorders>
      </w:tblPr>
      <w:tblGrid>
        <w:gridCol w:w="3000"/>
        <w:gridCol w:w="6000"/>
      </w:tblGrid>
      <w:tr>
        <w:trPr>
          <w:tblHeader/>
        </w:trPr>
        <w:tc>
          <w:tcPr>
            <w:tcW w:type="dxa" w:w="30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Item</w:t>
            </w:r>
          </w:p>
        </w:tc>
        <w:tc>
          <w:tcPr>
            <w:tcW w:type="dxa" w:w="6000"/>
            <w:shd w:fill="0A2A5E" w:color="auto" w:val="clear"/>
            <w:tcMar>
              <w:top w:type="dxa" w:w="90"/>
              <w:left w:type="dxa" w:w="120"/>
              <w:bottom w:type="dxa" w:w="90"/>
              <w:right w:type="dxa" w:w="120"/>
            </w:tcMar>
            <w:vAlign w:val="center"/>
          </w:tcPr>
          <w:p>
            <w:pPr>
              <w:spacing w:after="0" w:before="0" w:line="252"/>
            </w:pPr>
            <w:r>
              <w:rPr>
                <w:rFonts w:ascii="Arial" w:cs="Arial" w:eastAsia="Arial" w:hAnsi="Arial"/>
                <w:b/>
                <w:bCs/>
                <w:color w:val="FFFFFF"/>
                <w:sz w:val="18"/>
                <w:szCs w:val="18"/>
              </w:rPr>
              <w:t xml:space="preserve">Required decision</w:t>
            </w:r>
          </w:p>
        </w:tc>
      </w:tr>
      <w:tr>
        <w:tc>
          <w:tcPr>
            <w:tcW w:type="dxa" w:w="3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Response time commitment</w:t>
            </w:r>
          </w:p>
        </w:tc>
        <w:tc>
          <w:tcPr>
            <w:tcW w:type="dxa" w:w="6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The figure stated in the client acknowledgement must be confirmed by SRH</w:t>
            </w:r>
          </w:p>
        </w:tc>
      </w:tr>
      <w:tr>
        <w:tc>
          <w:tcPr>
            <w:tcW w:type="dxa" w:w="3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Data controller identity</w:t>
            </w:r>
          </w:p>
        </w:tc>
        <w:tc>
          <w:tcPr>
            <w:tcW w:type="dxa" w:w="6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The legal entity and jurisdiction must be named in the privacy notice</w:t>
            </w:r>
          </w:p>
        </w:tc>
      </w:tr>
      <w:tr>
        <w:tc>
          <w:tcPr>
            <w:tcW w:type="dxa" w:w="3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Russian as a launch language</w:t>
            </w:r>
          </w:p>
        </w:tc>
        <w:tc>
          <w:tcPr>
            <w:tcW w:type="dxa" w:w="6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Confirmation that four editions ship at launch rather than three</w:t>
            </w:r>
          </w:p>
        </w:tc>
      </w:tr>
      <w:tr>
        <w:tc>
          <w:tcPr>
            <w:tcW w:type="dxa" w:w="3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CRM integration</w:t>
            </w:r>
          </w:p>
        </w:tc>
        <w:tc>
          <w:tcPr>
            <w:tcW w:type="dxa" w:w="6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Whether leads route to a CRM or to email and the content store only</w:t>
            </w:r>
          </w:p>
        </w:tc>
      </w:tr>
      <w:tr>
        <w:tc>
          <w:tcPr>
            <w:tcW w:type="dxa" w:w="3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Pricing disclosure</w:t>
            </w:r>
          </w:p>
        </w:tc>
        <w:tc>
          <w:tcPr>
            <w:tcW w:type="dxa" w:w="6000"/>
            <w:shd w:fill="FFFFFF"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Whether prices are published, indicated as ranges, or withheld until consultation</w:t>
            </w:r>
          </w:p>
        </w:tc>
      </w:tr>
      <w:tr>
        <w:tc>
          <w:tcPr>
            <w:tcW w:type="dxa" w:w="3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Photography rights</w:t>
            </w:r>
          </w:p>
        </w:tc>
        <w:tc>
          <w:tcPr>
            <w:tcW w:type="dxa" w:w="6000"/>
            <w:shd w:fill="F4F5F7" w:color="auto" w:val="clear"/>
            <w:tcMar>
              <w:top w:type="dxa" w:w="90"/>
              <w:left w:type="dxa" w:w="120"/>
              <w:bottom w:type="dxa" w:w="90"/>
              <w:right w:type="dxa" w:w="120"/>
            </w:tcMar>
            <w:vAlign w:val="center"/>
          </w:tcPr>
          <w:p>
            <w:pPr>
              <w:spacing w:after="0" w:before="0" w:line="252"/>
            </w:pPr>
            <w:r>
              <w:rPr>
                <w:rFonts w:ascii="Arial" w:cs="Arial" w:eastAsia="Arial" w:hAnsi="Arial"/>
                <w:b w:val="false"/>
                <w:bCs w:val="false"/>
                <w:color w:val="2C2F36"/>
                <w:sz w:val="18"/>
                <w:szCs w:val="18"/>
              </w:rPr>
              <w:t xml:space="preserve">Whether SRH holds usable imagery or licensed photography must be sourced</w:t>
            </w:r>
          </w:p>
        </w:tc>
      </w:tr>
    </w:tbl>
    <w:p>
      <w:pPr>
        <w:pStyle w:val="Heading1"/>
        <w:pBdr>
          <w:bottom w:val="single" w:color="C9A227" w:sz="12" w:space="6"/>
        </w:pBdr>
        <w:spacing w:after="160" w:before="360"/>
      </w:pPr>
      <w:r>
        <w:rPr>
          <w:rFonts w:ascii="Arial" w:cs="Arial" w:eastAsia="Arial" w:hAnsi="Arial"/>
          <w:b/>
          <w:bCs/>
          <w:color w:val="0A2A5E"/>
          <w:sz w:val="30"/>
          <w:szCs w:val="30"/>
        </w:rPr>
        <w:t xml:space="preserve">20. Release 1.1 Backlog</w:t>
      </w:r>
    </w:p>
    <w:p>
      <w:pPr>
        <w:spacing w:after="120" w:before="60" w:line="276"/>
        <w:jc w:val="left"/>
      </w:pPr>
      <w:r>
        <w:rPr>
          <w:rFonts w:ascii="Arial" w:cs="Arial" w:eastAsia="Arial" w:hAnsi="Arial"/>
          <w:b w:val="false"/>
          <w:bCs w:val="false"/>
          <w:i w:val="false"/>
          <w:iCs w:val="false"/>
          <w:color w:val="2C2F36"/>
          <w:sz w:val="20"/>
          <w:szCs w:val="20"/>
        </w:rPr>
        <w:t xml:space="preserve">Items deferred from this release, retained for planning:</w:t>
      </w:r>
    </w:p>
    <w:p>
      <w:pPr>
        <w:pStyle w:val="ListParagraph"/>
        <w:numPr>
          <w:ilvl w:val="0"/>
          <w:numId w:val="2"/>
        </w:numPr>
        <w:spacing w:after="60" w:before="40" w:line="264"/>
      </w:pPr>
      <w:r>
        <w:rPr>
          <w:rFonts w:ascii="Arial" w:cs="Arial" w:eastAsia="Arial" w:hAnsi="Arial"/>
          <w:color w:val="2C2F36"/>
          <w:sz w:val="20"/>
          <w:szCs w:val="20"/>
        </w:rPr>
        <w:t xml:space="preserve">Dedicated sub-pages for Residency and Business Relocation (PDD Phase 1.5).</w:t>
      </w:r>
    </w:p>
    <w:p>
      <w:pPr>
        <w:pStyle w:val="ListParagraph"/>
        <w:numPr>
          <w:ilvl w:val="0"/>
          <w:numId w:val="2"/>
        </w:numPr>
        <w:spacing w:after="60" w:before="40" w:line="264"/>
      </w:pPr>
      <w:r>
        <w:rPr>
          <w:rFonts w:ascii="Arial" w:cs="Arial" w:eastAsia="Arial" w:hAnsi="Arial"/>
          <w:color w:val="2C2F36"/>
          <w:sz w:val="20"/>
          <w:szCs w:val="20"/>
        </w:rPr>
        <w:t xml:space="preserve">Content and case-study section for organic search growth.</w:t>
      </w:r>
    </w:p>
    <w:p>
      <w:pPr>
        <w:pStyle w:val="ListParagraph"/>
        <w:numPr>
          <w:ilvl w:val="0"/>
          <w:numId w:val="2"/>
        </w:numPr>
        <w:spacing w:after="60" w:before="40" w:line="264"/>
      </w:pPr>
      <w:r>
        <w:rPr>
          <w:rFonts w:ascii="Arial" w:cs="Arial" w:eastAsia="Arial" w:hAnsi="Arial"/>
          <w:color w:val="2C2F36"/>
          <w:sz w:val="20"/>
          <w:szCs w:val="20"/>
        </w:rPr>
        <w:t xml:space="preserve">Content versioning and preview in the CMS (FR-09.9, FR-09.10).</w:t>
      </w:r>
    </w:p>
    <w:p>
      <w:pPr>
        <w:pStyle w:val="ListParagraph"/>
        <w:numPr>
          <w:ilvl w:val="0"/>
          <w:numId w:val="2"/>
        </w:numPr>
        <w:spacing w:after="60" w:before="40" w:line="264"/>
      </w:pPr>
      <w:r>
        <w:rPr>
          <w:rFonts w:ascii="Arial" w:cs="Arial" w:eastAsia="Arial" w:hAnsi="Arial"/>
          <w:color w:val="2C2F36"/>
          <w:sz w:val="20"/>
          <w:szCs w:val="20"/>
        </w:rPr>
        <w:t xml:space="preserve">Locale-specific formatting refinements (FR-02.12).</w:t>
      </w:r>
    </w:p>
    <w:p>
      <w:pPr>
        <w:pStyle w:val="ListParagraph"/>
        <w:numPr>
          <w:ilvl w:val="0"/>
          <w:numId w:val="2"/>
        </w:numPr>
        <w:spacing w:after="60" w:before="40" w:line="264"/>
      </w:pPr>
      <w:r>
        <w:rPr>
          <w:rFonts w:ascii="Arial" w:cs="Arial" w:eastAsia="Arial" w:hAnsi="Arial"/>
          <w:color w:val="2C2F36"/>
          <w:sz w:val="20"/>
          <w:szCs w:val="20"/>
        </w:rPr>
        <w:t xml:space="preserve">Duplicate lead detection and merging (FR-06.12).</w:t>
      </w:r>
    </w:p>
    <w:p>
      <w:pPr>
        <w:pStyle w:val="ListParagraph"/>
        <w:numPr>
          <w:ilvl w:val="0"/>
          <w:numId w:val="2"/>
        </w:numPr>
        <w:spacing w:after="60" w:before="40" w:line="264"/>
      </w:pPr>
      <w:r>
        <w:rPr>
          <w:rFonts w:ascii="Arial" w:cs="Arial" w:eastAsia="Arial" w:hAnsi="Arial"/>
          <w:color w:val="2C2F36"/>
          <w:sz w:val="20"/>
          <w:szCs w:val="20"/>
        </w:rPr>
        <w:t xml:space="preserve">Service-level conversion attribution (FR-11.5).</w:t>
      </w:r>
    </w:p>
    <w:p>
      <w:pPr>
        <w:spacing w:after="300" w:before="0"/>
      </w:pPr>
    </w:p>
    <w:p>
      <w:pPr>
        <w:pBdr>
          <w:top w:val="single" w:color="C9A227" w:sz="12" w:space="10"/>
        </w:pBdr>
        <w:spacing w:before="300"/>
        <w:jc w:val="center"/>
      </w:pPr>
      <w:r>
        <w:rPr>
          <w:rFonts w:ascii="Arial" w:cs="Arial" w:eastAsia="Arial" w:hAnsi="Arial"/>
          <w:i/>
          <w:iCs/>
          <w:color w:val="2C2F36"/>
          <w:sz w:val="16"/>
          <w:szCs w:val="16"/>
        </w:rPr>
        <w:t xml:space="preserve">End of document  ·  Spain Relocation Hub  ·  Product Requirements Document v1.0</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2" w:sz="4" w:space="8"/>
      </w:pBdr>
      <w:jc w:val="center"/>
    </w:pPr>
    <w:r>
      <w:rPr>
        <w:rFonts w:ascii="Arial" w:cs="Arial" w:eastAsia="Arial" w:hAnsi="Arial"/>
        <w:color w:val="808894"/>
        <w:sz w:val="15"/>
        <w:szCs w:val="15"/>
      </w:rPr>
      <w:t xml:space="preserve">Spain Relocation Hub — Product Requirements Document v1.0  |  Confidential  |  Page </w:t>
    </w:r>
    <w:r>
      <w:rPr>
        <w:rFonts w:ascii="Arial" w:cs="Arial" w:eastAsia="Arial" w:hAnsi="Arial"/>
        <w:color w:val="80889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C9A227"/>
        <w:sz w:val="20"/>
        <w:szCs w:val="20"/>
      </w:rPr>
    </w:lvl>
    <w:lvl w:ilvl="1" w15:tentative="1">
      <w:start w:val="1"/>
      <w:numFmt w:val="bullet"/>
      <w:lvlText w:val="–"/>
      <w:lvlJc w:val="left"/>
      <w:pPr>
        <w:ind w:left="880" w:hanging="240"/>
      </w:pPr>
      <w:rPr>
        <w:color w:val="C9A227"/>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F3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beafcc058c473042cba9a998343160dd1ff0792.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2026-08-01T13:23:23.908Z</dcterms:created>
  <dcterms:modified xsi:type="dcterms:W3CDTF">2026-08-01T13:23:23.919Z</dcterms:modified>
</cp:coreProperties>
</file>

<file path=docProps/custom.xml><?xml version="1.0" encoding="utf-8"?>
<Properties xmlns="http://schemas.openxmlformats.org/officeDocument/2006/custom-properties" xmlns:vt="http://schemas.openxmlformats.org/officeDocument/2006/docPropsVTypes"/>
</file>