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300"/>
        <w:jc w:val="center"/>
      </w:pPr>
      <w:r>
        <w:drawing>
          <wp:inline distT="0" distB="0" distL="0" distR="0">
            <wp:extent cx="3238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162175"/>
                    </a:xfrm>
                    <a:prstGeom prst="rect">
                      <a:avLst/>
                    </a:prstGeom>
                  </pic:spPr>
                </pic:pic>
              </a:graphicData>
            </a:graphic>
          </wp:inline>
        </w:drawing>
      </w:r>
    </w:p>
    <w:p>
      <w:pPr>
        <w:spacing w:after="80" w:before="200"/>
        <w:jc w:val="center"/>
      </w:pPr>
      <w:r>
        <w:rPr>
          <w:rFonts w:ascii="Arial" w:cs="Arial" w:eastAsia="Arial" w:hAnsi="Arial"/>
          <w:b/>
          <w:bCs/>
          <w:color w:val="C9A227"/>
          <w:spacing w:val="60"/>
          <w:sz w:val="20"/>
          <w:szCs w:val="20"/>
        </w:rPr>
        <w:t xml:space="preserve">SOFTWARE ARCHITECTURE DOCUMENT</w:t>
      </w:r>
    </w:p>
    <w:p>
      <w:pPr>
        <w:spacing w:after="100"/>
        <w:jc w:val="center"/>
      </w:pPr>
      <w:r>
        <w:rPr>
          <w:rFonts w:ascii="Arial" w:cs="Arial" w:eastAsia="Arial" w:hAnsi="Arial"/>
          <w:b/>
          <w:bCs/>
          <w:color w:val="0A2A5E"/>
          <w:sz w:val="48"/>
          <w:szCs w:val="48"/>
        </w:rPr>
        <w:t xml:space="preserve">Spain Relocation Hub</w:t>
      </w:r>
    </w:p>
    <w:p>
      <w:pPr>
        <w:pBdr>
          <w:bottom w:val="single" w:color="C9A227" w:sz="12" w:space="10"/>
        </w:pBdr>
        <w:spacing w:after="300"/>
        <w:jc w:val="center"/>
      </w:pPr>
      <w:r>
        <w:rPr>
          <w:rFonts w:ascii="Arial" w:cs="Arial" w:eastAsia="Arial" w:hAnsi="Arial"/>
          <w:color w:val="2C2F36"/>
          <w:sz w:val="22"/>
          <w:szCs w:val="22"/>
        </w:rPr>
        <w:t xml:space="preserve">Release 1.0  ·  Modular Monolith  ·  React / TypeScript / PostgreSQL</w:t>
      </w:r>
    </w:p>
    <w:p>
      <w:pPr>
        <w:spacing w:after="400" w:before="0"/>
      </w:pP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6400"/>
      </w:tblGrid>
      <w:tr>
        <w:trPr>
          <w:tblHeader/>
        </w:trPr>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Field</w:t>
            </w:r>
          </w:p>
        </w:tc>
        <w:tc>
          <w:tcPr>
            <w:tcW w:type="dxa" w:w="6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Detail</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Document</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Software Architecture Document (SAD)</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Product</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Spain Relocation Hub (SRH) — corporate website</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Release</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R1.0 — Phase 1</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Version</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1.0</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Status</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Draft for technical review</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Date</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August 2026</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Prepared by</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LucrumTech</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Parent documents</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SRH PDD v1.0 · SRH PRD v1.0</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Classification</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Confidential — Client and Partner Use Only</w:t>
            </w:r>
          </w:p>
        </w:tc>
      </w:tr>
    </w:tbl>
    <w:p>
      <w:pPr>
        <w:spacing w:after="300" w:before="0"/>
      </w:pPr>
    </w:p>
    <w:p>
      <w:pPr>
        <w:spacing w:after="120" w:before="60" w:line="276"/>
        <w:jc w:val="center"/>
      </w:pPr>
      <w:r>
        <w:rPr>
          <w:rFonts w:ascii="Arial" w:cs="Arial" w:eastAsia="Arial" w:hAnsi="Arial"/>
          <w:b w:val="false"/>
          <w:bCs w:val="false"/>
          <w:i/>
          <w:iCs/>
          <w:color w:val="2C2F36"/>
          <w:sz w:val="18"/>
          <w:szCs w:val="18"/>
        </w:rPr>
        <w:t xml:space="preserve">This document defines the technical architecture that satisfies the requirements of the Product Requirements Document. It specifies the technology stack, module structure, content and data models, the section-level WYSIWYG editing subsystem, security and compliance controls, deployment topology, and the architectural decisions and their rationale.</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1. Introduction</w:t>
      </w:r>
    </w:p>
    <w:p>
      <w:pPr>
        <w:pStyle w:val="Heading2"/>
        <w:spacing w:after="120" w:before="260"/>
      </w:pPr>
      <w:r>
        <w:rPr>
          <w:rFonts w:ascii="Arial" w:cs="Arial" w:eastAsia="Arial" w:hAnsi="Arial"/>
          <w:b/>
          <w:bCs/>
          <w:color w:val="0A2A5E"/>
          <w:sz w:val="24"/>
          <w:szCs w:val="24"/>
        </w:rPr>
        <w:t xml:space="preserve">1.1 Purpose and Audience</w:t>
      </w:r>
    </w:p>
    <w:p>
      <w:pPr>
        <w:spacing w:after="120" w:before="60" w:line="276"/>
        <w:jc w:val="left"/>
      </w:pPr>
      <w:r>
        <w:rPr>
          <w:rFonts w:ascii="Arial" w:cs="Arial" w:eastAsia="Arial" w:hAnsi="Arial"/>
          <w:b w:val="false"/>
          <w:bCs w:val="false"/>
          <w:i w:val="false"/>
          <w:iCs w:val="false"/>
          <w:color w:val="2C2F36"/>
          <w:sz w:val="20"/>
          <w:szCs w:val="20"/>
        </w:rPr>
        <w:t xml:space="preserve">This document is written for the engineers who will build and operate the Spain Relocation Hub website, and for the technical reviewer acting on behalf of the client. It answers three questions: what the system is made of, why each significant decision was taken, and what constraints govern change.</w:t>
      </w:r>
    </w:p>
    <w:p>
      <w:pPr>
        <w:spacing w:after="120" w:before="60" w:line="276"/>
        <w:jc w:val="left"/>
      </w:pPr>
      <w:r>
        <w:rPr>
          <w:rFonts w:ascii="Arial" w:cs="Arial" w:eastAsia="Arial" w:hAnsi="Arial"/>
          <w:b w:val="false"/>
          <w:bCs w:val="false"/>
          <w:i w:val="false"/>
          <w:iCs w:val="false"/>
          <w:color w:val="2C2F36"/>
          <w:sz w:val="20"/>
          <w:szCs w:val="20"/>
        </w:rPr>
        <w:t xml:space="preserve">Every architectural decision in this document traces to a requirement in the PRD. Where a decision is made for reasons of future extensibility rather than present need, this is stated explicitly, because unjustified complexity is the most common failure mode in projects of this size.</w:t>
      </w:r>
    </w:p>
    <w:p>
      <w:pPr>
        <w:pStyle w:val="Heading2"/>
        <w:spacing w:after="120" w:before="260"/>
      </w:pPr>
      <w:r>
        <w:rPr>
          <w:rFonts w:ascii="Arial" w:cs="Arial" w:eastAsia="Arial" w:hAnsi="Arial"/>
          <w:b/>
          <w:bCs/>
          <w:color w:val="0A2A5E"/>
          <w:sz w:val="24"/>
          <w:szCs w:val="24"/>
        </w:rPr>
        <w:t xml:space="preserve">1.2 Scope</w:t>
      </w:r>
    </w:p>
    <w:p>
      <w:pPr>
        <w:spacing w:after="120" w:before="60" w:line="276"/>
        <w:jc w:val="left"/>
      </w:pPr>
      <w:r>
        <w:rPr>
          <w:rFonts w:ascii="Arial" w:cs="Arial" w:eastAsia="Arial" w:hAnsi="Arial"/>
          <w:b w:val="false"/>
          <w:bCs w:val="false"/>
          <w:i w:val="false"/>
          <w:iCs w:val="false"/>
          <w:color w:val="2C2F36"/>
          <w:sz w:val="20"/>
          <w:szCs w:val="20"/>
        </w:rPr>
        <w:t xml:space="preserve">Release 1.0 delivers a single-page, four-language marketing website with a lead capture pipeline and an administrative content editor. It is not a marketplace, a listings platform, or a transactional system. Those capabilities are anticipated but not designed here.</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3000"/>
        <w:gridCol w:w="6000"/>
      </w:tblGrid>
      <w:tr>
        <w:trPr>
          <w:tblHeader/>
        </w:trPr>
        <w:tc>
          <w:tcPr>
            <w:tcW w:type="dxa" w:w="3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In scope</w:t>
            </w:r>
          </w:p>
        </w:tc>
        <w:tc>
          <w:tcPr>
            <w:tcW w:type="dxa" w:w="6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Out of scope for R1.0</w:t>
            </w:r>
          </w:p>
        </w:tc>
      </w:tr>
      <w:tr>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Public single-page site in four languages</w:t>
            </w:r>
          </w:p>
        </w:tc>
        <w:tc>
          <w:tcPr>
            <w:tcW w:type="dxa" w:w="6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Property listings, search, and filtering</w:t>
            </w:r>
          </w:p>
        </w:tc>
      </w:tr>
      <w:tr>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Two-step lead capture and delivery pipeline</w:t>
            </w:r>
          </w:p>
        </w:tc>
        <w:tc>
          <w:tcPr>
            <w:tcW w:type="dxa" w:w="6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Payment or booking</w:t>
            </w:r>
          </w:p>
        </w:tc>
      </w:tr>
      <w:tr>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Section-level WYSIWYG content editing</w:t>
            </w:r>
          </w:p>
        </w:tc>
        <w:tc>
          <w:tcPr>
            <w:tcW w:type="dxa" w:w="6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Client accounts or portal</w:t>
            </w:r>
          </w:p>
        </w:tc>
      </w:tr>
      <w:tr>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Administrative interface and authentication</w:t>
            </w:r>
          </w:p>
        </w:tc>
        <w:tc>
          <w:tcPr>
            <w:tcW w:type="dxa" w:w="6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Microservice decomposition</w:t>
            </w:r>
          </w:p>
        </w:tc>
      </w:tr>
      <w:tr>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management and compliance controls</w:t>
            </w:r>
          </w:p>
        </w:tc>
        <w:tc>
          <w:tcPr>
            <w:tcW w:type="dxa" w:w="6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Message queue or event bus</w:t>
            </w:r>
          </w:p>
        </w:tc>
      </w:tr>
      <w:tr>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SEO infrastructure and structured data</w:t>
            </w:r>
          </w:p>
        </w:tc>
        <w:tc>
          <w:tcPr>
            <w:tcW w:type="dxa" w:w="6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Distributed caching layer</w:t>
            </w:r>
          </w:p>
        </w:tc>
      </w:tr>
      <w:tr>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Analytics instrumentation</w:t>
            </w:r>
          </w:p>
        </w:tc>
        <w:tc>
          <w:tcPr>
            <w:tcW w:type="dxa" w:w="6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Mobile applications</w:t>
            </w:r>
          </w:p>
        </w:tc>
      </w:tr>
    </w:tbl>
    <w:p>
      <w:pPr>
        <w:pStyle w:val="Heading2"/>
        <w:spacing w:after="120" w:before="260"/>
      </w:pPr>
      <w:r>
        <w:rPr>
          <w:rFonts w:ascii="Arial" w:cs="Arial" w:eastAsia="Arial" w:hAnsi="Arial"/>
          <w:b/>
          <w:bCs/>
          <w:color w:val="0A2A5E"/>
          <w:sz w:val="24"/>
          <w:szCs w:val="24"/>
        </w:rPr>
        <w:t xml:space="preserve">1.3 Architectural Drivers</w:t>
      </w:r>
    </w:p>
    <w:p>
      <w:pPr>
        <w:spacing w:after="120" w:before="60" w:line="276"/>
        <w:jc w:val="left"/>
      </w:pPr>
      <w:r>
        <w:rPr>
          <w:rFonts w:ascii="Arial" w:cs="Arial" w:eastAsia="Arial" w:hAnsi="Arial"/>
          <w:b w:val="false"/>
          <w:bCs w:val="false"/>
          <w:i w:val="false"/>
          <w:iCs w:val="false"/>
          <w:color w:val="2C2F36"/>
          <w:sz w:val="20"/>
          <w:szCs w:val="20"/>
        </w:rPr>
        <w:t xml:space="preserve">The following requirements shape the architecture more than any others. Where they conflict, the priority order below applies.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500"/>
        <w:gridCol w:w="3000"/>
        <w:gridCol w:w="4500"/>
      </w:tblGrid>
      <w:tr>
        <w:trPr>
          <w:tblHeader/>
        </w:trPr>
        <w:tc>
          <w:tcPr>
            <w:tcW w:type="dxa" w:w="15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Ref</w:t>
            </w:r>
          </w:p>
        </w:tc>
        <w:tc>
          <w:tcPr>
            <w:tcW w:type="dxa" w:w="3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Driver</w:t>
            </w:r>
          </w:p>
        </w:tc>
        <w:tc>
          <w:tcPr>
            <w:tcW w:type="dxa" w:w="45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Architectural consequence</w:t>
            </w:r>
          </w:p>
        </w:tc>
      </w:tr>
      <w:tr>
        <w:tc>
          <w:tcPr>
            <w:tcW w:type="dxa" w:w="1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FR-10.7</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must be crawlable and shareable without client-side execution</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Server-side rendering or static generation is mandatory; a client-rendered SPA is excluded</w:t>
            </w:r>
          </w:p>
        </w:tc>
      </w:tr>
      <w:tr>
        <w:tc>
          <w:tcPr>
            <w:tcW w:type="dxa" w:w="1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NFR-01</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PageSpeed 85 or above on mobile, in four languages</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Static generation with CDN delivery; strict JavaScript budget</w:t>
            </w:r>
          </w:p>
        </w:tc>
      </w:tr>
      <w:tr>
        <w:tc>
          <w:tcPr>
            <w:tcW w:type="dxa" w:w="1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FR-09.8</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non-technical administrator edits content unaided</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purpose-built editor with a constrained schema, not a generic CMS</w:t>
            </w:r>
          </w:p>
        </w:tc>
      </w:tr>
      <w:tr>
        <w:tc>
          <w:tcPr>
            <w:tcW w:type="dxa" w:w="1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FR-02.1</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Four complete language editions</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model is translation-first, not translation-as-afterthought</w:t>
            </w:r>
          </w:p>
        </w:tc>
      </w:tr>
      <w:tr>
        <w:tc>
          <w:tcPr>
            <w:tcW w:type="dxa" w:w="1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FR-12.2</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non-essential script executes before consent</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gate sits above all third-party script loading</w:t>
            </w:r>
          </w:p>
        </w:tc>
      </w:tr>
      <w:tr>
        <w:tc>
          <w:tcPr>
            <w:tcW w:type="dxa" w:w="1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NFR-07</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data protected; EU data subjects</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EU data residency; encryption at rest and in transit</w:t>
            </w:r>
          </w:p>
        </w:tc>
      </w:tr>
      <w:tr>
        <w:tc>
          <w:tcPr>
            <w:tcW w:type="dxa" w:w="1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PDD 4.3</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Phase 2 must extend, not replace</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Module boundaries drawn now along future service seams</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2. Architectural Decisions</w:t>
      </w:r>
    </w:p>
    <w:p>
      <w:pPr>
        <w:spacing w:after="120" w:before="60" w:line="276"/>
        <w:jc w:val="left"/>
      </w:pPr>
      <w:r>
        <w:rPr>
          <w:rFonts w:ascii="Arial" w:cs="Arial" w:eastAsia="Arial" w:hAnsi="Arial"/>
          <w:b w:val="false"/>
          <w:bCs w:val="false"/>
          <w:i w:val="false"/>
          <w:iCs w:val="false"/>
          <w:color w:val="2C2F36"/>
          <w:sz w:val="20"/>
          <w:szCs w:val="20"/>
        </w:rPr>
        <w:t xml:space="preserve">Each decision is recorded with its rationale and the alternative that was rejected. These are the decisions a future engineer will otherwise be tempted to reverse without understanding why they were made.</w:t>
      </w:r>
    </w:p>
    <w:p>
      <w:pPr>
        <w:pStyle w:val="Heading2"/>
        <w:spacing w:after="120" w:before="260"/>
      </w:pPr>
      <w:r>
        <w:rPr>
          <w:rFonts w:ascii="Arial" w:cs="Arial" w:eastAsia="Arial" w:hAnsi="Arial"/>
          <w:b/>
          <w:bCs/>
          <w:color w:val="0A2A5E"/>
          <w:sz w:val="24"/>
          <w:szCs w:val="24"/>
        </w:rPr>
        <w:t xml:space="preserve">2.1 AD-01 — Server-Rendered React, Not a Client-Rendered SPA</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6800"/>
      </w:tblGrid>
      <w:tr>
        <w:trPr>
          <w:tblHeader/>
        </w:trPr>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Aspect</w:t>
            </w:r>
          </w:p>
        </w:tc>
        <w:tc>
          <w:tcPr>
            <w:tcW w:type="dxa" w:w="6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Detail</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Decision</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Next.js with React and TypeScript, using static generation with incremental revalidation for the public site</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Rejected alternative</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client-rendered single-page application (Create React App, Vite SPA)</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Driver</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FR-10.7, FR-10.10, NFR-01</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Rationale</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client-rendered application serves an empty document shell. Search crawlers may execute JavaScript inconsistently, but link preview generators in WhatsApp, Telegram, Facebook, and LinkedIn do not execute it at all. Messaging applications are the primary distribution channel for the Ukrainian and Russian-speaking segments identified in the PDD. A link shared into a Telegram group would render as a bare URL with no title, description, or image.</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Consequence</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public page is generated at build time and revalidated on content publication. The served HTML contains all body copy, all four language editions are pre-rendered, and no content depends on client execution to be visible.</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Note</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This decision is emphasised because the failure mode it prevents is silent: the site appears to work perfectly to anyone testing it in a browser, while being invisible to the systems that actually distribute it.</w:t>
            </w:r>
          </w:p>
        </w:tc>
      </w:tr>
    </w:tbl>
    <w:p>
      <w:pPr>
        <w:pStyle w:val="Heading2"/>
        <w:spacing w:after="120" w:before="260"/>
      </w:pPr>
      <w:r>
        <w:rPr>
          <w:rFonts w:ascii="Arial" w:cs="Arial" w:eastAsia="Arial" w:hAnsi="Arial"/>
          <w:b/>
          <w:bCs/>
          <w:color w:val="0A2A5E"/>
          <w:sz w:val="24"/>
          <w:szCs w:val="24"/>
        </w:rPr>
        <w:t xml:space="preserve">2.2 AD-02 — Modular Monolith, Not Microservices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6800"/>
      </w:tblGrid>
      <w:tr>
        <w:trPr>
          <w:tblHeader/>
        </w:trPr>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Aspect</w:t>
            </w:r>
          </w:p>
        </w:tc>
        <w:tc>
          <w:tcPr>
            <w:tcW w:type="dxa" w:w="6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Detail</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Decision</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single deployable application with strictly enforced internal module boundaries</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Rejected alternative</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Microservice decomposition at Release 1.0</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Driver</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Scope of R1.0; PDD section 4.3</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Rationale</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Release 1.0 is one page, one database, and one team. Microservices at this stage would introduce network boundaries, deployment orchestration, distributed tracing, and inter-service contracts to solve coordination problems that do not exist. The cost is paid immediately; the benefit arrives, if ever, in Phase 2.</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Consequence</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Modules communicate through explicit internal interfaces rather than shared database access. Each module owns its tables. No module reads another module's tables directly. This is the discipline that makes later extraction mechanical rather than archaeological.</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Migration path</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When a module needs independent scaling or a different runtime, it is extracted behind its existing interface. The Content module and the Lead module are the two most likely first extractions.</w:t>
            </w:r>
          </w:p>
        </w:tc>
      </w:tr>
    </w:tbl>
    <w:p>
      <w:pPr>
        <w:pStyle w:val="Heading2"/>
        <w:spacing w:after="120" w:before="260"/>
      </w:pPr>
      <w:r>
        <w:rPr>
          <w:rFonts w:ascii="Arial" w:cs="Arial" w:eastAsia="Arial" w:hAnsi="Arial"/>
          <w:b/>
          <w:bCs/>
          <w:color w:val="0A2A5E"/>
          <w:sz w:val="24"/>
          <w:szCs w:val="24"/>
        </w:rPr>
        <w:t xml:space="preserve">2.3 AD-03 — TypeScript Throughout Release 1.0</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6800"/>
      </w:tblGrid>
      <w:tr>
        <w:trPr>
          <w:tblHeader/>
        </w:trPr>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Aspect</w:t>
            </w:r>
          </w:p>
        </w:tc>
        <w:tc>
          <w:tcPr>
            <w:tcW w:type="dxa" w:w="6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Detail</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Decision</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TypeScript for both the rendering layer and the server-side API in Release 1.0</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Rejected alternative</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Introducing Go or Python service boundaries now</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Driver</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Operational simplicity at current scale</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Rationale</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second runtime doubles the build pipeline, the deployment surface, and the on-call surface, in exchange for capabilities Release 1.0 does not use. The client has expressed a directional preference for Go and Python at a later stage; that preference is served better by clean module boundaries now than by premature polyglot deployment.</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Consequence</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One language, one dependency tree, one deployment. Domain logic is kept free of framework coupling so that a module can be reimplemented in another runtime without redesigning its contract.</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Forward compatibility</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 13 records the intended target architecture and the specific R1.0 decisions that keep it reachable.</w:t>
            </w:r>
          </w:p>
        </w:tc>
      </w:tr>
    </w:tbl>
    <w:p>
      <w:pPr>
        <w:pStyle w:val="Heading2"/>
        <w:spacing w:after="120" w:before="260"/>
      </w:pPr>
      <w:r>
        <w:rPr>
          <w:rFonts w:ascii="Arial" w:cs="Arial" w:eastAsia="Arial" w:hAnsi="Arial"/>
          <w:b/>
          <w:bCs/>
          <w:color w:val="0A2A5E"/>
          <w:sz w:val="24"/>
          <w:szCs w:val="24"/>
        </w:rPr>
        <w:t xml:space="preserve">2.4 AD-04 — Purpose-Built Editor, Not a Generic CMS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6800"/>
      </w:tblGrid>
      <w:tr>
        <w:trPr>
          <w:tblHeader/>
        </w:trPr>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Aspect</w:t>
            </w:r>
          </w:p>
        </w:tc>
        <w:tc>
          <w:tcPr>
            <w:tcW w:type="dxa" w:w="6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Detail</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Decision</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bespoke administrative module with a per-section WYSIWYG editor operating on a constrained document schema</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Rejected alternative</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general-purpose content management system, or an unconstrained rich text editor</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Driver</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FR-09.2, FR-09.7, FR-09.8; PDD design requirements</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Rationale</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generic CMS gives an administrator the power to alter typography, insert arbitrary markup, and break a design that the PDD defines as premium and disciplined. An unconstrained editor produces the same outcome more slowly. The requirement is that a non-technical operator changes wording safely — not that they can build arbitrary pages.</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Consequence</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editor permits only the marks and structures each block type allows. A body block permits bold, italic, links, and lists. A headline block permits plain text only. Font, colour, and size are not editable and are not exposed in the interface.</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Benefit</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design cannot be degraded through the editor, and the translation gap view (FR-09.7) becomes trivial because content is structured rather than free-form markup.</w:t>
            </w:r>
          </w:p>
        </w:tc>
      </w:tr>
    </w:tbl>
    <w:p>
      <w:pPr>
        <w:pStyle w:val="Heading2"/>
        <w:spacing w:after="120" w:before="260"/>
      </w:pPr>
      <w:r>
        <w:rPr>
          <w:rFonts w:ascii="Arial" w:cs="Arial" w:eastAsia="Arial" w:hAnsi="Arial"/>
          <w:b/>
          <w:bCs/>
          <w:color w:val="0A2A5E"/>
          <w:sz w:val="24"/>
          <w:szCs w:val="24"/>
        </w:rPr>
        <w:t xml:space="preserve">2.5 Decision Summary</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300"/>
        <w:gridCol w:w="3200"/>
        <w:gridCol w:w="4500"/>
      </w:tblGrid>
      <w:tr>
        <w:trPr>
          <w:tblHeader/>
        </w:trPr>
        <w:tc>
          <w:tcPr>
            <w:tcW w:type="dxa" w:w="1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3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Decision</w:t>
            </w:r>
          </w:p>
        </w:tc>
        <w:tc>
          <w:tcPr>
            <w:tcW w:type="dxa" w:w="45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Primary driver</w:t>
            </w:r>
          </w:p>
        </w:tc>
      </w:tr>
      <w:tr>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AD-01</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Server-rendered React (Next.js), not a client-rendered SPA</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Crawlability and link previews</w:t>
            </w:r>
          </w:p>
        </w:tc>
      </w:tr>
      <w:tr>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AD-02</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Modular monolith, not microservices</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Scope appropriateness</w:t>
            </w:r>
          </w:p>
        </w:tc>
      </w:tr>
      <w:tr>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AD-03</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TypeScript throughout R1.0</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Operational simplicity</w:t>
            </w:r>
          </w:p>
        </w:tc>
      </w:tr>
      <w:tr>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AD-04</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Purpose-built editor with a constrained schema</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Design integrity and administrator usability</w:t>
            </w:r>
          </w:p>
        </w:tc>
      </w:tr>
      <w:tr>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AD-05</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PostgreSQL with structured content records, not file-based content</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Phase 2 queryability (PDD 4.3)</w:t>
            </w:r>
          </w:p>
        </w:tc>
      </w:tr>
      <w:tr>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AD-06</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distributed cache in R1.0</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Static generation makes it unnecessary</w:t>
            </w:r>
          </w:p>
        </w:tc>
      </w:tr>
      <w:tr>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AD-07</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EU data residency for all persistent storage</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GDPR and LOPDGDD compliance</w:t>
            </w:r>
          </w:p>
        </w:tc>
      </w:tr>
      <w:tr>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AD-08</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Path-based localisation with pre-rendered editions</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SEO and hreflang correctness</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3. System Context</w:t>
      </w:r>
    </w:p>
    <w:p>
      <w:pPr>
        <w:spacing w:after="120" w:before="60" w:line="276"/>
        <w:jc w:val="left"/>
      </w:pPr>
      <w:r>
        <w:rPr>
          <w:rFonts w:ascii="Arial" w:cs="Arial" w:eastAsia="Arial" w:hAnsi="Arial"/>
          <w:b w:val="false"/>
          <w:bCs w:val="false"/>
          <w:i w:val="false"/>
          <w:iCs w:val="false"/>
          <w:color w:val="2C2F36"/>
          <w:sz w:val="20"/>
          <w:szCs w:val="20"/>
        </w:rPr>
        <w:t xml:space="preserve">The system interacts with four categories of external actor and four external services.</w:t>
      </w:r>
    </w:p>
    <w:p>
      <w:pPr>
        <w:spacing w:after="100" w:before="0"/>
      </w:pPr>
    </w:p>
    <w:p>
      <w:pPr>
        <w:spacing w:after="0" w:before="0" w:line="240"/>
      </w:pPr>
      <w:r>
        <w:rPr>
          <w:rFonts w:ascii="Courier New" w:cs="Courier New" w:eastAsia="Courier New" w:hAnsi="Courier New"/>
          <w:color w:val="0A2A5E"/>
          <w:sz w:val="15"/>
          <w:szCs w:val="15"/>
        </w:rPr>
        <w:t xml:space="preserve">   Visitor            Content admin        Lead handler</w:t>
      </w:r>
    </w:p>
    <w:p>
      <w:pPr>
        <w:spacing w:after="0" w:before="0" w:line="240"/>
      </w:pPr>
      <w:r>
        <w:rPr>
          <w:rFonts w:ascii="Courier New" w:cs="Courier New" w:eastAsia="Courier New" w:hAnsi="Courier New"/>
          <w:color w:val="0A2A5E"/>
          <w:sz w:val="15"/>
          <w:szCs w:val="15"/>
        </w:rPr>
        <w:t xml:space="preserve">  (4 locales)          (SRH staff)         (SRH staff)</w:t>
      </w:r>
    </w:p>
    <w:p>
      <w:pPr>
        <w:spacing w:after="0" w:before="0" w:line="240"/>
      </w:pPr>
      <w:r>
        <w:rPr>
          <w:rFonts w:ascii="Courier New" w:cs="Courier New" w:eastAsia="Courier New" w:hAnsi="Courier New"/>
          <w:color w:val="0A2A5E"/>
          <w:sz w:val="15"/>
          <w:szCs w:val="15"/>
        </w:rPr>
        <w:t xml:space="preserve">       |                    |                    |</w:t>
      </w:r>
    </w:p>
    <w:p>
      <w:pPr>
        <w:spacing w:after="0" w:before="0" w:line="240"/>
      </w:pPr>
      <w:r>
        <w:rPr>
          <w:rFonts w:ascii="Courier New" w:cs="Courier New" w:eastAsia="Courier New" w:hAnsi="Courier New"/>
          <w:color w:val="0A2A5E"/>
          <w:sz w:val="15"/>
          <w:szCs w:val="15"/>
        </w:rPr>
        <w:t xml:space="preserve">       | HTTPS              | HTTPS              | email</w:t>
      </w:r>
    </w:p>
    <w:p>
      <w:pPr>
        <w:spacing w:after="0" w:before="0" w:line="240"/>
      </w:pPr>
      <w:r>
        <w:rPr>
          <w:rFonts w:ascii="Courier New" w:cs="Courier New" w:eastAsia="Courier New" w:hAnsi="Courier New"/>
          <w:color w:val="0A2A5E"/>
          <w:sz w:val="15"/>
          <w:szCs w:val="15"/>
        </w:rPr>
        <w:t xml:space="preserve">       v                    v                    ^</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                                                   |</w:t>
      </w:r>
    </w:p>
    <w:p>
      <w:pPr>
        <w:spacing w:after="0" w:before="0" w:line="240"/>
      </w:pPr>
      <w:r>
        <w:rPr>
          <w:rFonts w:ascii="Courier New" w:cs="Courier New" w:eastAsia="Courier New" w:hAnsi="Courier New"/>
          <w:color w:val="0A2A5E"/>
          <w:sz w:val="15"/>
          <w:szCs w:val="15"/>
        </w:rPr>
        <w:t xml:space="preserve">  |         SPAIN RELOCATION HUB WEB SYSTEM           |</w:t>
      </w:r>
    </w:p>
    <w:p>
      <w:pPr>
        <w:spacing w:after="0" w:before="0" w:line="240"/>
      </w:pPr>
      <w:r>
        <w:rPr>
          <w:rFonts w:ascii="Courier New" w:cs="Courier New" w:eastAsia="Courier New" w:hAnsi="Courier New"/>
          <w:color w:val="0A2A5E"/>
          <w:sz w:val="15"/>
          <w:szCs w:val="15"/>
        </w:rPr>
        <w:t xml:space="preserve">  |     public site  ·  admin  ·  lead pipeline       |</w:t>
      </w:r>
    </w:p>
    <w:p>
      <w:pPr>
        <w:spacing w:after="0" w:before="0" w:line="240"/>
      </w:pPr>
      <w:r>
        <w:rPr>
          <w:rFonts w:ascii="Courier New" w:cs="Courier New" w:eastAsia="Courier New" w:hAnsi="Courier New"/>
          <w:color w:val="0A2A5E"/>
          <w:sz w:val="15"/>
          <w:szCs w:val="15"/>
        </w:rPr>
        <w:t xml:space="preserve">  |                                                   |</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            |             |            |</w:t>
      </w:r>
    </w:p>
    <w:p>
      <w:pPr>
        <w:spacing w:after="0" w:before="0" w:line="240"/>
      </w:pPr>
      <w:r>
        <w:rPr>
          <w:rFonts w:ascii="Courier New" w:cs="Courier New" w:eastAsia="Courier New" w:hAnsi="Courier New"/>
          <w:color w:val="0A2A5E"/>
          <w:sz w:val="15"/>
          <w:szCs w:val="15"/>
        </w:rPr>
        <w:t xml:space="preserve">       v            v             v            v</w:t>
      </w:r>
    </w:p>
    <w:p>
      <w:pPr>
        <w:spacing w:after="0" w:before="0" w:line="240"/>
      </w:pPr>
      <w:r>
        <w:rPr>
          <w:rFonts w:ascii="Courier New" w:cs="Courier New" w:eastAsia="Courier New" w:hAnsi="Courier New"/>
          <w:color w:val="0A2A5E"/>
          <w:sz w:val="15"/>
          <w:szCs w:val="15"/>
        </w:rPr>
        <w:t xml:space="preserve">  Transactional  WhatsApp    Analytics     CDN / edge</w:t>
      </w:r>
    </w:p>
    <w:p>
      <w:pPr>
        <w:spacing w:after="0" w:before="0" w:line="240"/>
      </w:pPr>
      <w:r>
        <w:rPr>
          <w:rFonts w:ascii="Courier New" w:cs="Courier New" w:eastAsia="Courier New" w:hAnsi="Courier New"/>
          <w:color w:val="0A2A5E"/>
          <w:sz w:val="15"/>
          <w:szCs w:val="15"/>
        </w:rPr>
        <w:t xml:space="preserve">  email service  (external)  (consented)   delivery</w:t>
      </w:r>
    </w:p>
    <w:p>
      <w:pPr>
        <w:spacing w:after="150" w:before="0"/>
      </w:pP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66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External dependency</w:t>
            </w:r>
          </w:p>
        </w:tc>
        <w:tc>
          <w:tcPr>
            <w:tcW w:type="dxa" w:w="6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Role and failure behaviour</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Transactional email service</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Delivers lead notifications and client acknowledgements. On failure, the lead record is still persisted and an alert is raised (FR-06.13)</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WhatsApp click-to-chat</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Outbound deep link only; no server-side integration and therefore no availability dependency</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Analytics provider</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Loaded only after consent (FR-12.2); complete failure has no effect on site function</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CDN and edge delivery</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Serves static assets and pre-rendered pages; origin remains available if the CDN is bypassed</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4. Container View</w:t>
      </w:r>
    </w:p>
    <w:p>
      <w:pPr>
        <w:spacing w:after="100" w:before="0"/>
      </w:pP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  EDGE / CDN                                           |</w:t>
      </w:r>
    </w:p>
    <w:p>
      <w:pPr>
        <w:spacing w:after="0" w:before="0" w:line="240"/>
      </w:pPr>
      <w:r>
        <w:rPr>
          <w:rFonts w:ascii="Courier New" w:cs="Courier New" w:eastAsia="Courier New" w:hAnsi="Courier New"/>
          <w:color w:val="0A2A5E"/>
          <w:sz w:val="15"/>
          <w:szCs w:val="15"/>
        </w:rPr>
        <w:t xml:space="preserve">  |  static assets · pre-rendered pages · TLS termination |</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  APPLICATION  (Next.js · React · TypeScript)          |</w:t>
      </w:r>
    </w:p>
    <w:p>
      <w:pPr>
        <w:spacing w:after="0" w:before="0" w:line="240"/>
      </w:pPr>
      <w:r>
        <w:rPr>
          <w:rFonts w:ascii="Courier New" w:cs="Courier New" w:eastAsia="Courier New" w:hAnsi="Courier New"/>
          <w:color w:val="0A2A5E"/>
          <w:sz w:val="15"/>
          <w:szCs w:val="15"/>
        </w:rPr>
        <w:t xml:space="preserve">  |                                                       |</w:t>
      </w:r>
    </w:p>
    <w:p>
      <w:pPr>
        <w:spacing w:after="0" w:before="0" w:line="240"/>
      </w:pPr>
      <w:r>
        <w:rPr>
          <w:rFonts w:ascii="Courier New" w:cs="Courier New" w:eastAsia="Courier New" w:hAnsi="Courier New"/>
          <w:color w:val="0A2A5E"/>
          <w:sz w:val="15"/>
          <w:szCs w:val="15"/>
        </w:rPr>
        <w:t xml:space="preserve">  |  +----------------+      +------------------------+   |</w:t>
      </w:r>
    </w:p>
    <w:p>
      <w:pPr>
        <w:spacing w:after="0" w:before="0" w:line="240"/>
      </w:pPr>
      <w:r>
        <w:rPr>
          <w:rFonts w:ascii="Courier New" w:cs="Courier New" w:eastAsia="Courier New" w:hAnsi="Courier New"/>
          <w:color w:val="0A2A5E"/>
          <w:sz w:val="15"/>
          <w:szCs w:val="15"/>
        </w:rPr>
        <w:t xml:space="preserve">  |  | Public site    |      | Admin application      |   |</w:t>
      </w:r>
    </w:p>
    <w:p>
      <w:pPr>
        <w:spacing w:after="0" w:before="0" w:line="240"/>
      </w:pPr>
      <w:r>
        <w:rPr>
          <w:rFonts w:ascii="Courier New" w:cs="Courier New" w:eastAsia="Courier New" w:hAnsi="Courier New"/>
          <w:color w:val="0A2A5E"/>
          <w:sz w:val="15"/>
          <w:szCs w:val="15"/>
        </w:rPr>
        <w:t xml:space="preserve">  |  | (pre-rendered) |      | (authenticated, CSR)   |   |</w:t>
      </w:r>
    </w:p>
    <w:p>
      <w:pPr>
        <w:spacing w:after="0" w:before="0" w:line="240"/>
      </w:pPr>
      <w:r>
        <w:rPr>
          <w:rFonts w:ascii="Courier New" w:cs="Courier New" w:eastAsia="Courier New" w:hAnsi="Courier New"/>
          <w:color w:val="0A2A5E"/>
          <w:sz w:val="15"/>
          <w:szCs w:val="15"/>
        </w:rPr>
        <w:t xml:space="preserve">  |  +----------------+      +------------------------+   |</w:t>
      </w:r>
    </w:p>
    <w:p>
      <w:pPr>
        <w:spacing w:after="0" w:before="0" w:line="240"/>
      </w:pPr>
      <w:r>
        <w:rPr>
          <w:rFonts w:ascii="Courier New" w:cs="Courier New" w:eastAsia="Courier New" w:hAnsi="Courier New"/>
          <w:color w:val="0A2A5E"/>
          <w:sz w:val="15"/>
          <w:szCs w:val="15"/>
        </w:rPr>
        <w:t xml:space="preserve">  |            |                        |                 |</w:t>
      </w:r>
    </w:p>
    <w:p>
      <w:pPr>
        <w:spacing w:after="0" w:before="0" w:line="240"/>
      </w:pPr>
      <w:r>
        <w:rPr>
          <w:rFonts w:ascii="Courier New" w:cs="Courier New" w:eastAsia="Courier New" w:hAnsi="Courier New"/>
          <w:color w:val="0A2A5E"/>
          <w:sz w:val="15"/>
          <w:szCs w:val="15"/>
        </w:rPr>
        <w:t xml:space="preserve">  |  +-------------------------------------------------+  |</w:t>
      </w:r>
    </w:p>
    <w:p>
      <w:pPr>
        <w:spacing w:after="0" w:before="0" w:line="240"/>
      </w:pPr>
      <w:r>
        <w:rPr>
          <w:rFonts w:ascii="Courier New" w:cs="Courier New" w:eastAsia="Courier New" w:hAnsi="Courier New"/>
          <w:color w:val="0A2A5E"/>
          <w:sz w:val="15"/>
          <w:szCs w:val="15"/>
        </w:rPr>
        <w:t xml:space="preserve">  |  |  API LAYER  (route handlers, validation)        |  |</w:t>
      </w:r>
    </w:p>
    <w:p>
      <w:pPr>
        <w:spacing w:after="0" w:before="0" w:line="240"/>
      </w:pPr>
      <w:r>
        <w:rPr>
          <w:rFonts w:ascii="Courier New" w:cs="Courier New" w:eastAsia="Courier New" w:hAnsi="Courier New"/>
          <w:color w:val="0A2A5E"/>
          <w:sz w:val="15"/>
          <w:szCs w:val="15"/>
        </w:rPr>
        <w:t xml:space="preserve">  |  +-------------------------------------------------+  |</w:t>
      </w:r>
    </w:p>
    <w:p>
      <w:pPr>
        <w:spacing w:after="0" w:before="0" w:line="240"/>
      </w:pPr>
      <w:r>
        <w:rPr>
          <w:rFonts w:ascii="Courier New" w:cs="Courier New" w:eastAsia="Courier New" w:hAnsi="Courier New"/>
          <w:color w:val="0A2A5E"/>
          <w:sz w:val="15"/>
          <w:szCs w:val="15"/>
        </w:rPr>
        <w:t xml:space="preserve">  |            |            |             |               |</w:t>
      </w:r>
    </w:p>
    <w:p>
      <w:pPr>
        <w:spacing w:after="0" w:before="0" w:line="240"/>
      </w:pPr>
      <w:r>
        <w:rPr>
          <w:rFonts w:ascii="Courier New" w:cs="Courier New" w:eastAsia="Courier New" w:hAnsi="Courier New"/>
          <w:color w:val="0A2A5E"/>
          <w:sz w:val="15"/>
          <w:szCs w:val="15"/>
        </w:rPr>
        <w:t xml:space="preserve">  |  +---------+  +---------+  +--------+  +-----------+  |</w:t>
      </w:r>
    </w:p>
    <w:p>
      <w:pPr>
        <w:spacing w:after="0" w:before="0" w:line="240"/>
      </w:pPr>
      <w:r>
        <w:rPr>
          <w:rFonts w:ascii="Courier New" w:cs="Courier New" w:eastAsia="Courier New" w:hAnsi="Courier New"/>
          <w:color w:val="0A2A5E"/>
          <w:sz w:val="15"/>
          <w:szCs w:val="15"/>
        </w:rPr>
        <w:t xml:space="preserve">  |  | Content |  |  Lead   |  | Locale |  |  Identity |  |</w:t>
      </w:r>
    </w:p>
    <w:p>
      <w:pPr>
        <w:spacing w:after="0" w:before="0" w:line="240"/>
      </w:pPr>
      <w:r>
        <w:rPr>
          <w:rFonts w:ascii="Courier New" w:cs="Courier New" w:eastAsia="Courier New" w:hAnsi="Courier New"/>
          <w:color w:val="0A2A5E"/>
          <w:sz w:val="15"/>
          <w:szCs w:val="15"/>
        </w:rPr>
        <w:t xml:space="preserve">  |  | module  |  | module  |  | module |  |  module   |  |</w:t>
      </w:r>
    </w:p>
    <w:p>
      <w:pPr>
        <w:spacing w:after="0" w:before="0" w:line="240"/>
      </w:pPr>
      <w:r>
        <w:rPr>
          <w:rFonts w:ascii="Courier New" w:cs="Courier New" w:eastAsia="Courier New" w:hAnsi="Courier New"/>
          <w:color w:val="0A2A5E"/>
          <w:sz w:val="15"/>
          <w:szCs w:val="15"/>
        </w:rPr>
        <w:t xml:space="preserve">  |  +---------+  +---------+  +--------+  +-----------+  |</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  PostgreSQL   (content · leads · users · audit)       |</w:t>
      </w:r>
    </w:p>
    <w:p>
      <w:pPr>
        <w:spacing w:after="0" w:before="0" w:line="240"/>
      </w:pPr>
      <w:r>
        <w:rPr>
          <w:rFonts w:ascii="Courier New" w:cs="Courier New" w:eastAsia="Courier New" w:hAnsi="Courier New"/>
          <w:color w:val="0A2A5E"/>
          <w:sz w:val="15"/>
          <w:szCs w:val="15"/>
        </w:rPr>
        <w:t xml:space="preserve">  +-------------------------------------------------------+</w:t>
      </w:r>
    </w:p>
    <w:p>
      <w:pPr>
        <w:spacing w:after="150" w:before="0"/>
      </w:pP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000"/>
        <w:gridCol w:w="2600"/>
        <w:gridCol w:w="4400"/>
      </w:tblGrid>
      <w:tr>
        <w:trPr>
          <w:tblHeader/>
        </w:trPr>
        <w:tc>
          <w:tcPr>
            <w:tcW w:type="dxa" w:w="2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Container</w:t>
            </w:r>
          </w:p>
        </w:tc>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Technology</w:t>
            </w:r>
          </w:p>
        </w:tc>
        <w:tc>
          <w:tcPr>
            <w:tcW w:type="dxa" w:w="4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Responsibility</w:t>
            </w:r>
          </w:p>
        </w:tc>
      </w:tr>
      <w:tr>
        <w:tc>
          <w:tcPr>
            <w:tcW w:type="dxa" w:w="2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Edge / CDN</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CDN with TLS</w:t>
            </w:r>
          </w:p>
        </w:tc>
        <w:tc>
          <w:tcPr>
            <w:tcW w:type="dxa" w:w="4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Static asset and page delivery; caching; certificate management</w:t>
            </w:r>
          </w:p>
        </w:tc>
      </w:tr>
      <w:tr>
        <w:tc>
          <w:tcPr>
            <w:tcW w:type="dxa" w:w="2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Public site</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Next.js, statically generated</w:t>
            </w:r>
          </w:p>
        </w:tc>
        <w:tc>
          <w:tcPr>
            <w:tcW w:type="dxa" w:w="4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Renders the four language editions; no authenticated state</w:t>
            </w:r>
          </w:p>
        </w:tc>
      </w:tr>
      <w:tr>
        <w:tc>
          <w:tcPr>
            <w:tcW w:type="dxa" w:w="2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Admin application</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Next.js, client-rendered behind authentication</w:t>
            </w:r>
          </w:p>
        </w:tc>
        <w:tc>
          <w:tcPr>
            <w:tcW w:type="dxa" w:w="4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editing, translation management, lead access</w:t>
            </w:r>
          </w:p>
        </w:tc>
      </w:tr>
      <w:tr>
        <w:tc>
          <w:tcPr>
            <w:tcW w:type="dxa" w:w="2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 layer</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TypeScript route handlers</w:t>
            </w:r>
          </w:p>
        </w:tc>
        <w:tc>
          <w:tcPr>
            <w:tcW w:type="dxa" w:w="4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Request validation, authorisation, rate limiting, module orchestration</w:t>
            </w:r>
          </w:p>
        </w:tc>
      </w:tr>
      <w:tr>
        <w:tc>
          <w:tcPr>
            <w:tcW w:type="dxa" w:w="2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module</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TypeScript domain code</w:t>
            </w:r>
          </w:p>
        </w:tc>
        <w:tc>
          <w:tcPr>
            <w:tcW w:type="dxa" w:w="4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Sections, blocks, translations, publication workflow</w:t>
            </w:r>
          </w:p>
        </w:tc>
      </w:tr>
      <w:tr>
        <w:tc>
          <w:tcPr>
            <w:tcW w:type="dxa" w:w="2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module</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TypeScript domain code</w:t>
            </w:r>
          </w:p>
        </w:tc>
        <w:tc>
          <w:tcPr>
            <w:tcW w:type="dxa" w:w="4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capture, consent records, notification dispatch, export</w:t>
            </w:r>
          </w:p>
        </w:tc>
      </w:tr>
      <w:tr>
        <w:tc>
          <w:tcPr>
            <w:tcW w:type="dxa" w:w="2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Locale module</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TypeScript domain code</w:t>
            </w:r>
          </w:p>
        </w:tc>
        <w:tc>
          <w:tcPr>
            <w:tcW w:type="dxa" w:w="4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Locale resolution, fallback rules, preference persistence</w:t>
            </w:r>
          </w:p>
        </w:tc>
      </w:tr>
      <w:tr>
        <w:tc>
          <w:tcPr>
            <w:tcW w:type="dxa" w:w="2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Identity module</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TypeScript domain code</w:t>
            </w:r>
          </w:p>
        </w:tc>
        <w:tc>
          <w:tcPr>
            <w:tcW w:type="dxa" w:w="4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Administrator authentication, sessions, roles, audit</w:t>
            </w:r>
          </w:p>
        </w:tc>
      </w:tr>
      <w:tr>
        <w:tc>
          <w:tcPr>
            <w:tcW w:type="dxa" w:w="2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Database</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PostgreSQL</w:t>
            </w:r>
          </w:p>
        </w:tc>
        <w:tc>
          <w:tcPr>
            <w:tcW w:type="dxa" w:w="4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Single relational store; each module owns its own tables</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5. Module Design</w:t>
      </w:r>
    </w:p>
    <w:p>
      <w:pPr>
        <w:pStyle w:val="Heading2"/>
        <w:spacing w:after="120" w:before="260"/>
      </w:pPr>
      <w:r>
        <w:rPr>
          <w:rFonts w:ascii="Arial" w:cs="Arial" w:eastAsia="Arial" w:hAnsi="Arial"/>
          <w:b/>
          <w:bCs/>
          <w:color w:val="0A2A5E"/>
          <w:sz w:val="24"/>
          <w:szCs w:val="24"/>
        </w:rPr>
        <w:t xml:space="preserve">5.1 Boundary Rules</w:t>
      </w:r>
    </w:p>
    <w:p>
      <w:pPr>
        <w:spacing w:after="120" w:before="60" w:line="276"/>
        <w:jc w:val="left"/>
      </w:pPr>
      <w:r>
        <w:rPr>
          <w:rFonts w:ascii="Arial" w:cs="Arial" w:eastAsia="Arial" w:hAnsi="Arial"/>
          <w:b w:val="false"/>
          <w:bCs w:val="false"/>
          <w:i w:val="false"/>
          <w:iCs w:val="false"/>
          <w:color w:val="2C2F36"/>
          <w:sz w:val="20"/>
          <w:szCs w:val="20"/>
        </w:rPr>
        <w:t xml:space="preserve">These rules are what make AD-02 meaningful. Without enforcement, a modular monolith degrades into a monolith with folders.</w:t>
      </w:r>
    </w:p>
    <w:p>
      <w:pPr>
        <w:pStyle w:val="ListParagraph"/>
        <w:numPr>
          <w:ilvl w:val="0"/>
          <w:numId w:val="2"/>
        </w:numPr>
        <w:spacing w:after="60" w:before="40" w:line="264"/>
      </w:pPr>
      <w:r>
        <w:rPr>
          <w:rFonts w:ascii="Arial" w:cs="Arial" w:eastAsia="Arial" w:hAnsi="Arial"/>
          <w:color w:val="2C2F36"/>
          <w:sz w:val="20"/>
          <w:szCs w:val="20"/>
        </w:rPr>
        <w:t xml:space="preserve">A module owns its tables exclusively. No other module issues queries against them.</w:t>
      </w:r>
    </w:p>
    <w:p>
      <w:pPr>
        <w:pStyle w:val="ListParagraph"/>
        <w:numPr>
          <w:ilvl w:val="0"/>
          <w:numId w:val="2"/>
        </w:numPr>
        <w:spacing w:after="60" w:before="40" w:line="264"/>
      </w:pPr>
      <w:r>
        <w:rPr>
          <w:rFonts w:ascii="Arial" w:cs="Arial" w:eastAsia="Arial" w:hAnsi="Arial"/>
          <w:color w:val="2C2F36"/>
          <w:sz w:val="20"/>
          <w:szCs w:val="20"/>
        </w:rPr>
        <w:t xml:space="preserve">Cross-module access occurs only through an explicit exported interface.</w:t>
      </w:r>
    </w:p>
    <w:p>
      <w:pPr>
        <w:pStyle w:val="ListParagraph"/>
        <w:numPr>
          <w:ilvl w:val="0"/>
          <w:numId w:val="2"/>
        </w:numPr>
        <w:spacing w:after="60" w:before="40" w:line="264"/>
      </w:pPr>
      <w:r>
        <w:rPr>
          <w:rFonts w:ascii="Arial" w:cs="Arial" w:eastAsia="Arial" w:hAnsi="Arial"/>
          <w:color w:val="2C2F36"/>
          <w:sz w:val="20"/>
          <w:szCs w:val="20"/>
        </w:rPr>
        <w:t xml:space="preserve">Modules do not import each other's internal types; shared types live in a common contracts package.</w:t>
      </w:r>
    </w:p>
    <w:p>
      <w:pPr>
        <w:pStyle w:val="ListParagraph"/>
        <w:numPr>
          <w:ilvl w:val="0"/>
          <w:numId w:val="2"/>
        </w:numPr>
        <w:spacing w:after="60" w:before="40" w:line="264"/>
      </w:pPr>
      <w:r>
        <w:rPr>
          <w:rFonts w:ascii="Arial" w:cs="Arial" w:eastAsia="Arial" w:hAnsi="Arial"/>
          <w:color w:val="2C2F36"/>
          <w:sz w:val="20"/>
          <w:szCs w:val="20"/>
        </w:rPr>
        <w:t xml:space="preserve">A module never imports the framework request or response objects; those belong to the API layer.</w:t>
      </w:r>
    </w:p>
    <w:p>
      <w:pPr>
        <w:pStyle w:val="ListParagraph"/>
        <w:numPr>
          <w:ilvl w:val="0"/>
          <w:numId w:val="2"/>
        </w:numPr>
        <w:spacing w:after="60" w:before="40" w:line="264"/>
      </w:pPr>
      <w:r>
        <w:rPr>
          <w:rFonts w:ascii="Arial" w:cs="Arial" w:eastAsia="Arial" w:hAnsi="Arial"/>
          <w:color w:val="2C2F36"/>
          <w:sz w:val="20"/>
          <w:szCs w:val="20"/>
        </w:rPr>
        <w:t xml:space="preserve">Any cross-module transaction is coordinated in the API layer, not buried inside a module.</w:t>
      </w:r>
    </w:p>
    <w:p>
      <w:pPr>
        <w:pStyle w:val="Heading2"/>
        <w:spacing w:after="120" w:before="260"/>
      </w:pPr>
      <w:r>
        <w:rPr>
          <w:rFonts w:ascii="Arial" w:cs="Arial" w:eastAsia="Arial" w:hAnsi="Arial"/>
          <w:b/>
          <w:bCs/>
          <w:color w:val="0A2A5E"/>
          <w:sz w:val="24"/>
          <w:szCs w:val="24"/>
        </w:rPr>
        <w:t xml:space="preserve">5.2 Content Module</w:t>
      </w:r>
    </w:p>
    <w:p>
      <w:pPr>
        <w:spacing w:after="120" w:before="60" w:line="276"/>
        <w:jc w:val="left"/>
      </w:pPr>
      <w:r>
        <w:rPr>
          <w:rFonts w:ascii="Arial" w:cs="Arial" w:eastAsia="Arial" w:hAnsi="Arial"/>
          <w:b w:val="false"/>
          <w:bCs w:val="false"/>
          <w:i w:val="false"/>
          <w:iCs w:val="false"/>
          <w:color w:val="2C2F36"/>
          <w:sz w:val="20"/>
          <w:szCs w:val="20"/>
        </w:rPr>
        <w:t xml:space="preserve">Owns everything that appears on the public page and can be changed without a deployment.</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6400"/>
      </w:tblGrid>
      <w:tr>
        <w:trPr>
          <w:tblHeader/>
        </w:trPr>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Responsibility</w:t>
            </w:r>
          </w:p>
        </w:tc>
        <w:tc>
          <w:tcPr>
            <w:tcW w:type="dxa" w:w="6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Detail</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 registry</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eleven page sections, their order, type, and enabled state</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Block management</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Blocks within sections, their type, order, and constraints</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Translation management</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translation record per block per locale, with a status flag</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Publication workflow</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Draft and published states; publication triggers page revalidation</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Translation gap reporting</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Enumerates blocks lacking a published translation in any locale (FR-09.7)</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FAQ management</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Ordered question and answer pairs per locale</w:t>
            </w:r>
          </w:p>
        </w:tc>
      </w:tr>
    </w:tbl>
    <w:p>
      <w:pPr>
        <w:pStyle w:val="Heading2"/>
        <w:spacing w:after="120" w:before="260"/>
      </w:pPr>
      <w:r>
        <w:rPr>
          <w:rFonts w:ascii="Arial" w:cs="Arial" w:eastAsia="Arial" w:hAnsi="Arial"/>
          <w:b/>
          <w:bCs/>
          <w:color w:val="0A2A5E"/>
          <w:sz w:val="24"/>
          <w:szCs w:val="24"/>
        </w:rPr>
        <w:t xml:space="preserve">5.3 Lead Module</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6400"/>
      </w:tblGrid>
      <w:tr>
        <w:trPr>
          <w:tblHeader/>
        </w:trPr>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Responsibility</w:t>
            </w:r>
          </w:p>
        </w:tc>
        <w:tc>
          <w:tcPr>
            <w:tcW w:type="dxa" w:w="6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Detail</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1 capture</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Creates a complete lead record on first submission, independent of Step 2 (FR-06.1)</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2 enrichment</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Attaches qualification data to an existing record; never blocks or invalidates it</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recording</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Persists consent text version and timestamp alongside the record (FR-12.7)</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Notification dispatch</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Sends the SRH notification and the localised client acknowledgement</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Delivery tracking</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Records delivery outcome; raises an alert on failure without losing the lead</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Export</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Produces a structured export of leads with all metadata</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Retention</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Applies the configured retention period and supports erasure requests (FR-12.8)</w:t>
            </w:r>
          </w:p>
        </w:tc>
      </w:tr>
    </w:tbl>
    <w:p>
      <w:pPr>
        <w:pStyle w:val="Heading2"/>
        <w:spacing w:after="120" w:before="260"/>
      </w:pPr>
      <w:r>
        <w:rPr>
          <w:rFonts w:ascii="Arial" w:cs="Arial" w:eastAsia="Arial" w:hAnsi="Arial"/>
          <w:b/>
          <w:bCs/>
          <w:color w:val="0A2A5E"/>
          <w:sz w:val="24"/>
          <w:szCs w:val="24"/>
        </w:rPr>
        <w:t xml:space="preserve">5.4 Locale Module</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6400"/>
      </w:tblGrid>
      <w:tr>
        <w:trPr>
          <w:tblHeader/>
        </w:trPr>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Responsibility</w:t>
            </w:r>
          </w:p>
        </w:tc>
        <w:tc>
          <w:tcPr>
            <w:tcW w:type="dxa" w:w="6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Detail</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Resolution order</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Stored preference, then geographic origin, then browser preference, then English fallback</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Spain default</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Requests originating in Spain resolve to Spanish absent a stored preference (FR-02.3)</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Preference persistence</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manual selection is stored and takes precedence over all detection (FR-02.7)</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Non-blocking redirection</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Detection sets the default only; every edition remains directly reachable by URL (FR-02 constraint)</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Supported locales</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uk, ru, es, en — extensible to a fifth locale without schema change</w:t>
            </w:r>
          </w:p>
        </w:tc>
      </w:tr>
    </w:tbl>
    <w:p>
      <w:pPr>
        <w:pStyle w:val="Heading2"/>
        <w:spacing w:after="120" w:before="260"/>
      </w:pPr>
      <w:r>
        <w:rPr>
          <w:rFonts w:ascii="Arial" w:cs="Arial" w:eastAsia="Arial" w:hAnsi="Arial"/>
          <w:b/>
          <w:bCs/>
          <w:color w:val="0A2A5E"/>
          <w:sz w:val="24"/>
          <w:szCs w:val="24"/>
        </w:rPr>
        <w:t xml:space="preserve">5.5 Identity Module</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6400"/>
      </w:tblGrid>
      <w:tr>
        <w:trPr>
          <w:tblHeader/>
        </w:trPr>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Responsibility</w:t>
            </w:r>
          </w:p>
        </w:tc>
        <w:tc>
          <w:tcPr>
            <w:tcW w:type="dxa" w:w="6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Detail</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Authentication</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Credential-based sign-in with hashed passwords using a memory-hard algorithm</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Session management</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Server-side sessions with absolute and idle expiry (FR-09.1)</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Authorisation</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Role assignment: content administrator, lead handler, system owner</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Second factor</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Time-based one-time password support for administrative accounts</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Audit</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Records who changed what content and when, and who accessed lead data</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6. Content Model and the WYSIWYG Editing Subsystem</w:t>
      </w:r>
    </w:p>
    <w:p>
      <w:pPr>
        <w:spacing w:after="120" w:before="60" w:line="276"/>
        <w:jc w:val="left"/>
      </w:pPr>
      <w:r>
        <w:rPr>
          <w:rFonts w:ascii="Arial" w:cs="Arial" w:eastAsia="Arial" w:hAnsi="Arial"/>
          <w:b w:val="false"/>
          <w:bCs w:val="false"/>
          <w:i w:val="false"/>
          <w:iCs w:val="false"/>
          <w:color w:val="2C2F36"/>
          <w:sz w:val="20"/>
          <w:szCs w:val="20"/>
        </w:rPr>
        <w:t xml:space="preserve">This is the most consequential design in the release. It determines whether the client can operate the site independently, whether the design survives that operation, and whether Phase 2 can extend the content system rather than replace it.</w:t>
      </w:r>
    </w:p>
    <w:p>
      <w:pPr>
        <w:pStyle w:val="Heading2"/>
        <w:spacing w:after="120" w:before="260"/>
      </w:pPr>
      <w:r>
        <w:rPr>
          <w:rFonts w:ascii="Arial" w:cs="Arial" w:eastAsia="Arial" w:hAnsi="Arial"/>
          <w:b/>
          <w:bCs/>
          <w:color w:val="0A2A5E"/>
          <w:sz w:val="24"/>
          <w:szCs w:val="24"/>
        </w:rPr>
        <w:t xml:space="preserve">6.1 Three-Level Model</w:t>
      </w:r>
    </w:p>
    <w:p>
      <w:pPr>
        <w:spacing w:after="120" w:before="60" w:line="276"/>
        <w:jc w:val="left"/>
      </w:pPr>
      <w:r>
        <w:rPr>
          <w:rFonts w:ascii="Arial" w:cs="Arial" w:eastAsia="Arial" w:hAnsi="Arial"/>
          <w:b w:val="false"/>
          <w:bCs w:val="false"/>
          <w:i w:val="false"/>
          <w:iCs w:val="false"/>
          <w:color w:val="2C2F36"/>
          <w:sz w:val="20"/>
          <w:szCs w:val="20"/>
        </w:rPr>
        <w:t xml:space="preserve">Content is modelled at three levels, deliberately separating page structure from editable content from language.</w:t>
      </w:r>
    </w:p>
    <w:p>
      <w:pPr>
        <w:spacing w:after="100" w:before="0"/>
      </w:pPr>
    </w:p>
    <w:p>
      <w:pPr>
        <w:spacing w:after="0" w:before="0" w:line="240"/>
      </w:pPr>
      <w:r>
        <w:rPr>
          <w:rFonts w:ascii="Courier New" w:cs="Courier New" w:eastAsia="Courier New" w:hAnsi="Courier New"/>
          <w:color w:val="0A2A5E"/>
          <w:sz w:val="15"/>
          <w:szCs w:val="15"/>
        </w:rPr>
        <w:t xml:space="preserve">  SECTION        structural, fixed at build time</w:t>
      </w:r>
    </w:p>
    <w:p>
      <w:pPr>
        <w:spacing w:after="0" w:before="0" w:line="240"/>
      </w:pPr>
      <w:r>
        <w:rPr>
          <w:rFonts w:ascii="Courier New" w:cs="Courier New" w:eastAsia="Courier New" w:hAnsi="Courier New"/>
          <w:color w:val="0A2A5E"/>
          <w:sz w:val="15"/>
          <w:szCs w:val="15"/>
        </w:rPr>
        <w:t xml:space="preserve">  (hero, property, residency, vehicles, business,</w:t>
      </w:r>
    </w:p>
    <w:p>
      <w:pPr>
        <w:spacing w:after="0" w:before="0" w:line="240"/>
      </w:pPr>
      <w:r>
        <w:rPr>
          <w:rFonts w:ascii="Courier New" w:cs="Courier New" w:eastAsia="Courier New" w:hAnsi="Courier New"/>
          <w:color w:val="0A2A5E"/>
          <w:sz w:val="15"/>
          <w:szCs w:val="15"/>
        </w:rPr>
        <w:t xml:space="preserve">   insurance, adaptation, why_us, process, faq, contact)</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  1..n</w:t>
      </w:r>
    </w:p>
    <w:p>
      <w:pPr>
        <w:spacing w:after="0" w:before="0" w:line="240"/>
      </w:pPr>
      <w:r>
        <w:rPr>
          <w:rFonts w:ascii="Courier New" w:cs="Courier New" w:eastAsia="Courier New" w:hAnsi="Courier New"/>
          <w:color w:val="0A2A5E"/>
          <w:sz w:val="15"/>
          <w:szCs w:val="15"/>
        </w:rPr>
        <w:t xml:space="preserve">       v</w:t>
      </w:r>
    </w:p>
    <w:p>
      <w:pPr>
        <w:spacing w:after="0" w:before="0" w:line="240"/>
      </w:pPr>
      <w:r>
        <w:rPr>
          <w:rFonts w:ascii="Courier New" w:cs="Courier New" w:eastAsia="Courier New" w:hAnsi="Courier New"/>
          <w:color w:val="0A2A5E"/>
          <w:sz w:val="15"/>
          <w:szCs w:val="15"/>
        </w:rPr>
        <w:t xml:space="preserve">  BLOCK          typed content slot within a section</w:t>
      </w:r>
    </w:p>
    <w:p>
      <w:pPr>
        <w:spacing w:after="0" w:before="0" w:line="240"/>
      </w:pPr>
      <w:r>
        <w:rPr>
          <w:rFonts w:ascii="Courier New" w:cs="Courier New" w:eastAsia="Courier New" w:hAnsi="Courier New"/>
          <w:color w:val="0A2A5E"/>
          <w:sz w:val="15"/>
          <w:szCs w:val="15"/>
        </w:rPr>
        <w:t xml:space="preserve">  (headline · subheadline · body · service_item ·</w:t>
      </w:r>
    </w:p>
    <w:p>
      <w:pPr>
        <w:spacing w:after="0" w:before="0" w:line="240"/>
      </w:pPr>
      <w:r>
        <w:rPr>
          <w:rFonts w:ascii="Courier New" w:cs="Courier New" w:eastAsia="Courier New" w:hAnsi="Courier New"/>
          <w:color w:val="0A2A5E"/>
          <w:sz w:val="15"/>
          <w:szCs w:val="15"/>
        </w:rPr>
        <w:t xml:space="preserve">   value_point · step · faq_entry · cta_label)</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  1..4  (one per locale)</w:t>
      </w:r>
    </w:p>
    <w:p>
      <w:pPr>
        <w:spacing w:after="0" w:before="0" w:line="240"/>
      </w:pPr>
      <w:r>
        <w:rPr>
          <w:rFonts w:ascii="Courier New" w:cs="Courier New" w:eastAsia="Courier New" w:hAnsi="Courier New"/>
          <w:color w:val="0A2A5E"/>
          <w:sz w:val="15"/>
          <w:szCs w:val="15"/>
        </w:rPr>
        <w:t xml:space="preserve">       v</w:t>
      </w:r>
    </w:p>
    <w:p>
      <w:pPr>
        <w:spacing w:after="0" w:before="0" w:line="240"/>
      </w:pPr>
      <w:r>
        <w:rPr>
          <w:rFonts w:ascii="Courier New" w:cs="Courier New" w:eastAsia="Courier New" w:hAnsi="Courier New"/>
          <w:color w:val="0A2A5E"/>
          <w:sz w:val="15"/>
          <w:szCs w:val="15"/>
        </w:rPr>
        <w:t xml:space="preserve">  BLOCK_TRANSLATION    the editable content itself</w:t>
      </w:r>
    </w:p>
    <w:p>
      <w:pPr>
        <w:spacing w:after="0" w:before="0" w:line="240"/>
      </w:pPr>
      <w:r>
        <w:rPr>
          <w:rFonts w:ascii="Courier New" w:cs="Courier New" w:eastAsia="Courier New" w:hAnsi="Courier New"/>
          <w:color w:val="0A2A5E"/>
          <w:sz w:val="15"/>
          <w:szCs w:val="15"/>
        </w:rPr>
        <w:t xml:space="preserve">  (locale · rich content · plain text · status)</w:t>
      </w:r>
    </w:p>
    <w:p>
      <w:pPr>
        <w:spacing w:after="150" w:before="0"/>
      </w:pPr>
    </w:p>
    <w:p>
      <w:pPr>
        <w:spacing w:after="120" w:before="60" w:line="276"/>
        <w:jc w:val="left"/>
      </w:pPr>
      <w:r>
        <w:rPr>
          <w:rFonts w:ascii="Arial" w:cs="Arial" w:eastAsia="Arial" w:hAnsi="Arial"/>
          <w:b w:val="false"/>
          <w:bCs w:val="false"/>
          <w:i w:val="false"/>
          <w:iCs w:val="false"/>
          <w:color w:val="2C2F36"/>
          <w:sz w:val="20"/>
          <w:szCs w:val="20"/>
        </w:rPr>
        <w:t xml:space="preserve">Sections are structural and are not created or deleted by an administrator — deleting the Insurance section is a design change, not a content change. Blocks are the editable units. Translations are per locale, which makes the translation gap view a direct query rather than a heuristic.</w:t>
      </w:r>
    </w:p>
    <w:p>
      <w:pPr>
        <w:pStyle w:val="Heading2"/>
        <w:spacing w:after="120" w:before="260"/>
      </w:pPr>
      <w:r>
        <w:rPr>
          <w:rFonts w:ascii="Arial" w:cs="Arial" w:eastAsia="Arial" w:hAnsi="Arial"/>
          <w:b/>
          <w:bCs/>
          <w:color w:val="0A2A5E"/>
          <w:sz w:val="24"/>
          <w:szCs w:val="24"/>
        </w:rPr>
        <w:t xml:space="preserve">6.2 Constrained Editor Schema</w:t>
      </w:r>
    </w:p>
    <w:p>
      <w:pPr>
        <w:spacing w:after="120" w:before="60" w:line="276"/>
        <w:jc w:val="left"/>
      </w:pPr>
      <w:r>
        <w:rPr>
          <w:rFonts w:ascii="Arial" w:cs="Arial" w:eastAsia="Arial" w:hAnsi="Arial"/>
          <w:b w:val="false"/>
          <w:bCs w:val="false"/>
          <w:i w:val="false"/>
          <w:iCs w:val="false"/>
          <w:color w:val="2C2F36"/>
          <w:sz w:val="20"/>
          <w:szCs w:val="20"/>
        </w:rPr>
        <w:t xml:space="preserve">Each block type declares exactly what the editor permits. The editor is configured from this declaration, so the interface cannot offer a control that the schema would reject.</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2600"/>
        <w:gridCol w:w="4200"/>
      </w:tblGrid>
      <w:tr>
        <w:trPr>
          <w:tblHeader/>
        </w:trPr>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Block type</w:t>
            </w:r>
          </w:p>
        </w:tc>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Permitted content</w:t>
            </w:r>
          </w:p>
        </w:tc>
        <w:tc>
          <w:tcPr>
            <w:tcW w:type="dxa" w:w="4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Editor controls exposed</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headline</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Plain text, single line</w:t>
            </w:r>
          </w:p>
        </w:tc>
        <w:tc>
          <w:tcPr>
            <w:tcW w:type="dxa" w:w="4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None — text entry only</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subheadline</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Plain text, multi-line</w:t>
            </w:r>
          </w:p>
        </w:tc>
        <w:tc>
          <w:tcPr>
            <w:tcW w:type="dxa" w:w="4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None — text entry only</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body</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Rich text</w:t>
            </w:r>
          </w:p>
        </w:tc>
        <w:tc>
          <w:tcPr>
            <w:tcW w:type="dxa" w:w="4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Bold, italic, link, bulleted list, ordered list</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service_item</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Short rich text</w:t>
            </w:r>
          </w:p>
        </w:tc>
        <w:tc>
          <w:tcPr>
            <w:tcW w:type="dxa" w:w="4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Bold, link</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value_point</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Plain text, single line</w:t>
            </w:r>
          </w:p>
        </w:tc>
        <w:tc>
          <w:tcPr>
            <w:tcW w:type="dxa" w:w="4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None</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Title and description</w:t>
            </w:r>
          </w:p>
        </w:tc>
        <w:tc>
          <w:tcPr>
            <w:tcW w:type="dxa" w:w="4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Bold within description</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faq_entry</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Question plain, answer rich</w:t>
            </w:r>
          </w:p>
        </w:tc>
        <w:tc>
          <w:tcPr>
            <w:tcW w:type="dxa" w:w="4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Bold, italic, link, lists within the answer</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cta_label</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Plain text, length-capped</w:t>
            </w:r>
          </w:p>
        </w:tc>
        <w:tc>
          <w:tcPr>
            <w:tcW w:type="dxa" w:w="4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None</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contact_value</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Plain text, format-validated</w:t>
            </w:r>
          </w:p>
        </w:tc>
        <w:tc>
          <w:tcPr>
            <w:tcW w:type="dxa" w:w="4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None</w:t>
            </w:r>
          </w:p>
        </w:tc>
      </w:tr>
    </w:tbl>
    <w:p>
      <w:pPr>
        <w:spacing w:after="120" w:before="60" w:line="276"/>
        <w:jc w:val="left"/>
      </w:pPr>
      <w:r>
        <w:rPr>
          <w:rFonts w:ascii="Arial" w:cs="Arial" w:eastAsia="Arial" w:hAnsi="Arial"/>
          <w:b w:val="false"/>
          <w:bCs w:val="false"/>
          <w:i/>
          <w:iCs/>
          <w:color w:val="2C2F36"/>
          <w:sz w:val="20"/>
          <w:szCs w:val="20"/>
        </w:rPr>
        <w:t xml:space="preserve">No block type exposes font family, size, colour, alignment, or arbitrary markup. This is the mechanism by which FR-09.8 and the PDD design requirements are satisfied simultaneously: the administrator has real editing freedom over language, and none over presentation.</w:t>
      </w:r>
    </w:p>
    <w:p>
      <w:pPr>
        <w:pStyle w:val="Heading2"/>
        <w:spacing w:after="120" w:before="260"/>
      </w:pPr>
      <w:r>
        <w:rPr>
          <w:rFonts w:ascii="Arial" w:cs="Arial" w:eastAsia="Arial" w:hAnsi="Arial"/>
          <w:b/>
          <w:bCs/>
          <w:color w:val="0A2A5E"/>
          <w:sz w:val="24"/>
          <w:szCs w:val="24"/>
        </w:rPr>
        <w:t xml:space="preserve">6.3 Storage Format</w:t>
      </w:r>
    </w:p>
    <w:p>
      <w:pPr>
        <w:spacing w:after="120" w:before="60" w:line="276"/>
        <w:jc w:val="left"/>
      </w:pPr>
      <w:r>
        <w:rPr>
          <w:rFonts w:ascii="Arial" w:cs="Arial" w:eastAsia="Arial" w:hAnsi="Arial"/>
          <w:b w:val="false"/>
          <w:bCs w:val="false"/>
          <w:i w:val="false"/>
          <w:iCs w:val="false"/>
          <w:color w:val="2C2F36"/>
          <w:sz w:val="20"/>
          <w:szCs w:val="20"/>
        </w:rPr>
        <w:t xml:space="preserve">Rich content is stored as a structured document representation in a JSONB column rather than as an HTML string. Three reasons:</w:t>
      </w:r>
    </w:p>
    <w:p>
      <w:pPr>
        <w:pStyle w:val="ListParagraph"/>
        <w:numPr>
          <w:ilvl w:val="0"/>
          <w:numId w:val="2"/>
        </w:numPr>
        <w:spacing w:after="60" w:before="40" w:line="264"/>
      </w:pPr>
      <w:r>
        <w:rPr>
          <w:rFonts w:ascii="Arial" w:cs="Arial" w:eastAsia="Arial" w:hAnsi="Arial"/>
          <w:color w:val="2C2F36"/>
          <w:sz w:val="20"/>
          <w:szCs w:val="20"/>
        </w:rPr>
        <w:t xml:space="preserve">Validation — content can be checked against the block type schema on write, so invalid structure never reaches the database.</w:t>
      </w:r>
    </w:p>
    <w:p>
      <w:pPr>
        <w:pStyle w:val="ListParagraph"/>
        <w:numPr>
          <w:ilvl w:val="0"/>
          <w:numId w:val="2"/>
        </w:numPr>
        <w:spacing w:after="60" w:before="40" w:line="264"/>
      </w:pPr>
      <w:r>
        <w:rPr>
          <w:rFonts w:ascii="Arial" w:cs="Arial" w:eastAsia="Arial" w:hAnsi="Arial"/>
          <w:color w:val="2C2F36"/>
          <w:sz w:val="20"/>
          <w:szCs w:val="20"/>
        </w:rPr>
        <w:t xml:space="preserve">Safety — rendering a structured document to HTML at build time eliminates the injection surface that storing raw HTML creates.</w:t>
      </w:r>
    </w:p>
    <w:p>
      <w:pPr>
        <w:pStyle w:val="ListParagraph"/>
        <w:numPr>
          <w:ilvl w:val="0"/>
          <w:numId w:val="2"/>
        </w:numPr>
        <w:spacing w:after="60" w:before="40" w:line="264"/>
      </w:pPr>
      <w:r>
        <w:rPr>
          <w:rFonts w:ascii="Arial" w:cs="Arial" w:eastAsia="Arial" w:hAnsi="Arial"/>
          <w:color w:val="2C2F36"/>
          <w:sz w:val="20"/>
          <w:szCs w:val="20"/>
        </w:rPr>
        <w:t xml:space="preserve">Portability — a structured document can be rendered to HTML, to plain text for search indexing and metadata, or to another format in Phase 2, without parsing markup.</w:t>
      </w:r>
    </w:p>
    <w:p>
      <w:pPr>
        <w:spacing w:after="120" w:before="60" w:line="276"/>
        <w:jc w:val="left"/>
      </w:pPr>
      <w:r>
        <w:rPr>
          <w:rFonts w:ascii="Arial" w:cs="Arial" w:eastAsia="Arial" w:hAnsi="Arial"/>
          <w:b w:val="false"/>
          <w:bCs w:val="false"/>
          <w:i w:val="false"/>
          <w:iCs w:val="false"/>
          <w:color w:val="2C2F36"/>
          <w:sz w:val="20"/>
          <w:szCs w:val="20"/>
        </w:rPr>
        <w:t xml:space="preserve">A denormalised plain-text projection is stored alongside the structured content for use in metadata generation, search indexing, and the translation gap view.</w:t>
      </w:r>
    </w:p>
    <w:p>
      <w:pPr>
        <w:pStyle w:val="Heading2"/>
        <w:spacing w:after="120" w:before="260"/>
      </w:pPr>
      <w:r>
        <w:rPr>
          <w:rFonts w:ascii="Arial" w:cs="Arial" w:eastAsia="Arial" w:hAnsi="Arial"/>
          <w:b/>
          <w:bCs/>
          <w:color w:val="0A2A5E"/>
          <w:sz w:val="24"/>
          <w:szCs w:val="24"/>
        </w:rPr>
        <w:t xml:space="preserve">6.4 Editing and Publication Flow</w:t>
      </w:r>
    </w:p>
    <w:p>
      <w:pPr>
        <w:spacing w:after="100" w:before="0"/>
      </w:pPr>
    </w:p>
    <w:p>
      <w:pPr>
        <w:spacing w:after="0" w:before="0" w:line="240"/>
      </w:pPr>
      <w:r>
        <w:rPr>
          <w:rFonts w:ascii="Courier New" w:cs="Courier New" w:eastAsia="Courier New" w:hAnsi="Courier New"/>
          <w:color w:val="0A2A5E"/>
          <w:sz w:val="15"/>
          <w:szCs w:val="15"/>
        </w:rPr>
        <w:t xml:space="preserve">  Admin edits block in locale</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v</w:t>
      </w:r>
    </w:p>
    <w:p>
      <w:pPr>
        <w:spacing w:after="0" w:before="0" w:line="240"/>
      </w:pPr>
      <w:r>
        <w:rPr>
          <w:rFonts w:ascii="Courier New" w:cs="Courier New" w:eastAsia="Courier New" w:hAnsi="Courier New"/>
          <w:color w:val="0A2A5E"/>
          <w:sz w:val="15"/>
          <w:szCs w:val="15"/>
        </w:rPr>
        <w:t xml:space="preserve">  Validate against block type schema</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v</w:t>
      </w:r>
    </w:p>
    <w:p>
      <w:pPr>
        <w:spacing w:after="0" w:before="0" w:line="240"/>
      </w:pPr>
      <w:r>
        <w:rPr>
          <w:rFonts w:ascii="Courier New" w:cs="Courier New" w:eastAsia="Courier New" w:hAnsi="Courier New"/>
          <w:color w:val="0A2A5E"/>
          <w:sz w:val="15"/>
          <w:szCs w:val="15"/>
        </w:rPr>
        <w:t xml:space="preserve">  Save as DRAFT  (published version remains live)</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v</w:t>
      </w:r>
    </w:p>
    <w:p>
      <w:pPr>
        <w:spacing w:after="0" w:before="0" w:line="240"/>
      </w:pPr>
      <w:r>
        <w:rPr>
          <w:rFonts w:ascii="Courier New" w:cs="Courier New" w:eastAsia="Courier New" w:hAnsi="Courier New"/>
          <w:color w:val="0A2A5E"/>
          <w:sz w:val="15"/>
          <w:szCs w:val="15"/>
        </w:rPr>
        <w:t xml:space="preserve">  Admin publishes</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+---&gt; write PUBLISHED version + audit entry</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+---&gt; trigger revalidation of affected locale page</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v</w:t>
      </w:r>
    </w:p>
    <w:p>
      <w:pPr>
        <w:spacing w:after="0" w:before="0" w:line="240"/>
      </w:pPr>
      <w:r>
        <w:rPr>
          <w:rFonts w:ascii="Courier New" w:cs="Courier New" w:eastAsia="Courier New" w:hAnsi="Courier New"/>
          <w:color w:val="0A2A5E"/>
          <w:sz w:val="15"/>
          <w:szCs w:val="15"/>
        </w:rPr>
        <w:t xml:space="preserve">  Edge serves regenerated page (seconds, no deployment)</w:t>
      </w:r>
    </w:p>
    <w:p>
      <w:pPr>
        <w:spacing w:after="150" w:before="0"/>
      </w:pPr>
    </w:p>
    <w:p>
      <w:pPr>
        <w:spacing w:after="120" w:before="60" w:line="276"/>
        <w:jc w:val="left"/>
      </w:pPr>
      <w:r>
        <w:rPr>
          <w:rFonts w:ascii="Arial" w:cs="Arial" w:eastAsia="Arial" w:hAnsi="Arial"/>
          <w:b w:val="false"/>
          <w:bCs w:val="false"/>
          <w:i w:val="false"/>
          <w:iCs w:val="false"/>
          <w:color w:val="2C2F36"/>
          <w:sz w:val="20"/>
          <w:szCs w:val="20"/>
        </w:rPr>
        <w:t xml:space="preserve">Draft and published versions are stored separately so that an in-progress edit never appears on the live site, and so that the previous published version remains recoverable — this is the foundation for the content versioning deferred to Release 1.1 (FR-09.9).</w:t>
      </w:r>
    </w:p>
    <w:p>
      <w:pPr>
        <w:pStyle w:val="Heading2"/>
        <w:spacing w:after="120" w:before="260"/>
      </w:pPr>
      <w:r>
        <w:rPr>
          <w:rFonts w:ascii="Arial" w:cs="Arial" w:eastAsia="Arial" w:hAnsi="Arial"/>
          <w:b/>
          <w:bCs/>
          <w:color w:val="0A2A5E"/>
          <w:sz w:val="24"/>
          <w:szCs w:val="24"/>
        </w:rPr>
        <w:t xml:space="preserve">6.5 Translation Workflow</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66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Status</w:t>
            </w:r>
          </w:p>
        </w:tc>
        <w:tc>
          <w:tcPr>
            <w:tcW w:type="dxa" w:w="6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Meaning and behaviour</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missing</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translation record exists for this locale; appears in the gap view; blocks release acceptance</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draft</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Translation exists but is not published; the live site continues to serve the previous published version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published</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Live in that locale</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stale</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English source changed after this translation was published; flagged for review but remains live</w:t>
            </w:r>
          </w:p>
        </w:tc>
      </w:tr>
    </w:tbl>
    <w:p>
      <w:pPr>
        <w:spacing w:after="120" w:before="60" w:line="276"/>
        <w:jc w:val="left"/>
      </w:pPr>
      <w:r>
        <w:rPr>
          <w:rFonts w:ascii="Arial" w:cs="Arial" w:eastAsia="Arial" w:hAnsi="Arial"/>
          <w:b w:val="false"/>
          <w:bCs w:val="false"/>
          <w:i/>
          <w:iCs/>
          <w:color w:val="2C2F36"/>
          <w:sz w:val="20"/>
          <w:szCs w:val="20"/>
        </w:rPr>
        <w:t xml:space="preserve">The stale status addresses a failure mode that damages multilingual sites quietly: the source language is updated, the other editions are forgotten, and the site drifts into inconsistency without anyone noticing.</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7. Data Model</w:t>
      </w:r>
    </w:p>
    <w:p>
      <w:pPr>
        <w:pStyle w:val="Heading2"/>
        <w:spacing w:after="120" w:before="260"/>
      </w:pPr>
      <w:r>
        <w:rPr>
          <w:rFonts w:ascii="Arial" w:cs="Arial" w:eastAsia="Arial" w:hAnsi="Arial"/>
          <w:b/>
          <w:bCs/>
          <w:color w:val="0A2A5E"/>
          <w:sz w:val="24"/>
          <w:szCs w:val="24"/>
        </w:rPr>
        <w:t xml:space="preserve">7.1 Content Tables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3000"/>
        <w:gridCol w:w="3800"/>
      </w:tblGrid>
      <w:tr>
        <w:trPr>
          <w:tblHeader/>
        </w:trPr>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Table</w:t>
            </w:r>
          </w:p>
        </w:tc>
        <w:tc>
          <w:tcPr>
            <w:tcW w:type="dxa" w:w="3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Key columns</w:t>
            </w:r>
          </w:p>
        </w:tc>
        <w:tc>
          <w:tcPr>
            <w:tcW w:type="dxa" w:w="3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Notes</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sections</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key, display_order, type, enabled</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Seeded at deployment; not administrator-creatable</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blocks</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section_id, key, type, display_order</w:t>
            </w:r>
          </w:p>
        </w:tc>
        <w:tc>
          <w:tcPr>
            <w:tcW w:type="dxa" w:w="3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Unique on (section_id, key)</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block_translations</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block_id, locale, content_json, content_text, status, version, updated_at, updated_by</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Unique on (block_id, locale, version); indexed on (locale, status)</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faq_entries</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display_order, enabled</w:t>
            </w:r>
          </w:p>
        </w:tc>
        <w:tc>
          <w:tcPr>
            <w:tcW w:type="dxa" w:w="3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Order is administrator-controlled</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faq_translations</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faq_entry_id, locale, question, answer_json, answer_text, status</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Unique on (faq_entry_id, locale)</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media_assets</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storage_key, mime_type, width, height, uploaded_by</w:t>
            </w:r>
          </w:p>
        </w:tc>
        <w:tc>
          <w:tcPr>
            <w:tcW w:type="dxa" w:w="3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Alternative text is held per locale in block_translations</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site_settings</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key, locale, value</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Contact details, social links, response time commitment</w:t>
            </w:r>
          </w:p>
        </w:tc>
      </w:tr>
    </w:tbl>
    <w:p>
      <w:pPr>
        <w:pStyle w:val="Heading2"/>
        <w:spacing w:after="120" w:before="260"/>
      </w:pPr>
      <w:r>
        <w:rPr>
          <w:rFonts w:ascii="Arial" w:cs="Arial" w:eastAsia="Arial" w:hAnsi="Arial"/>
          <w:b/>
          <w:bCs/>
          <w:color w:val="0A2A5E"/>
          <w:sz w:val="24"/>
          <w:szCs w:val="24"/>
        </w:rPr>
        <w:t xml:space="preserve">7.2 Lead Tables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3000"/>
        <w:gridCol w:w="3800"/>
      </w:tblGrid>
      <w:tr>
        <w:trPr>
          <w:tblHeader/>
        </w:trPr>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Table</w:t>
            </w:r>
          </w:p>
        </w:tc>
        <w:tc>
          <w:tcPr>
            <w:tcW w:type="dxa" w:w="3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Key columns</w:t>
            </w:r>
          </w:p>
        </w:tc>
        <w:tc>
          <w:tcPr>
            <w:tcW w:type="dxa" w:w="3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Notes</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leads</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created_at, name, phone, email, submission_locale, source_section, referrer, status</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Indexed on created_at and status</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lead_services</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lead_id, service_key</w:t>
            </w:r>
          </w:p>
        </w:tc>
        <w:tc>
          <w:tcPr>
            <w:tcW w:type="dxa" w:w="3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Many-to-many; one row per selected service</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lead_qualification</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lead_id, country_of_residence, preferred_language, income_source, timeline, party_size, completed_at</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Nullable throughout; a missing row means Step 2 was not completed</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lead_consents</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lead_id, consent_text_version, granted_at, ip_hash</w:t>
            </w:r>
          </w:p>
        </w:tc>
        <w:tc>
          <w:tcPr>
            <w:tcW w:type="dxa" w:w="3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Immutable; never updated or deleted independently of the lead</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lead_notifications</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lead_id, type, status, attempts, last_error, sent_at</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Supports FR-06.13 retry and alerting</w:t>
            </w:r>
          </w:p>
        </w:tc>
      </w:tr>
    </w:tbl>
    <w:p>
      <w:pPr>
        <w:pStyle w:val="Heading2"/>
        <w:spacing w:after="120" w:before="260"/>
      </w:pPr>
      <w:r>
        <w:rPr>
          <w:rFonts w:ascii="Arial" w:cs="Arial" w:eastAsia="Arial" w:hAnsi="Arial"/>
          <w:b/>
          <w:bCs/>
          <w:color w:val="0A2A5E"/>
          <w:sz w:val="24"/>
          <w:szCs w:val="24"/>
        </w:rPr>
        <w:t xml:space="preserve">7.3 Identity and Audit Tables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3000"/>
        <w:gridCol w:w="3800"/>
      </w:tblGrid>
      <w:tr>
        <w:trPr>
          <w:tblHeader/>
        </w:trPr>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Table</w:t>
            </w:r>
          </w:p>
        </w:tc>
        <w:tc>
          <w:tcPr>
            <w:tcW w:type="dxa" w:w="3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Key columns</w:t>
            </w:r>
          </w:p>
        </w:tc>
        <w:tc>
          <w:tcPr>
            <w:tcW w:type="dxa" w:w="3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Notes</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admin_users</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email, password_hash, role, totp_secret, active</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Password hashed with a memory-hard algorithm</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admin_sessions</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user_id, expires_at, idle_expires_at, ip_hash</w:t>
            </w:r>
          </w:p>
        </w:tc>
        <w:tc>
          <w:tcPr>
            <w:tcW w:type="dxa" w:w="3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Server-side; revocable</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audit_log</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 user_id, action, entity_type, entity_id, locale, occurred_at, detail_json</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Append-only; covers content changes and lead access</w:t>
            </w:r>
          </w:p>
        </w:tc>
      </w:tr>
    </w:tbl>
    <w:p>
      <w:pPr>
        <w:pStyle w:val="Heading2"/>
        <w:spacing w:after="120" w:before="260"/>
      </w:pPr>
      <w:r>
        <w:rPr>
          <w:rFonts w:ascii="Arial" w:cs="Arial" w:eastAsia="Arial" w:hAnsi="Arial"/>
          <w:b/>
          <w:bCs/>
          <w:color w:val="0A2A5E"/>
          <w:sz w:val="24"/>
          <w:szCs w:val="24"/>
        </w:rPr>
        <w:t xml:space="preserve">7.4 Data Classification</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2400"/>
        <w:gridCol w:w="42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Data</w:t>
            </w:r>
          </w:p>
        </w:tc>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Classification</w:t>
            </w:r>
          </w:p>
        </w:tc>
        <w:tc>
          <w:tcPr>
            <w:tcW w:type="dxa" w:w="4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Handling</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contact details</w:t>
            </w:r>
          </w:p>
        </w:tc>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Personal data</w:t>
            </w:r>
          </w:p>
        </w:tc>
        <w:tc>
          <w:tcPr>
            <w:tcW w:type="dxa" w:w="4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Encrypted at rest; access restricted by role; retention policy applied</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Income source</w:t>
            </w:r>
          </w:p>
        </w:tc>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Personal financial data</w:t>
            </w:r>
          </w:p>
        </w:tc>
        <w:tc>
          <w:tcPr>
            <w:tcW w:type="dxa" w:w="4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Optional field; same protections; explicitly justified to the data subject at collection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records</w:t>
            </w:r>
          </w:p>
        </w:tc>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Compliance evidence</w:t>
            </w:r>
          </w:p>
        </w:tc>
        <w:tc>
          <w:tcPr>
            <w:tcW w:type="dxa" w:w="4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Immutable; retained for the statutory period independent of lead status</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IP addresses</w:t>
            </w:r>
          </w:p>
        </w:tc>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Personal data</w:t>
            </w:r>
          </w:p>
        </w:tc>
        <w:tc>
          <w:tcPr>
            <w:tcW w:type="dxa" w:w="4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Stored as a salted hash only, never in raw form</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Published content</w:t>
            </w:r>
          </w:p>
        </w:tc>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Public</w:t>
            </w:r>
          </w:p>
        </w:tc>
        <w:tc>
          <w:tcPr>
            <w:tcW w:type="dxa" w:w="4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restriction</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Administrator credentials</w:t>
            </w:r>
          </w:p>
        </w:tc>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Secret</w:t>
            </w:r>
          </w:p>
        </w:tc>
        <w:tc>
          <w:tcPr>
            <w:tcW w:type="dxa" w:w="4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Hashed; never logged; never included in exports</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8. API Design</w:t>
      </w:r>
    </w:p>
    <w:p>
      <w:pPr>
        <w:pStyle w:val="Heading2"/>
        <w:spacing w:after="120" w:before="260"/>
      </w:pPr>
      <w:r>
        <w:rPr>
          <w:rFonts w:ascii="Arial" w:cs="Arial" w:eastAsia="Arial" w:hAnsi="Arial"/>
          <w:b/>
          <w:bCs/>
          <w:color w:val="0A2A5E"/>
          <w:sz w:val="24"/>
          <w:szCs w:val="24"/>
        </w:rPr>
        <w:t xml:space="preserve">8.1 Public Endpoints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800"/>
        <w:gridCol w:w="1400"/>
        <w:gridCol w:w="4800"/>
      </w:tblGrid>
      <w:tr>
        <w:trPr>
          <w:tblHeader/>
        </w:trPr>
        <w:tc>
          <w:tcPr>
            <w:tcW w:type="dxa" w:w="2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Endpoint</w:t>
            </w:r>
          </w:p>
        </w:tc>
        <w:tc>
          <w:tcPr>
            <w:tcW w:type="dxa" w:w="1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Method</w:t>
            </w:r>
          </w:p>
        </w:tc>
        <w:tc>
          <w:tcPr>
            <w:tcW w:type="dxa" w:w="4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Behaviour</w:t>
            </w:r>
          </w:p>
        </w:tc>
      </w:tr>
      <w:tr>
        <w:tc>
          <w:tcPr>
            <w:tcW w:type="dxa" w:w="2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/api/leads</w:t>
            </w:r>
          </w:p>
        </w:tc>
        <w:tc>
          <w:tcPr>
            <w:tcW w:type="dxa" w:w="1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POST</w:t>
            </w:r>
          </w:p>
        </w:tc>
        <w:tc>
          <w:tcPr>
            <w:tcW w:type="dxa" w:w="4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1 submission; validates, persists, dispatches notifications, returns a reference identifier</w:t>
            </w:r>
          </w:p>
        </w:tc>
      </w:tr>
      <w:tr>
        <w:tc>
          <w:tcPr>
            <w:tcW w:type="dxa" w:w="2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/api/leads/:ref/qualify</w:t>
            </w:r>
          </w:p>
        </w:tc>
        <w:tc>
          <w:tcPr>
            <w:tcW w:type="dxa" w:w="1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POST</w:t>
            </w:r>
          </w:p>
        </w:tc>
        <w:tc>
          <w:tcPr>
            <w:tcW w:type="dxa" w:w="4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2 enrichment; attaches qualification to an existing lead</w:t>
            </w:r>
          </w:p>
        </w:tc>
      </w:tr>
      <w:tr>
        <w:tc>
          <w:tcPr>
            <w:tcW w:type="dxa" w:w="2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/api/locale</w:t>
            </w:r>
          </w:p>
        </w:tc>
        <w:tc>
          <w:tcPr>
            <w:tcW w:type="dxa" w:w="1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POST</w:t>
            </w:r>
          </w:p>
        </w:tc>
        <w:tc>
          <w:tcPr>
            <w:tcW w:type="dxa" w:w="4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Persists a manual locale preference</w:t>
            </w:r>
          </w:p>
        </w:tc>
      </w:tr>
      <w:tr>
        <w:tc>
          <w:tcPr>
            <w:tcW w:type="dxa" w:w="2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/api/consent</w:t>
            </w:r>
          </w:p>
        </w:tc>
        <w:tc>
          <w:tcPr>
            <w:tcW w:type="dxa" w:w="1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POST</w:t>
            </w:r>
          </w:p>
        </w:tc>
        <w:tc>
          <w:tcPr>
            <w:tcW w:type="dxa" w:w="4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Records a cookie consent decision</w:t>
            </w:r>
          </w:p>
        </w:tc>
      </w:tr>
    </w:tbl>
    <w:p>
      <w:pPr>
        <w:spacing w:after="120" w:before="60" w:line="276"/>
        <w:jc w:val="left"/>
      </w:pPr>
      <w:r>
        <w:rPr>
          <w:rFonts w:ascii="Arial" w:cs="Arial" w:eastAsia="Arial" w:hAnsi="Arial"/>
          <w:b w:val="false"/>
          <w:bCs w:val="false"/>
          <w:i w:val="false"/>
          <w:iCs w:val="false"/>
          <w:color w:val="2C2F36"/>
          <w:sz w:val="20"/>
          <w:szCs w:val="20"/>
        </w:rPr>
        <w:t xml:space="preserve">Public endpoints are rate-limited by address and subject to an invisible spam heuristic. No public endpoint reads or enumerates existing lead data; the reference identifier returned by Step 1 is single-purpose, unguessable, and short-lived.</w:t>
      </w:r>
    </w:p>
    <w:p>
      <w:pPr>
        <w:pStyle w:val="Heading2"/>
        <w:spacing w:after="120" w:before="260"/>
      </w:pPr>
      <w:r>
        <w:rPr>
          <w:rFonts w:ascii="Arial" w:cs="Arial" w:eastAsia="Arial" w:hAnsi="Arial"/>
          <w:b/>
          <w:bCs/>
          <w:color w:val="0A2A5E"/>
          <w:sz w:val="24"/>
          <w:szCs w:val="24"/>
        </w:rPr>
        <w:t xml:space="preserve">8.2 Administrative Endpoints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800"/>
        <w:gridCol w:w="1400"/>
        <w:gridCol w:w="4800"/>
      </w:tblGrid>
      <w:tr>
        <w:trPr>
          <w:tblHeader/>
        </w:trPr>
        <w:tc>
          <w:tcPr>
            <w:tcW w:type="dxa" w:w="2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Endpoint</w:t>
            </w:r>
          </w:p>
        </w:tc>
        <w:tc>
          <w:tcPr>
            <w:tcW w:type="dxa" w:w="1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Method</w:t>
            </w:r>
          </w:p>
        </w:tc>
        <w:tc>
          <w:tcPr>
            <w:tcW w:type="dxa" w:w="4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Behaviour</w:t>
            </w:r>
          </w:p>
        </w:tc>
      </w:tr>
      <w:tr>
        <w:tc>
          <w:tcPr>
            <w:tcW w:type="dxa" w:w="2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/api/admin/sections</w:t>
            </w:r>
          </w:p>
        </w:tc>
        <w:tc>
          <w:tcPr>
            <w:tcW w:type="dxa" w:w="1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GET</w:t>
            </w:r>
          </w:p>
        </w:tc>
        <w:tc>
          <w:tcPr>
            <w:tcW w:type="dxa" w:w="4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 and block structure with translation status per locale</w:t>
            </w:r>
          </w:p>
        </w:tc>
      </w:tr>
      <w:tr>
        <w:tc>
          <w:tcPr>
            <w:tcW w:type="dxa" w:w="2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/api/admin/blocks/:id/:locale</w:t>
            </w:r>
          </w:p>
        </w:tc>
        <w:tc>
          <w:tcPr>
            <w:tcW w:type="dxa" w:w="1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GET / PUT</w:t>
            </w:r>
          </w:p>
        </w:tc>
        <w:tc>
          <w:tcPr>
            <w:tcW w:type="dxa" w:w="4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Read or save a draft translation; validated against the block type schema</w:t>
            </w:r>
          </w:p>
        </w:tc>
      </w:tr>
      <w:tr>
        <w:tc>
          <w:tcPr>
            <w:tcW w:type="dxa" w:w="2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/api/admin/blocks/:id/:locale/publish</w:t>
            </w:r>
          </w:p>
        </w:tc>
        <w:tc>
          <w:tcPr>
            <w:tcW w:type="dxa" w:w="1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POST</w:t>
            </w:r>
          </w:p>
        </w:tc>
        <w:tc>
          <w:tcPr>
            <w:tcW w:type="dxa" w:w="4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Promotes draft to published and triggers revalidation</w:t>
            </w:r>
          </w:p>
        </w:tc>
      </w:tr>
      <w:tr>
        <w:tc>
          <w:tcPr>
            <w:tcW w:type="dxa" w:w="2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/api/admin/faq</w:t>
            </w:r>
          </w:p>
        </w:tc>
        <w:tc>
          <w:tcPr>
            <w:tcW w:type="dxa" w:w="1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GET / POST / PUT / DELETE</w:t>
            </w:r>
          </w:p>
        </w:tc>
        <w:tc>
          <w:tcPr>
            <w:tcW w:type="dxa" w:w="4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FAQ entry management and ordering</w:t>
            </w:r>
          </w:p>
        </w:tc>
      </w:tr>
      <w:tr>
        <w:tc>
          <w:tcPr>
            <w:tcW w:type="dxa" w:w="2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/api/admin/translations/gaps</w:t>
            </w:r>
          </w:p>
        </w:tc>
        <w:tc>
          <w:tcPr>
            <w:tcW w:type="dxa" w:w="1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GET</w:t>
            </w:r>
          </w:p>
        </w:tc>
        <w:tc>
          <w:tcPr>
            <w:tcW w:type="dxa" w:w="4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Enumerates missing and stale translations by locale</w:t>
            </w:r>
          </w:p>
        </w:tc>
      </w:tr>
      <w:tr>
        <w:tc>
          <w:tcPr>
            <w:tcW w:type="dxa" w:w="2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/api/admin/leads</w:t>
            </w:r>
          </w:p>
        </w:tc>
        <w:tc>
          <w:tcPr>
            <w:tcW w:type="dxa" w:w="1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GET</w:t>
            </w:r>
          </w:p>
        </w:tc>
        <w:tc>
          <w:tcPr>
            <w:tcW w:type="dxa" w:w="4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Paginated, filterable lead list; access is audited</w:t>
            </w:r>
          </w:p>
        </w:tc>
      </w:tr>
      <w:tr>
        <w:tc>
          <w:tcPr>
            <w:tcW w:type="dxa" w:w="2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/api/admin/leads/export</w:t>
            </w:r>
          </w:p>
        </w:tc>
        <w:tc>
          <w:tcPr>
            <w:tcW w:type="dxa" w:w="1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POST</w:t>
            </w:r>
          </w:p>
        </w:tc>
        <w:tc>
          <w:tcPr>
            <w:tcW w:type="dxa" w:w="4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Generates a structured export; access is audited</w:t>
            </w:r>
          </w:p>
        </w:tc>
      </w:tr>
      <w:tr>
        <w:tc>
          <w:tcPr>
            <w:tcW w:type="dxa" w:w="2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/api/admin/media</w:t>
            </w:r>
          </w:p>
        </w:tc>
        <w:tc>
          <w:tcPr>
            <w:tcW w:type="dxa" w:w="1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POST / DELETE</w:t>
            </w:r>
          </w:p>
        </w:tc>
        <w:tc>
          <w:tcPr>
            <w:tcW w:type="dxa" w:w="4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Image upload and removal with type and size validation</w:t>
            </w:r>
          </w:p>
        </w:tc>
      </w:tr>
      <w:tr>
        <w:tc>
          <w:tcPr>
            <w:tcW w:type="dxa" w:w="2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/api/admin/settings</w:t>
            </w:r>
          </w:p>
        </w:tc>
        <w:tc>
          <w:tcPr>
            <w:tcW w:type="dxa" w:w="1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GET / PUT</w:t>
            </w:r>
          </w:p>
        </w:tc>
        <w:tc>
          <w:tcPr>
            <w:tcW w:type="dxa" w:w="4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Contact details, social links, response time commitment</w:t>
            </w:r>
          </w:p>
        </w:tc>
      </w:tr>
    </w:tbl>
    <w:p>
      <w:pPr>
        <w:pStyle w:val="Heading2"/>
        <w:spacing w:after="120" w:before="260"/>
      </w:pPr>
      <w:r>
        <w:rPr>
          <w:rFonts w:ascii="Arial" w:cs="Arial" w:eastAsia="Arial" w:hAnsi="Arial"/>
          <w:b/>
          <w:bCs/>
          <w:color w:val="0A2A5E"/>
          <w:sz w:val="24"/>
          <w:szCs w:val="24"/>
        </w:rPr>
        <w:t xml:space="preserve">8.3 Conventions</w:t>
      </w:r>
    </w:p>
    <w:p>
      <w:pPr>
        <w:pStyle w:val="ListParagraph"/>
        <w:numPr>
          <w:ilvl w:val="0"/>
          <w:numId w:val="2"/>
        </w:numPr>
        <w:spacing w:after="60" w:before="40" w:line="264"/>
      </w:pPr>
      <w:r>
        <w:rPr>
          <w:rFonts w:ascii="Arial" w:cs="Arial" w:eastAsia="Arial" w:hAnsi="Arial"/>
          <w:color w:val="2C2F36"/>
          <w:sz w:val="20"/>
          <w:szCs w:val="20"/>
        </w:rPr>
        <w:t xml:space="preserve">All request and response bodies are validated against a schema at the boundary; validated types flow inward.</w:t>
      </w:r>
    </w:p>
    <w:p>
      <w:pPr>
        <w:pStyle w:val="ListParagraph"/>
        <w:numPr>
          <w:ilvl w:val="0"/>
          <w:numId w:val="2"/>
        </w:numPr>
        <w:spacing w:after="60" w:before="40" w:line="264"/>
      </w:pPr>
      <w:r>
        <w:rPr>
          <w:rFonts w:ascii="Arial" w:cs="Arial" w:eastAsia="Arial" w:hAnsi="Arial"/>
          <w:color w:val="2C2F36"/>
          <w:sz w:val="20"/>
          <w:szCs w:val="20"/>
        </w:rPr>
        <w:t xml:space="preserve">Errors return a stable machine-readable code plus a message localised for the active locale.</w:t>
      </w:r>
    </w:p>
    <w:p>
      <w:pPr>
        <w:pStyle w:val="ListParagraph"/>
        <w:numPr>
          <w:ilvl w:val="0"/>
          <w:numId w:val="2"/>
        </w:numPr>
        <w:spacing w:after="60" w:before="40" w:line="264"/>
      </w:pPr>
      <w:r>
        <w:rPr>
          <w:rFonts w:ascii="Arial" w:cs="Arial" w:eastAsia="Arial" w:hAnsi="Arial"/>
          <w:color w:val="2C2F36"/>
          <w:sz w:val="20"/>
          <w:szCs w:val="20"/>
        </w:rPr>
        <w:t xml:space="preserve">Validation failures never discard submitted data; the client retains all entered values (FR-06.4).</w:t>
      </w:r>
    </w:p>
    <w:p>
      <w:pPr>
        <w:pStyle w:val="ListParagraph"/>
        <w:numPr>
          <w:ilvl w:val="0"/>
          <w:numId w:val="2"/>
        </w:numPr>
        <w:spacing w:after="60" w:before="40" w:line="264"/>
      </w:pPr>
      <w:r>
        <w:rPr>
          <w:rFonts w:ascii="Arial" w:cs="Arial" w:eastAsia="Arial" w:hAnsi="Arial"/>
          <w:color w:val="2C2F36"/>
          <w:sz w:val="20"/>
          <w:szCs w:val="20"/>
        </w:rPr>
        <w:t xml:space="preserve">Administrative endpoints require an authenticated session and an authorising role; failures are audited.</w:t>
      </w:r>
    </w:p>
    <w:p>
      <w:pPr>
        <w:pStyle w:val="ListParagraph"/>
        <w:numPr>
          <w:ilvl w:val="0"/>
          <w:numId w:val="2"/>
        </w:numPr>
        <w:spacing w:after="60" w:before="40" w:line="264"/>
      </w:pPr>
      <w:r>
        <w:rPr>
          <w:rFonts w:ascii="Arial" w:cs="Arial" w:eastAsia="Arial" w:hAnsi="Arial"/>
          <w:color w:val="2C2F36"/>
          <w:sz w:val="20"/>
          <w:szCs w:val="20"/>
        </w:rPr>
        <w:t xml:space="preserve">No endpoint returns data belonging to another module without passing through that module's interface.</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9. Localisation Architecture</w:t>
      </w:r>
    </w:p>
    <w:p>
      <w:pPr>
        <w:pStyle w:val="Heading2"/>
        <w:spacing w:after="120" w:before="260"/>
      </w:pPr>
      <w:r>
        <w:rPr>
          <w:rFonts w:ascii="Arial" w:cs="Arial" w:eastAsia="Arial" w:hAnsi="Arial"/>
          <w:b/>
          <w:bCs/>
          <w:color w:val="0A2A5E"/>
          <w:sz w:val="24"/>
          <w:szCs w:val="24"/>
        </w:rPr>
        <w:t xml:space="preserve">9.1 Routing</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6800"/>
      </w:tblGrid>
      <w:tr>
        <w:trPr>
          <w:tblHeader/>
        </w:trPr>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Path</w:t>
            </w:r>
          </w:p>
        </w:tc>
        <w:tc>
          <w:tcPr>
            <w:tcW w:type="dxa" w:w="6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Behaviour</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Resolves the locale and redirects to the appropriate path; never serves content directly</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/en, /uk, /ru, /es</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Pre-rendered editions; each is independently indexable and directly reachable</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/{locale}/privacy, /cookies, /legal</w:t>
            </w:r>
          </w:p>
        </w:tc>
        <w:tc>
          <w:tcPr>
            <w:tcW w:type="dxa" w:w="6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Localised compliance documents</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/{locale}/{future-subpaths}</w:t>
            </w:r>
          </w:p>
        </w:tc>
        <w:tc>
          <w:tcPr>
            <w:tcW w:type="dxa" w:w="6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Reserved; the route structure accommodates Phase 1.5 sub-pages and Phase 2 without restructuring</w:t>
            </w:r>
          </w:p>
        </w:tc>
      </w:tr>
    </w:tbl>
    <w:p>
      <w:pPr>
        <w:pStyle w:val="Heading2"/>
        <w:spacing w:after="120" w:before="260"/>
      </w:pPr>
      <w:r>
        <w:rPr>
          <w:rFonts w:ascii="Arial" w:cs="Arial" w:eastAsia="Arial" w:hAnsi="Arial"/>
          <w:b/>
          <w:bCs/>
          <w:color w:val="0A2A5E"/>
          <w:sz w:val="24"/>
          <w:szCs w:val="24"/>
        </w:rPr>
        <w:t xml:space="preserve">9.2 Resolution Logic</w:t>
      </w:r>
    </w:p>
    <w:p>
      <w:pPr>
        <w:spacing w:after="100" w:before="0"/>
      </w:pPr>
    </w:p>
    <w:p>
      <w:pPr>
        <w:spacing w:after="0" w:before="0" w:line="240"/>
      </w:pPr>
      <w:r>
        <w:rPr>
          <w:rFonts w:ascii="Courier New" w:cs="Courier New" w:eastAsia="Courier New" w:hAnsi="Courier New"/>
          <w:color w:val="0A2A5E"/>
          <w:sz w:val="15"/>
          <w:szCs w:val="15"/>
        </w:rPr>
        <w:t xml:space="preserve">  Request to /</w:t>
      </w:r>
    </w:p>
    <w:p>
      <w:pPr>
        <w:spacing w:after="0" w:before="0" w:line="240"/>
      </w:pPr>
      <w:r>
        <w:rPr>
          <w:rFonts w:ascii="Courier New" w:cs="Courier New" w:eastAsia="Courier New" w:hAnsi="Courier New"/>
          <w:color w:val="0A2A5E"/>
          <w:sz w:val="15"/>
          <w:szCs w:val="15"/>
        </w:rPr>
        <w:t xml:space="preserve">        |</w:t>
      </w:r>
    </w:p>
    <w:p>
      <w:pPr>
        <w:spacing w:after="0" w:before="0" w:line="240"/>
      </w:pPr>
      <w:r>
        <w:rPr>
          <w:rFonts w:ascii="Courier New" w:cs="Courier New" w:eastAsia="Courier New" w:hAnsi="Courier New"/>
          <w:color w:val="0A2A5E"/>
          <w:sz w:val="15"/>
          <w:szCs w:val="15"/>
        </w:rPr>
        <w:t xml:space="preserve">        v</w:t>
      </w:r>
    </w:p>
    <w:p>
      <w:pPr>
        <w:spacing w:after="0" w:before="0" w:line="240"/>
      </w:pPr>
      <w:r>
        <w:rPr>
          <w:rFonts w:ascii="Courier New" w:cs="Courier New" w:eastAsia="Courier New" w:hAnsi="Courier New"/>
          <w:color w:val="0A2A5E"/>
          <w:sz w:val="15"/>
          <w:szCs w:val="15"/>
        </w:rPr>
        <w:t xml:space="preserve">  Stored preference cookie present?  --yes--&gt; use it</w:t>
      </w:r>
    </w:p>
    <w:p>
      <w:pPr>
        <w:spacing w:after="0" w:before="0" w:line="240"/>
      </w:pPr>
      <w:r>
        <w:rPr>
          <w:rFonts w:ascii="Courier New" w:cs="Courier New" w:eastAsia="Courier New" w:hAnsi="Courier New"/>
          <w:color w:val="0A2A5E"/>
          <w:sz w:val="15"/>
          <w:szCs w:val="15"/>
        </w:rPr>
        <w:t xml:space="preserve">        | no</w:t>
      </w:r>
    </w:p>
    <w:p>
      <w:pPr>
        <w:spacing w:after="0" w:before="0" w:line="240"/>
      </w:pPr>
      <w:r>
        <w:rPr>
          <w:rFonts w:ascii="Courier New" w:cs="Courier New" w:eastAsia="Courier New" w:hAnsi="Courier New"/>
          <w:color w:val="0A2A5E"/>
          <w:sz w:val="15"/>
          <w:szCs w:val="15"/>
        </w:rPr>
        <w:t xml:space="preserve">        v</w:t>
      </w:r>
    </w:p>
    <w:p>
      <w:pPr>
        <w:spacing w:after="0" w:before="0" w:line="240"/>
      </w:pPr>
      <w:r>
        <w:rPr>
          <w:rFonts w:ascii="Courier New" w:cs="Courier New" w:eastAsia="Courier New" w:hAnsi="Courier New"/>
          <w:color w:val="0A2A5E"/>
          <w:sz w:val="15"/>
          <w:szCs w:val="15"/>
        </w:rPr>
        <w:t xml:space="preserve">  Request origin is Spain?           --yes--&gt; es</w:t>
      </w:r>
    </w:p>
    <w:p>
      <w:pPr>
        <w:spacing w:after="0" w:before="0" w:line="240"/>
      </w:pPr>
      <w:r>
        <w:rPr>
          <w:rFonts w:ascii="Courier New" w:cs="Courier New" w:eastAsia="Courier New" w:hAnsi="Courier New"/>
          <w:color w:val="0A2A5E"/>
          <w:sz w:val="15"/>
          <w:szCs w:val="15"/>
        </w:rPr>
        <w:t xml:space="preserve">        | no</w:t>
      </w:r>
    </w:p>
    <w:p>
      <w:pPr>
        <w:spacing w:after="0" w:before="0" w:line="240"/>
      </w:pPr>
      <w:r>
        <w:rPr>
          <w:rFonts w:ascii="Courier New" w:cs="Courier New" w:eastAsia="Courier New" w:hAnsi="Courier New"/>
          <w:color w:val="0A2A5E"/>
          <w:sz w:val="15"/>
          <w:szCs w:val="15"/>
        </w:rPr>
        <w:t xml:space="preserve">        v</w:t>
      </w:r>
    </w:p>
    <w:p>
      <w:pPr>
        <w:spacing w:after="0" w:before="0" w:line="240"/>
      </w:pPr>
      <w:r>
        <w:rPr>
          <w:rFonts w:ascii="Courier New" w:cs="Courier New" w:eastAsia="Courier New" w:hAnsi="Courier New"/>
          <w:color w:val="0A2A5E"/>
          <w:sz w:val="15"/>
          <w:szCs w:val="15"/>
        </w:rPr>
        <w:t xml:space="preserve">  Browser language supported?        --yes--&gt; use it</w:t>
      </w:r>
    </w:p>
    <w:p>
      <w:pPr>
        <w:spacing w:after="0" w:before="0" w:line="240"/>
      </w:pPr>
      <w:r>
        <w:rPr>
          <w:rFonts w:ascii="Courier New" w:cs="Courier New" w:eastAsia="Courier New" w:hAnsi="Courier New"/>
          <w:color w:val="0A2A5E"/>
          <w:sz w:val="15"/>
          <w:szCs w:val="15"/>
        </w:rPr>
        <w:t xml:space="preserve">        | no</w:t>
      </w:r>
    </w:p>
    <w:p>
      <w:pPr>
        <w:spacing w:after="0" w:before="0" w:line="240"/>
      </w:pPr>
      <w:r>
        <w:rPr>
          <w:rFonts w:ascii="Courier New" w:cs="Courier New" w:eastAsia="Courier New" w:hAnsi="Courier New"/>
          <w:color w:val="0A2A5E"/>
          <w:sz w:val="15"/>
          <w:szCs w:val="15"/>
        </w:rPr>
        <w:t xml:space="preserve">        v</w:t>
      </w:r>
    </w:p>
    <w:p>
      <w:pPr>
        <w:spacing w:after="0" w:before="0" w:line="240"/>
      </w:pPr>
      <w:r>
        <w:rPr>
          <w:rFonts w:ascii="Courier New" w:cs="Courier New" w:eastAsia="Courier New" w:hAnsi="Courier New"/>
          <w:color w:val="0A2A5E"/>
          <w:sz w:val="15"/>
          <w:szCs w:val="15"/>
        </w:rPr>
        <w:t xml:space="preserve">  en  (fallback)</w:t>
      </w:r>
    </w:p>
    <w:p>
      <w:pPr>
        <w:spacing w:after="150" w:before="0"/>
      </w:pPr>
    </w:p>
    <w:p>
      <w:pPr>
        <w:spacing w:after="120" w:before="60" w:line="276"/>
        <w:jc w:val="left"/>
      </w:pPr>
      <w:r>
        <w:rPr>
          <w:rFonts w:ascii="Arial" w:cs="Arial" w:eastAsia="Arial" w:hAnsi="Arial"/>
          <w:b w:val="false"/>
          <w:bCs w:val="false"/>
          <w:i w:val="false"/>
          <w:iCs w:val="false"/>
          <w:color w:val="2C2F36"/>
          <w:sz w:val="20"/>
          <w:szCs w:val="20"/>
        </w:rPr>
        <w:t xml:space="preserve">Resolution runs at the edge so that redirection costs no round trip to the origin. Critically, resolution applies only to the root path — a direct request to a locale path is always honoured, so no visitor is ever prevented from reaching an edition (FR-02 constraint).</w:t>
      </w:r>
    </w:p>
    <w:p>
      <w:pPr>
        <w:pStyle w:val="Heading2"/>
        <w:spacing w:after="120" w:before="260"/>
      </w:pPr>
      <w:r>
        <w:rPr>
          <w:rFonts w:ascii="Arial" w:cs="Arial" w:eastAsia="Arial" w:hAnsi="Arial"/>
          <w:b/>
          <w:bCs/>
          <w:color w:val="0A2A5E"/>
          <w:sz w:val="24"/>
          <w:szCs w:val="24"/>
        </w:rPr>
        <w:t xml:space="preserve">9.3 SEO Artefacts</w:t>
      </w:r>
    </w:p>
    <w:p>
      <w:pPr>
        <w:pStyle w:val="ListParagraph"/>
        <w:numPr>
          <w:ilvl w:val="0"/>
          <w:numId w:val="2"/>
        </w:numPr>
        <w:spacing w:after="60" w:before="40" w:line="264"/>
      </w:pPr>
      <w:r>
        <w:rPr>
          <w:rFonts w:ascii="Arial" w:cs="Arial" w:eastAsia="Arial" w:hAnsi="Arial"/>
          <w:color w:val="2C2F36"/>
          <w:sz w:val="20"/>
          <w:szCs w:val="20"/>
        </w:rPr>
        <w:t xml:space="preserve">Reciprocal hreflang annotations are generated across all four editions with an x-default declaration (FR-10.4).</w:t>
      </w:r>
    </w:p>
    <w:p>
      <w:pPr>
        <w:pStyle w:val="ListParagraph"/>
        <w:numPr>
          <w:ilvl w:val="0"/>
          <w:numId w:val="2"/>
        </w:numPr>
        <w:spacing w:after="60" w:before="40" w:line="264"/>
      </w:pPr>
      <w:r>
        <w:rPr>
          <w:rFonts w:ascii="Arial" w:cs="Arial" w:eastAsia="Arial" w:hAnsi="Arial"/>
          <w:color w:val="2C2F36"/>
          <w:sz w:val="20"/>
          <w:szCs w:val="20"/>
        </w:rPr>
        <w:t xml:space="preserve">Each edition emits its own canonical URL, title, and description, sourced from per-locale settings rather than translated at render time (FR-10.1, FR-10.8).</w:t>
      </w:r>
    </w:p>
    <w:p>
      <w:pPr>
        <w:pStyle w:val="ListParagraph"/>
        <w:numPr>
          <w:ilvl w:val="0"/>
          <w:numId w:val="2"/>
        </w:numPr>
        <w:spacing w:after="60" w:before="40" w:line="264"/>
      </w:pPr>
      <w:r>
        <w:rPr>
          <w:rFonts w:ascii="Arial" w:cs="Arial" w:eastAsia="Arial" w:hAnsi="Arial"/>
          <w:color w:val="2C2F36"/>
          <w:sz w:val="20"/>
          <w:szCs w:val="20"/>
        </w:rPr>
        <w:t xml:space="preserve">Open Graph metadata is generated per edition, including a locale-appropriate preview image (FR-10.10).</w:t>
      </w:r>
    </w:p>
    <w:p>
      <w:pPr>
        <w:pStyle w:val="ListParagraph"/>
        <w:numPr>
          <w:ilvl w:val="0"/>
          <w:numId w:val="2"/>
        </w:numPr>
        <w:spacing w:after="60" w:before="40" w:line="264"/>
      </w:pPr>
      <w:r>
        <w:rPr>
          <w:rFonts w:ascii="Arial" w:cs="Arial" w:eastAsia="Arial" w:hAnsi="Arial"/>
          <w:color w:val="2C2F36"/>
          <w:sz w:val="20"/>
          <w:szCs w:val="20"/>
        </w:rPr>
        <w:t xml:space="preserve">FAQ and Organisation structured data are generated from the content model, so they cannot drift from the visible content (FR-05.3, FR-08.5).</w:t>
      </w:r>
    </w:p>
    <w:p>
      <w:pPr>
        <w:pStyle w:val="ListParagraph"/>
        <w:numPr>
          <w:ilvl w:val="0"/>
          <w:numId w:val="2"/>
        </w:numPr>
        <w:spacing w:after="60" w:before="40" w:line="264"/>
      </w:pPr>
      <w:r>
        <w:rPr>
          <w:rFonts w:ascii="Arial" w:cs="Arial" w:eastAsia="Arial" w:hAnsi="Arial"/>
          <w:color w:val="2C2F36"/>
          <w:sz w:val="20"/>
          <w:szCs w:val="20"/>
        </w:rPr>
        <w:t xml:space="preserve">The XML sitemap is generated at build time and enumerates all four editions (FR-10.5).</w:t>
      </w:r>
    </w:p>
    <w:p>
      <w:pPr>
        <w:pStyle w:val="Heading1"/>
        <w:pBdr>
          <w:bottom w:val="single" w:color="C9A227" w:sz="12" w:space="6"/>
        </w:pBdr>
        <w:spacing w:after="160" w:before="360"/>
      </w:pPr>
      <w:r>
        <w:rPr>
          <w:rFonts w:ascii="Arial" w:cs="Arial" w:eastAsia="Arial" w:hAnsi="Arial"/>
          <w:b/>
          <w:bCs/>
          <w:color w:val="0A2A5E"/>
          <w:sz w:val="30"/>
          <w:szCs w:val="30"/>
        </w:rPr>
        <w:t xml:space="preserve">10. Security Architecture</w:t>
      </w:r>
    </w:p>
    <w:p>
      <w:pPr>
        <w:pStyle w:val="Heading2"/>
        <w:spacing w:after="120" w:before="260"/>
      </w:pPr>
      <w:r>
        <w:rPr>
          <w:rFonts w:ascii="Arial" w:cs="Arial" w:eastAsia="Arial" w:hAnsi="Arial"/>
          <w:b/>
          <w:bCs/>
          <w:color w:val="0A2A5E"/>
          <w:sz w:val="24"/>
          <w:szCs w:val="24"/>
        </w:rPr>
        <w:t xml:space="preserve">10.1 Controls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66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Control</w:t>
            </w:r>
          </w:p>
        </w:tc>
        <w:tc>
          <w:tcPr>
            <w:tcW w:type="dxa" w:w="6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Implementation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Transport security</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HTTPS enforced on all paths with HSTS; automated certificate renewal (NFR-08)</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security policy</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Restrictive policy; no inline script execution; third-party origins allowed only after consent</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Input validation</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Schema validation at every boundary; structured content validated against its block type</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Injection defence</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Parameterised queries throughout; rich content stored structured, never as raw HTML</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Authentication</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Memory-hard password hashing; server-side sessions; optional second factor</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Session security</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Signed, HTTP-only, same-site cookies with absolute and idle expiry</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Authorisation</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Role checks at the API boundary, not in the interface layer</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Rate limiting</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Applied to all public write endpoints and to authentication attempts</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Spam mitigation</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Invisible heuristics: honeypot field, timing analysis, and an invisible challenge — no visual puzzle (FR-06.10)</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Secrets management</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Environment-injected; never committed; rotated on personnel change</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Encryption at rest</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Database-level encryption; encrypted backups (NFR-07)</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Upload safety</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Type and size validation; images re-encoded on upload; served from a separate origin path</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Audit</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changes and lead data access recorded in an append-only log</w:t>
            </w:r>
          </w:p>
        </w:tc>
      </w:tr>
    </w:tbl>
    <w:p>
      <w:pPr>
        <w:pStyle w:val="Heading2"/>
        <w:spacing w:after="120" w:before="260"/>
      </w:pPr>
      <w:r>
        <w:rPr>
          <w:rFonts w:ascii="Arial" w:cs="Arial" w:eastAsia="Arial" w:hAnsi="Arial"/>
          <w:b/>
          <w:bCs/>
          <w:color w:val="0A2A5E"/>
          <w:sz w:val="24"/>
          <w:szCs w:val="24"/>
        </w:rPr>
        <w:t xml:space="preserve">10.2 Compliance Architecture</w:t>
      </w:r>
    </w:p>
    <w:p>
      <w:pPr>
        <w:spacing w:after="120" w:before="60" w:line="276"/>
        <w:jc w:val="left"/>
      </w:pPr>
      <w:r>
        <w:rPr>
          <w:rFonts w:ascii="Arial" w:cs="Arial" w:eastAsia="Arial" w:hAnsi="Arial"/>
          <w:b w:val="false"/>
          <w:bCs w:val="false"/>
          <w:i w:val="false"/>
          <w:iCs w:val="false"/>
          <w:color w:val="2C2F36"/>
          <w:sz w:val="20"/>
          <w:szCs w:val="20"/>
        </w:rPr>
        <w:t xml:space="preserve">Compliance is enforced structurally rather than by convention, because a control that depends on a developer remembering it will eventually fail.</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66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6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Structural enforcement</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before tracking (FR-12.2)</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third-party scripts load exclusively through a consent-gated loader; no script tag is placed directly in the document</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evidence (FR-12.7)</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lead record cannot be written without an accompanying consent row; enforced by a foreign key and a not-null constraint</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Granular consent (FR-12.1)</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categories stored independently; withdrawal removes the corresponding scripts on the next load</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Retention (FR-12.8)</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scheduled job applies the configured retention period; erasure is a supported operation, not a manual database edit</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Data residency (AD-07)</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persistent storage, backups, and log retention are located within the European Economic Area</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IP minimisation</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Addresses are hashed with a rotating salt at the point of capture and are never persisted in raw form</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11. Performance and Caching</w:t>
      </w:r>
    </w:p>
    <w:p>
      <w:pPr>
        <w:pStyle w:val="Heading2"/>
        <w:spacing w:after="120" w:before="260"/>
      </w:pPr>
      <w:r>
        <w:rPr>
          <w:rFonts w:ascii="Arial" w:cs="Arial" w:eastAsia="Arial" w:hAnsi="Arial"/>
          <w:b/>
          <w:bCs/>
          <w:color w:val="0A2A5E"/>
          <w:sz w:val="24"/>
          <w:szCs w:val="24"/>
        </w:rPr>
        <w:t xml:space="preserve">11.1 Strategy</w:t>
      </w:r>
    </w:p>
    <w:p>
      <w:pPr>
        <w:spacing w:after="120" w:before="60" w:line="276"/>
        <w:jc w:val="left"/>
      </w:pPr>
      <w:r>
        <w:rPr>
          <w:rFonts w:ascii="Arial" w:cs="Arial" w:eastAsia="Arial" w:hAnsi="Arial"/>
          <w:b w:val="false"/>
          <w:bCs w:val="false"/>
          <w:i w:val="false"/>
          <w:iCs w:val="false"/>
          <w:color w:val="2C2F36"/>
          <w:sz w:val="20"/>
          <w:szCs w:val="20"/>
        </w:rPr>
        <w:t xml:space="preserve">The performance target — PageSpeed 85 or above on mobile in four languages (NFR-01) — is met primarily by not doing work at request time. All four editions are generated ahead of time and served from the edge as static documents. Content publication triggers targeted regeneration of the affected locale rather than a full rebuild.</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66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Technique</w:t>
            </w:r>
          </w:p>
        </w:tc>
        <w:tc>
          <w:tcPr>
            <w:tcW w:type="dxa" w:w="6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Application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Static generation</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four locale pages pre-rendered; regenerated on publication</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Edge caching</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Pages and assets served from the CDN; origin contacted only for form submission and admin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Image pipeline</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Modern formats, responsive sizes, explicit dimensions, lazy loading below the fold</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Hero image priority</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hero image is preloaded and prioritised to protect Largest Contentful Paint (FR-03.8)</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Font strategy</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Self-hosted, subset to Latin and Cyrillic, preloaded, with a metric-compatible fallback</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JavaScript budget</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Interactive components hydrate selectively; static sections ship no client JavaScript</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Third-party deferral</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Analytics and consent scripts load after first paint and only after consent</w:t>
            </w:r>
          </w:p>
        </w:tc>
      </w:tr>
    </w:tbl>
    <w:p>
      <w:pPr>
        <w:pStyle w:val="Heading2"/>
        <w:spacing w:after="120" w:before="260"/>
      </w:pPr>
      <w:r>
        <w:rPr>
          <w:rFonts w:ascii="Arial" w:cs="Arial" w:eastAsia="Arial" w:hAnsi="Arial"/>
          <w:b/>
          <w:bCs/>
          <w:color w:val="0A2A5E"/>
          <w:sz w:val="24"/>
          <w:szCs w:val="24"/>
        </w:rPr>
        <w:t xml:space="preserve">11.2 Why No Redis in Release 1.0</w:t>
      </w:r>
    </w:p>
    <w:p>
      <w:pPr>
        <w:spacing w:after="120" w:before="60" w:line="276"/>
        <w:jc w:val="left"/>
      </w:pPr>
      <w:r>
        <w:rPr>
          <w:rFonts w:ascii="Arial" w:cs="Arial" w:eastAsia="Arial" w:hAnsi="Arial"/>
          <w:b w:val="false"/>
          <w:bCs w:val="false"/>
          <w:i w:val="false"/>
          <w:iCs w:val="false"/>
          <w:color w:val="2C2F36"/>
          <w:sz w:val="20"/>
          <w:szCs w:val="20"/>
        </w:rPr>
        <w:t xml:space="preserve">A distributed cache accelerates repeated computation of dynamic results. Release 1.0 computes nothing at request time on the public path — the pages are static files at the edge. Introducing a cache would add an operational component with no measurable benefit. Redis becomes justified when Phase 2 introduces listing search, filtering, and session-scoped state; the caching interface is left as an explicit seam so that its introduction is additive.</w:t>
      </w:r>
    </w:p>
    <w:p>
      <w:pPr>
        <w:pStyle w:val="Heading1"/>
        <w:pBdr>
          <w:bottom w:val="single" w:color="C9A227" w:sz="12" w:space="6"/>
        </w:pBdr>
        <w:spacing w:after="160" w:before="360"/>
      </w:pPr>
      <w:r>
        <w:rPr>
          <w:rFonts w:ascii="Arial" w:cs="Arial" w:eastAsia="Arial" w:hAnsi="Arial"/>
          <w:b/>
          <w:bCs/>
          <w:color w:val="0A2A5E"/>
          <w:sz w:val="30"/>
          <w:szCs w:val="30"/>
        </w:rPr>
        <w:t xml:space="preserve">12. Deployment and Operations</w:t>
      </w:r>
    </w:p>
    <w:p>
      <w:pPr>
        <w:pStyle w:val="Heading2"/>
        <w:spacing w:after="120" w:before="260"/>
      </w:pPr>
      <w:r>
        <w:rPr>
          <w:rFonts w:ascii="Arial" w:cs="Arial" w:eastAsia="Arial" w:hAnsi="Arial"/>
          <w:b/>
          <w:bCs/>
          <w:color w:val="0A2A5E"/>
          <w:sz w:val="24"/>
          <w:szCs w:val="24"/>
        </w:rPr>
        <w:t xml:space="preserve">12.1 Environments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800"/>
        <w:gridCol w:w="3200"/>
        <w:gridCol w:w="4000"/>
      </w:tblGrid>
      <w:tr>
        <w:trPr>
          <w:tblHeader/>
        </w:trPr>
        <w:tc>
          <w:tcPr>
            <w:tcW w:type="dxa" w:w="1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Environment</w:t>
            </w:r>
          </w:p>
        </w:tc>
        <w:tc>
          <w:tcPr>
            <w:tcW w:type="dxa" w:w="3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Purpose</w:t>
            </w:r>
          </w:p>
        </w:tc>
        <w:tc>
          <w:tcPr>
            <w:tcW w:type="dxa" w:w="4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Data</w:t>
            </w:r>
          </w:p>
        </w:tc>
      </w:tr>
      <w:tr>
        <w:tc>
          <w:tcPr>
            <w:tcW w:type="dxa" w:w="1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Local</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Development</w:t>
            </w:r>
          </w:p>
        </w:tc>
        <w:tc>
          <w:tcPr>
            <w:tcW w:type="dxa" w:w="4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Seeded synthetic content; no real lead data</w:t>
            </w:r>
          </w:p>
        </w:tc>
      </w:tr>
      <w:tr>
        <w:tc>
          <w:tcPr>
            <w:tcW w:type="dxa" w:w="1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Staging</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Client review and language acceptance testing</w:t>
            </w:r>
          </w:p>
        </w:tc>
        <w:tc>
          <w:tcPr>
            <w:tcW w:type="dxa" w:w="4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Production-like content; synthetic leads only</w:t>
            </w:r>
          </w:p>
        </w:tc>
      </w:tr>
      <w:tr>
        <w:tc>
          <w:tcPr>
            <w:tcW w:type="dxa" w:w="1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Production</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Live site</w:t>
            </w:r>
          </w:p>
        </w:tc>
        <w:tc>
          <w:tcPr>
            <w:tcW w:type="dxa" w:w="4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Real content and lead data; EU-resident storage</w:t>
            </w:r>
          </w:p>
        </w:tc>
      </w:tr>
    </w:tbl>
    <w:p>
      <w:pPr>
        <w:pStyle w:val="Heading2"/>
        <w:spacing w:after="120" w:before="260"/>
      </w:pPr>
      <w:r>
        <w:rPr>
          <w:rFonts w:ascii="Arial" w:cs="Arial" w:eastAsia="Arial" w:hAnsi="Arial"/>
          <w:b/>
          <w:bCs/>
          <w:color w:val="0A2A5E"/>
          <w:sz w:val="24"/>
          <w:szCs w:val="24"/>
        </w:rPr>
        <w:t xml:space="preserve">12.2 Infrastructure</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66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Component</w:t>
            </w:r>
          </w:p>
        </w:tc>
        <w:tc>
          <w:tcPr>
            <w:tcW w:type="dxa" w:w="6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Specification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Application hosting</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EU region; containerised deployment; horizontal scaling available but not required at launch</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Database</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Managed PostgreSQL in an EU region with automated daily backup and point-in-time recovery</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Object storage</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EU region for uploaded media, served through the CDN</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CDN</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Global edge delivery with EU origin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Email</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Transactional provider with EU processing and a documented processing agreement</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Domain and TLS</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Automated certificate issuance and renewal</w:t>
            </w:r>
          </w:p>
        </w:tc>
      </w:tr>
    </w:tbl>
    <w:p>
      <w:pPr>
        <w:spacing w:after="120" w:before="60" w:line="276"/>
        <w:jc w:val="left"/>
      </w:pPr>
      <w:r>
        <w:rPr>
          <w:rFonts w:ascii="Arial" w:cs="Arial" w:eastAsia="Arial" w:hAnsi="Arial"/>
          <w:b w:val="false"/>
          <w:bCs w:val="false"/>
          <w:i/>
          <w:iCs/>
          <w:color w:val="2C2F36"/>
          <w:sz w:val="20"/>
          <w:szCs w:val="20"/>
        </w:rPr>
        <w:t xml:space="preserve">EU residency is an architectural constraint, not a preference: SRH is a Spanish business processing personal data of EU residents, and any transfer outside the European Economic Area would require a documented transfer mechanism before launch (FR-12.9). Keeping all storage in-region removes that obligation entirely.</w:t>
      </w:r>
    </w:p>
    <w:p>
      <w:pPr>
        <w:pStyle w:val="Heading2"/>
        <w:spacing w:after="120" w:before="260"/>
      </w:pPr>
      <w:r>
        <w:rPr>
          <w:rFonts w:ascii="Arial" w:cs="Arial" w:eastAsia="Arial" w:hAnsi="Arial"/>
          <w:b/>
          <w:bCs/>
          <w:color w:val="0A2A5E"/>
          <w:sz w:val="24"/>
          <w:szCs w:val="24"/>
        </w:rPr>
        <w:t xml:space="preserve">12.3 Delivery Pipeline</w:t>
      </w:r>
    </w:p>
    <w:p>
      <w:pPr>
        <w:pStyle w:val="ListParagraph"/>
        <w:numPr>
          <w:ilvl w:val="0"/>
          <w:numId w:val="2"/>
        </w:numPr>
        <w:spacing w:after="60" w:before="40" w:line="264"/>
      </w:pPr>
      <w:r>
        <w:rPr>
          <w:rFonts w:ascii="Arial" w:cs="Arial" w:eastAsia="Arial" w:hAnsi="Arial"/>
          <w:color w:val="2C2F36"/>
          <w:sz w:val="20"/>
          <w:szCs w:val="20"/>
        </w:rPr>
        <w:t xml:space="preserve">Every change passes type checking, linting, and automated tests before merge.</w:t>
      </w:r>
    </w:p>
    <w:p>
      <w:pPr>
        <w:pStyle w:val="ListParagraph"/>
        <w:numPr>
          <w:ilvl w:val="0"/>
          <w:numId w:val="2"/>
        </w:numPr>
        <w:spacing w:after="60" w:before="40" w:line="264"/>
      </w:pPr>
      <w:r>
        <w:rPr>
          <w:rFonts w:ascii="Arial" w:cs="Arial" w:eastAsia="Arial" w:hAnsi="Arial"/>
          <w:color w:val="2C2F36"/>
          <w:sz w:val="20"/>
          <w:szCs w:val="20"/>
        </w:rPr>
        <w:t xml:space="preserve">Database migrations are versioned, forward-only, and applied automatically on deployment.</w:t>
      </w:r>
    </w:p>
    <w:p>
      <w:pPr>
        <w:pStyle w:val="ListParagraph"/>
        <w:numPr>
          <w:ilvl w:val="0"/>
          <w:numId w:val="2"/>
        </w:numPr>
        <w:spacing w:after="60" w:before="40" w:line="264"/>
      </w:pPr>
      <w:r>
        <w:rPr>
          <w:rFonts w:ascii="Arial" w:cs="Arial" w:eastAsia="Arial" w:hAnsi="Arial"/>
          <w:color w:val="2C2F36"/>
          <w:sz w:val="20"/>
          <w:szCs w:val="20"/>
        </w:rPr>
        <w:t xml:space="preserve">Staging deployment is automatic on merge; production deployment is explicit.</w:t>
      </w:r>
    </w:p>
    <w:p>
      <w:pPr>
        <w:pStyle w:val="ListParagraph"/>
        <w:numPr>
          <w:ilvl w:val="0"/>
          <w:numId w:val="2"/>
        </w:numPr>
        <w:spacing w:after="60" w:before="40" w:line="264"/>
      </w:pPr>
      <w:r>
        <w:rPr>
          <w:rFonts w:ascii="Arial" w:cs="Arial" w:eastAsia="Arial" w:hAnsi="Arial"/>
          <w:color w:val="2C2F36"/>
          <w:sz w:val="20"/>
          <w:szCs w:val="20"/>
        </w:rPr>
        <w:t xml:space="preserve">Content publication does not require a deployment — it triggers regeneration only (FR-09.2, NFR-11).</w:t>
      </w:r>
    </w:p>
    <w:p>
      <w:pPr>
        <w:pStyle w:val="ListParagraph"/>
        <w:numPr>
          <w:ilvl w:val="0"/>
          <w:numId w:val="2"/>
        </w:numPr>
        <w:spacing w:after="60" w:before="40" w:line="264"/>
      </w:pPr>
      <w:r>
        <w:rPr>
          <w:rFonts w:ascii="Arial" w:cs="Arial" w:eastAsia="Arial" w:hAnsi="Arial"/>
          <w:color w:val="2C2F36"/>
          <w:sz w:val="20"/>
          <w:szCs w:val="20"/>
        </w:rPr>
        <w:t xml:space="preserve">Rollback is a redeployment of the previous build; content state is unaffected by application rollback.</w:t>
      </w:r>
    </w:p>
    <w:p>
      <w:pPr>
        <w:pStyle w:val="Heading2"/>
        <w:spacing w:after="120" w:before="260"/>
      </w:pPr>
      <w:r>
        <w:rPr>
          <w:rFonts w:ascii="Arial" w:cs="Arial" w:eastAsia="Arial" w:hAnsi="Arial"/>
          <w:b/>
          <w:bCs/>
          <w:color w:val="0A2A5E"/>
          <w:sz w:val="24"/>
          <w:szCs w:val="24"/>
        </w:rPr>
        <w:t xml:space="preserve">12.4 Observability and Continuity</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66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Concern</w:t>
            </w:r>
          </w:p>
        </w:tc>
        <w:tc>
          <w:tcPr>
            <w:tcW w:type="dxa" w:w="6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Approach</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Uptime monitoring</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External checks against all four locale paths, alerting on failure (NFR-03)</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Error tracking</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Server and client exceptions captured with context; personal data excluded from payloads</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pipeline alerting</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Notification delivery failure raises an immediate alert (FR-06.13)</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Performance monitoring</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Field metrics collected per locale to detect regression in any single edition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Backup</w:t>
            </w:r>
          </w:p>
        </w:tc>
        <w:tc>
          <w:tcPr>
            <w:tcW w:type="dxa" w:w="6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Automated daily database backup with point-in-time recovery; restore procedure tested before launch (NFR-09)</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Recovery objectives</w:t>
            </w:r>
          </w:p>
        </w:tc>
        <w:tc>
          <w:tcPr>
            <w:tcW w:type="dxa" w:w="6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Recovery point of twenty-four hours; recovery time of four hours for full service restoration</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13. Evolution Path</w:t>
      </w:r>
    </w:p>
    <w:p>
      <w:pPr>
        <w:spacing w:after="120" w:before="60" w:line="276"/>
        <w:jc w:val="left"/>
      </w:pPr>
      <w:r>
        <w:rPr>
          <w:rFonts w:ascii="Arial" w:cs="Arial" w:eastAsia="Arial" w:hAnsi="Arial"/>
          <w:b w:val="false"/>
          <w:bCs w:val="false"/>
          <w:i w:val="false"/>
          <w:iCs w:val="false"/>
          <w:color w:val="2C2F36"/>
          <w:sz w:val="20"/>
          <w:szCs w:val="20"/>
        </w:rPr>
        <w:t xml:space="preserve">Release 1.0 is deliberately smaller than the eventual system. This section records the intended direction and, more importantly, the specific decisions taken now that keep that direction reachable. No Phase 2 capability is designed here.</w:t>
      </w:r>
    </w:p>
    <w:p>
      <w:pPr>
        <w:pStyle w:val="Heading2"/>
        <w:spacing w:after="120" w:before="260"/>
      </w:pPr>
      <w:r>
        <w:rPr>
          <w:rFonts w:ascii="Arial" w:cs="Arial" w:eastAsia="Arial" w:hAnsi="Arial"/>
          <w:b/>
          <w:bCs/>
          <w:color w:val="0A2A5E"/>
          <w:sz w:val="24"/>
          <w:szCs w:val="24"/>
        </w:rPr>
        <w:t xml:space="preserve">13.1 Directional Target</w:t>
      </w:r>
    </w:p>
    <w:p>
      <w:pPr>
        <w:spacing w:after="120" w:before="60" w:line="276"/>
        <w:jc w:val="left"/>
      </w:pPr>
      <w:r>
        <w:rPr>
          <w:rFonts w:ascii="Arial" w:cs="Arial" w:eastAsia="Arial" w:hAnsi="Arial"/>
          <w:b w:val="false"/>
          <w:bCs w:val="false"/>
          <w:i w:val="false"/>
          <w:iCs w:val="false"/>
          <w:color w:val="2C2F36"/>
          <w:sz w:val="20"/>
          <w:szCs w:val="20"/>
        </w:rPr>
        <w:t xml:space="preserve">The client has indicated a longer-term intent to move toward a service-oriented architecture with Go for transactional and object-oriented domains, Python for language-model and data-processing workloads, React with TypeScript retained on the frontend, PostgreSQL as the system of record, and Redis for caching and ephemeral state. Release 1.0 does not implement this and should not; the relevant question is only whether it obstructs it.</w:t>
      </w:r>
    </w:p>
    <w:p>
      <w:pPr>
        <w:pStyle w:val="Heading2"/>
        <w:spacing w:after="120" w:before="260"/>
      </w:pPr>
      <w:r>
        <w:rPr>
          <w:rFonts w:ascii="Arial" w:cs="Arial" w:eastAsia="Arial" w:hAnsi="Arial"/>
          <w:b/>
          <w:bCs/>
          <w:color w:val="0A2A5E"/>
          <w:sz w:val="24"/>
          <w:szCs w:val="24"/>
        </w:rPr>
        <w:t xml:space="preserve">13.2 Decisions Taken Now That Preserve the Path</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6400"/>
      </w:tblGrid>
      <w:tr>
        <w:trPr>
          <w:tblHeader/>
        </w:trPr>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Decision in R1.0</w:t>
            </w:r>
          </w:p>
        </w:tc>
        <w:tc>
          <w:tcPr>
            <w:tcW w:type="dxa" w:w="6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What it preserves</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Modules own their tables exclusively</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module can be extracted into a separate service without untangling shared table access — the single most expensive obstacle to decomposition</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Explicit module interfaces</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 interface becomes a network contract; callers do not change when the implementation moves</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Domain logic free of framework coupling</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module can be reimplemented in Go or Python without redesigning its contract</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Structured content storage in PostgreSQL</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is queryable and extensible; a listings domain adds tables rather than replacing the content system</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Locale-prefixed route structure with reserved sub-paths</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Phase 1.5 sub-pages and Phase 2 listing pages slot into the existing structure</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Translation model keyed by locale and entity</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Dynamic records translate through the same mechanism as static content; a fifth locale is configuration</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Explicit caching seam</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Redis is introduced additively when dynamic query results exist to cache</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and audit infrastructure built in</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Compliance controls extend to new data types rather than being retrofitted</w:t>
            </w:r>
          </w:p>
        </w:tc>
      </w:tr>
    </w:tbl>
    <w:p>
      <w:pPr>
        <w:pStyle w:val="Heading2"/>
        <w:spacing w:after="120" w:before="260"/>
      </w:pPr>
      <w:r>
        <w:rPr>
          <w:rFonts w:ascii="Arial" w:cs="Arial" w:eastAsia="Arial" w:hAnsi="Arial"/>
          <w:b/>
          <w:bCs/>
          <w:color w:val="0A2A5E"/>
          <w:sz w:val="24"/>
          <w:szCs w:val="24"/>
        </w:rPr>
        <w:t xml:space="preserve">13.3 Likely Extraction Order</w:t>
      </w:r>
    </w:p>
    <w:p>
      <w:pPr>
        <w:spacing w:after="120" w:before="60" w:line="276"/>
        <w:jc w:val="left"/>
      </w:pPr>
      <w:r>
        <w:rPr>
          <w:rFonts w:ascii="Arial" w:cs="Arial" w:eastAsia="Arial" w:hAnsi="Arial"/>
          <w:b w:val="false"/>
          <w:bCs w:val="false"/>
          <w:i w:val="false"/>
          <w:iCs w:val="false"/>
          <w:color w:val="2C2F36"/>
          <w:sz w:val="20"/>
          <w:szCs w:val="20"/>
        </w:rPr>
        <w:t xml:space="preserve">Recorded for planning only; no commitment is made in this release.</w:t>
      </w:r>
    </w:p>
    <w:p>
      <w:pPr>
        <w:pStyle w:val="ListParagraph"/>
        <w:numPr>
          <w:ilvl w:val="0"/>
          <w:numId w:val="2"/>
        </w:numPr>
        <w:spacing w:after="60" w:before="40" w:line="264"/>
      </w:pPr>
      <w:r>
        <w:rPr>
          <w:rFonts w:ascii="Arial" w:cs="Arial" w:eastAsia="Arial" w:hAnsi="Arial"/>
          <w:color w:val="2C2F36"/>
          <w:sz w:val="20"/>
          <w:szCs w:val="20"/>
        </w:rPr>
        <w:t xml:space="preserve">Lead module first — it has the clearest boundary, the least coupling, and a natural fit for a Go service handling higher submission volume.</w:t>
      </w:r>
    </w:p>
    <w:p>
      <w:pPr>
        <w:pStyle w:val="ListParagraph"/>
        <w:numPr>
          <w:ilvl w:val="0"/>
          <w:numId w:val="2"/>
        </w:numPr>
        <w:spacing w:after="60" w:before="40" w:line="264"/>
      </w:pPr>
      <w:r>
        <w:rPr>
          <w:rFonts w:ascii="Arial" w:cs="Arial" w:eastAsia="Arial" w:hAnsi="Arial"/>
          <w:color w:val="2C2F36"/>
          <w:sz w:val="20"/>
          <w:szCs w:val="20"/>
        </w:rPr>
        <w:t xml:space="preserve">Content module second — it becomes a content service when it must serve dynamic listing records as well as static page content.</w:t>
      </w:r>
    </w:p>
    <w:p>
      <w:pPr>
        <w:pStyle w:val="ListParagraph"/>
        <w:numPr>
          <w:ilvl w:val="0"/>
          <w:numId w:val="2"/>
        </w:numPr>
        <w:spacing w:after="60" w:before="40" w:line="264"/>
      </w:pPr>
      <w:r>
        <w:rPr>
          <w:rFonts w:ascii="Arial" w:cs="Arial" w:eastAsia="Arial" w:hAnsi="Arial"/>
          <w:color w:val="2C2F36"/>
          <w:sz w:val="20"/>
          <w:szCs w:val="20"/>
        </w:rPr>
        <w:t xml:space="preserve">Search and listings as a new domain, not an extraction — it does not exist in Release 1.0 and would be built where it belongs.</w:t>
      </w:r>
    </w:p>
    <w:p>
      <w:pPr>
        <w:pStyle w:val="ListParagraph"/>
        <w:numPr>
          <w:ilvl w:val="0"/>
          <w:numId w:val="2"/>
        </w:numPr>
        <w:spacing w:after="60" w:before="40" w:line="264"/>
      </w:pPr>
      <w:r>
        <w:rPr>
          <w:rFonts w:ascii="Arial" w:cs="Arial" w:eastAsia="Arial" w:hAnsi="Arial"/>
          <w:color w:val="2C2F36"/>
          <w:sz w:val="20"/>
          <w:szCs w:val="20"/>
        </w:rPr>
        <w:t xml:space="preserve">Any language-model workload as a Python service — introduced at the point of need, not before.</w:t>
      </w:r>
    </w:p>
    <w:p>
      <w:pPr>
        <w:pStyle w:val="Heading2"/>
        <w:spacing w:after="120" w:before="260"/>
      </w:pPr>
      <w:r>
        <w:rPr>
          <w:rFonts w:ascii="Arial" w:cs="Arial" w:eastAsia="Arial" w:hAnsi="Arial"/>
          <w:b/>
          <w:bCs/>
          <w:color w:val="0A2A5E"/>
          <w:sz w:val="24"/>
          <w:szCs w:val="24"/>
        </w:rPr>
        <w:t xml:space="preserve">13.4 What Would Signal It Is Time</w:t>
      </w:r>
    </w:p>
    <w:p>
      <w:pPr>
        <w:pStyle w:val="ListParagraph"/>
        <w:numPr>
          <w:ilvl w:val="0"/>
          <w:numId w:val="2"/>
        </w:numPr>
        <w:spacing w:after="60" w:before="40" w:line="264"/>
      </w:pPr>
      <w:r>
        <w:rPr>
          <w:rFonts w:ascii="Arial" w:cs="Arial" w:eastAsia="Arial" w:hAnsi="Arial"/>
          <w:color w:val="2C2F36"/>
          <w:sz w:val="20"/>
          <w:szCs w:val="20"/>
        </w:rPr>
        <w:t xml:space="preserve">Property listings require query patterns that the current content model cannot serve efficiently.</w:t>
      </w:r>
    </w:p>
    <w:p>
      <w:pPr>
        <w:pStyle w:val="ListParagraph"/>
        <w:numPr>
          <w:ilvl w:val="0"/>
          <w:numId w:val="2"/>
        </w:numPr>
        <w:spacing w:after="60" w:before="40" w:line="264"/>
      </w:pPr>
      <w:r>
        <w:rPr>
          <w:rFonts w:ascii="Arial" w:cs="Arial" w:eastAsia="Arial" w:hAnsi="Arial"/>
          <w:color w:val="2C2F36"/>
          <w:sz w:val="20"/>
          <w:szCs w:val="20"/>
        </w:rPr>
        <w:t xml:space="preserve">Lead volume or processing complexity makes the submission path a distinct operational concern.</w:t>
      </w:r>
    </w:p>
    <w:p>
      <w:pPr>
        <w:pStyle w:val="ListParagraph"/>
        <w:numPr>
          <w:ilvl w:val="0"/>
          <w:numId w:val="2"/>
        </w:numPr>
        <w:spacing w:after="60" w:before="40" w:line="264"/>
      </w:pPr>
      <w:r>
        <w:rPr>
          <w:rFonts w:ascii="Arial" w:cs="Arial" w:eastAsia="Arial" w:hAnsi="Arial"/>
          <w:color w:val="2C2F36"/>
          <w:sz w:val="20"/>
          <w:szCs w:val="20"/>
        </w:rPr>
        <w:t xml:space="preserve">More than one team works on the codebase concurrently and deployment coordination becomes a bottleneck.</w:t>
      </w:r>
    </w:p>
    <w:p>
      <w:pPr>
        <w:pStyle w:val="ListParagraph"/>
        <w:numPr>
          <w:ilvl w:val="0"/>
          <w:numId w:val="2"/>
        </w:numPr>
        <w:spacing w:after="60" w:before="40" w:line="264"/>
      </w:pPr>
      <w:r>
        <w:rPr>
          <w:rFonts w:ascii="Arial" w:cs="Arial" w:eastAsia="Arial" w:hAnsi="Arial"/>
          <w:color w:val="2C2F36"/>
          <w:sz w:val="20"/>
          <w:szCs w:val="20"/>
        </w:rPr>
        <w:t xml:space="preserve">A workload appears that is genuinely better served by a different runtime, rather than merely preferred in one.</w:t>
      </w:r>
    </w:p>
    <w:p>
      <w:pPr>
        <w:spacing w:after="120" w:before="60" w:line="276"/>
        <w:jc w:val="left"/>
      </w:pPr>
      <w:r>
        <w:rPr>
          <w:rFonts w:ascii="Arial" w:cs="Arial" w:eastAsia="Arial" w:hAnsi="Arial"/>
          <w:b w:val="false"/>
          <w:bCs w:val="false"/>
          <w:i/>
          <w:iCs/>
          <w:color w:val="2C2F36"/>
          <w:sz w:val="20"/>
          <w:szCs w:val="20"/>
        </w:rPr>
        <w:t xml:space="preserve">Absent at least one of these signals, decomposition adds cost without return. The architecture is designed so that this decision can be deferred cheaply and taken quickly.</w:t>
      </w:r>
    </w:p>
    <w:p>
      <w:pPr>
        <w:pStyle w:val="Heading1"/>
        <w:pBdr>
          <w:bottom w:val="single" w:color="C9A227" w:sz="12" w:space="6"/>
        </w:pBdr>
        <w:spacing w:after="160" w:before="360"/>
      </w:pPr>
      <w:r>
        <w:rPr>
          <w:rFonts w:ascii="Arial" w:cs="Arial" w:eastAsia="Arial" w:hAnsi="Arial"/>
          <w:b/>
          <w:bCs/>
          <w:color w:val="0A2A5E"/>
          <w:sz w:val="30"/>
          <w:szCs w:val="30"/>
        </w:rPr>
        <w:t xml:space="preserve">14. Risks and Constraints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3000"/>
        <w:gridCol w:w="3400"/>
      </w:tblGrid>
      <w:tr>
        <w:trPr>
          <w:tblHeader/>
        </w:trPr>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Risk</w:t>
            </w:r>
          </w:p>
        </w:tc>
        <w:tc>
          <w:tcPr>
            <w:tcW w:type="dxa" w:w="3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Architectural impact</w:t>
            </w:r>
          </w:p>
        </w:tc>
        <w:tc>
          <w:tcPr>
            <w:tcW w:type="dxa" w:w="3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Mitigation</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developer implements the site as a client-rendered SPA</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invisible to link previews and inconsistently indexed; the primary distribution channel breaks silently</w:t>
            </w:r>
          </w:p>
        </w:tc>
        <w:tc>
          <w:tcPr>
            <w:tcW w:type="dxa" w:w="3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AD-01 is a hard constraint; verified by inspecting served markup with scripts disabled, as a release gate</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editor is implemented without schema constraints</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design degrades progressively as content is edited; no single change looks like the cause</w:t>
            </w:r>
          </w:p>
        </w:tc>
        <w:tc>
          <w:tcPr>
            <w:tcW w:type="dxa" w:w="3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Block type schema drives editor configuration; unconstrained controls cannot be exposed</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Module boundaries erode under delivery pressure</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monolith becomes non-decomposable; Phase 2 requires a rewrite</w:t>
            </w:r>
          </w:p>
        </w:tc>
        <w:tc>
          <w:tcPr>
            <w:tcW w:type="dxa" w:w="3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Boundary rules in section 5.1 enforced in code review; cross-module table access treated as a defect</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Third-party scripts added directly to the document</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gating bypassed; a live compliance violation</w:t>
            </w:r>
          </w:p>
        </w:tc>
        <w:tc>
          <w:tcPr>
            <w:tcW w:type="dxa" w:w="3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third-party loading routed through the consent-gated loader; direct script tags rejected in review</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Translations drift after source changes</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Editions silently diverge and credibility erodes in the affected segment</w:t>
            </w:r>
          </w:p>
        </w:tc>
        <w:tc>
          <w:tcPr>
            <w:tcW w:type="dxa" w:w="3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Stale status flags affected translations automatically on source publication</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notification failure goes unnoticed</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Leads are captured but never worked — the worst possible failure for this product</w:t>
            </w:r>
          </w:p>
        </w:tc>
        <w:tc>
          <w:tcPr>
            <w:tcW w:type="dxa" w:w="3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Delivery outcome persisted; failure raises an immediate alert; lead is never lost even when notification fails</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15. Architecture Acceptance</w:t>
      </w:r>
    </w:p>
    <w:p>
      <w:pPr>
        <w:spacing w:after="120" w:before="60" w:line="276"/>
        <w:jc w:val="left"/>
      </w:pPr>
      <w:r>
        <w:rPr>
          <w:rFonts w:ascii="Arial" w:cs="Arial" w:eastAsia="Arial" w:hAnsi="Arial"/>
          <w:b w:val="false"/>
          <w:bCs w:val="false"/>
          <w:i w:val="false"/>
          <w:iCs w:val="false"/>
          <w:color w:val="2C2F36"/>
          <w:sz w:val="20"/>
          <w:szCs w:val="20"/>
        </w:rPr>
        <w:t xml:space="preserve">The architecture is accepted for Release 1.0 when the following are demonstrated:</w:t>
      </w:r>
    </w:p>
    <w:p>
      <w:pPr>
        <w:pStyle w:val="ListParagraph"/>
        <w:numPr>
          <w:ilvl w:val="0"/>
          <w:numId w:val="2"/>
        </w:numPr>
        <w:spacing w:after="60" w:before="40" w:line="264"/>
      </w:pPr>
      <w:r>
        <w:rPr>
          <w:rFonts w:ascii="Arial" w:cs="Arial" w:eastAsia="Arial" w:hAnsi="Arial"/>
          <w:color w:val="2C2F36"/>
          <w:sz w:val="20"/>
          <w:szCs w:val="20"/>
        </w:rPr>
        <w:t xml:space="preserve">All four locale pages render complete content with JavaScript disabled.</w:t>
      </w:r>
    </w:p>
    <w:p>
      <w:pPr>
        <w:pStyle w:val="ListParagraph"/>
        <w:numPr>
          <w:ilvl w:val="0"/>
          <w:numId w:val="2"/>
        </w:numPr>
        <w:spacing w:after="60" w:before="40" w:line="264"/>
      </w:pPr>
      <w:r>
        <w:rPr>
          <w:rFonts w:ascii="Arial" w:cs="Arial" w:eastAsia="Arial" w:hAnsi="Arial"/>
          <w:color w:val="2C2F36"/>
          <w:sz w:val="20"/>
          <w:szCs w:val="20"/>
        </w:rPr>
        <w:t xml:space="preserve">A link to each edition generates a correct title, description, and image preview in a messaging application.</w:t>
      </w:r>
    </w:p>
    <w:p>
      <w:pPr>
        <w:pStyle w:val="ListParagraph"/>
        <w:numPr>
          <w:ilvl w:val="0"/>
          <w:numId w:val="2"/>
        </w:numPr>
        <w:spacing w:after="60" w:before="40" w:line="264"/>
      </w:pPr>
      <w:r>
        <w:rPr>
          <w:rFonts w:ascii="Arial" w:cs="Arial" w:eastAsia="Arial" w:hAnsi="Arial"/>
          <w:color w:val="2C2F36"/>
          <w:sz w:val="20"/>
          <w:szCs w:val="20"/>
        </w:rPr>
        <w:t xml:space="preserve">PageSpeed Insights returns 85 or above for all four editions on mobile and desktop.</w:t>
      </w:r>
    </w:p>
    <w:p>
      <w:pPr>
        <w:pStyle w:val="ListParagraph"/>
        <w:numPr>
          <w:ilvl w:val="0"/>
          <w:numId w:val="2"/>
        </w:numPr>
        <w:spacing w:after="60" w:before="40" w:line="264"/>
      </w:pPr>
      <w:r>
        <w:rPr>
          <w:rFonts w:ascii="Arial" w:cs="Arial" w:eastAsia="Arial" w:hAnsi="Arial"/>
          <w:color w:val="2C2F36"/>
          <w:sz w:val="20"/>
          <w:szCs w:val="20"/>
        </w:rPr>
        <w:t xml:space="preserve">No network request to a third-party origin occurs before consent is granted.</w:t>
      </w:r>
    </w:p>
    <w:p>
      <w:pPr>
        <w:pStyle w:val="ListParagraph"/>
        <w:numPr>
          <w:ilvl w:val="0"/>
          <w:numId w:val="2"/>
        </w:numPr>
        <w:spacing w:after="60" w:before="40" w:line="264"/>
      </w:pPr>
      <w:r>
        <w:rPr>
          <w:rFonts w:ascii="Arial" w:cs="Arial" w:eastAsia="Arial" w:hAnsi="Arial"/>
          <w:color w:val="2C2F36"/>
          <w:sz w:val="20"/>
          <w:szCs w:val="20"/>
        </w:rPr>
        <w:t xml:space="preserve">A content edit and publication updates the live site without a deployment.</w:t>
      </w:r>
    </w:p>
    <w:p>
      <w:pPr>
        <w:pStyle w:val="ListParagraph"/>
        <w:numPr>
          <w:ilvl w:val="0"/>
          <w:numId w:val="2"/>
        </w:numPr>
        <w:spacing w:after="60" w:before="40" w:line="264"/>
      </w:pPr>
      <w:r>
        <w:rPr>
          <w:rFonts w:ascii="Arial" w:cs="Arial" w:eastAsia="Arial" w:hAnsi="Arial"/>
          <w:color w:val="2C2F36"/>
          <w:sz w:val="20"/>
          <w:szCs w:val="20"/>
        </w:rPr>
        <w:t xml:space="preserve">A lead submission persists a record and a consent row atomically, and delivery failure raises an alert without losing the record.</w:t>
      </w:r>
    </w:p>
    <w:p>
      <w:pPr>
        <w:pStyle w:val="ListParagraph"/>
        <w:numPr>
          <w:ilvl w:val="0"/>
          <w:numId w:val="2"/>
        </w:numPr>
        <w:spacing w:after="60" w:before="40" w:line="264"/>
      </w:pPr>
      <w:r>
        <w:rPr>
          <w:rFonts w:ascii="Arial" w:cs="Arial" w:eastAsia="Arial" w:hAnsi="Arial"/>
          <w:color w:val="2C2F36"/>
          <w:sz w:val="20"/>
          <w:szCs w:val="20"/>
        </w:rPr>
        <w:t xml:space="preserve">No module issues a query against a table owned by another module.</w:t>
      </w:r>
    </w:p>
    <w:p>
      <w:pPr>
        <w:pStyle w:val="ListParagraph"/>
        <w:numPr>
          <w:ilvl w:val="0"/>
          <w:numId w:val="2"/>
        </w:numPr>
        <w:spacing w:after="60" w:before="40" w:line="264"/>
      </w:pPr>
      <w:r>
        <w:rPr>
          <w:rFonts w:ascii="Arial" w:cs="Arial" w:eastAsia="Arial" w:hAnsi="Arial"/>
          <w:color w:val="2C2F36"/>
          <w:sz w:val="20"/>
          <w:szCs w:val="20"/>
        </w:rPr>
        <w:t xml:space="preserve">All persistent storage and backups are located within the European Economic Area.</w:t>
      </w:r>
    </w:p>
    <w:p>
      <w:pPr>
        <w:spacing w:after="300" w:before="0"/>
      </w:pPr>
    </w:p>
    <w:p>
      <w:pPr>
        <w:pBdr>
          <w:top w:val="single" w:color="C9A227" w:sz="12" w:space="10"/>
        </w:pBdr>
        <w:spacing w:before="300"/>
        <w:jc w:val="center"/>
      </w:pPr>
      <w:r>
        <w:rPr>
          <w:rFonts w:ascii="Arial" w:cs="Arial" w:eastAsia="Arial" w:hAnsi="Arial"/>
          <w:i/>
          <w:iCs/>
          <w:color w:val="2C2F36"/>
          <w:sz w:val="16"/>
          <w:szCs w:val="16"/>
        </w:rPr>
        <w:t xml:space="preserve">End of document  ·  Spain Relocation Hub  ·  Software Architecture Document v1.0</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8"/>
      </w:pBdr>
      <w:jc w:val="center"/>
    </w:pPr>
    <w:r>
      <w:rPr>
        <w:rFonts w:ascii="Arial" w:cs="Arial" w:eastAsia="Arial" w:hAnsi="Arial"/>
        <w:color w:val="808894"/>
        <w:sz w:val="15"/>
        <w:szCs w:val="15"/>
      </w:rPr>
      <w:t xml:space="preserve">Spain Relocation Hub — Software Architecture Document v1.0  |  Confidential  |  Page </w:t>
    </w:r>
    <w:r>
      <w:rPr>
        <w:rFonts w:ascii="Arial" w:cs="Arial" w:eastAsia="Arial" w:hAnsi="Arial"/>
        <w:color w:val="80889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C9A227"/>
        <w:sz w:val="20"/>
        <w:szCs w:val="20"/>
      </w:rPr>
    </w:lvl>
    <w:lvl w:ilvl="1" w15:tentative="1">
      <w:start w:val="1"/>
      <w:numFmt w:val="bullet"/>
      <w:lvlText w:val="–"/>
      <w:lvlJc w:val="left"/>
      <w:pPr>
        <w:ind w:left="880" w:hanging="240"/>
      </w:pPr>
      <w:rPr>
        <w:color w:val="C9A227"/>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F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eafcc058c473042cba9a998343160dd1ff0792.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2026-08-01T13:55:24.269Z</dcterms:created>
  <dcterms:modified xsi:type="dcterms:W3CDTF">2026-08-01T13:55:24.282Z</dcterms:modified>
</cp:coreProperties>
</file>

<file path=docProps/custom.xml><?xml version="1.0" encoding="utf-8"?>
<Properties xmlns="http://schemas.openxmlformats.org/officeDocument/2006/custom-properties" xmlns:vt="http://schemas.openxmlformats.org/officeDocument/2006/docPropsVTypes"/>
</file>