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6EF04" w14:textId="723186B9" w:rsidR="00AD2759" w:rsidRDefault="00396321" w:rsidP="004939F0">
      <w:pPr>
        <w:spacing w:line="360" w:lineRule="auto"/>
        <w:jc w:val="center"/>
        <w:rPr>
          <w:rFonts w:ascii="黑体" w:eastAsia="黑体" w:hAnsi="黑体" w:hint="eastAsia"/>
          <w:b/>
          <w:bCs/>
          <w:sz w:val="24"/>
          <w:szCs w:val="24"/>
        </w:rPr>
      </w:pPr>
      <w:r>
        <w:rPr>
          <w:rFonts w:ascii="黑体" w:eastAsia="黑体" w:hAnsi="黑体" w:hint="eastAsia"/>
          <w:b/>
          <w:bCs/>
          <w:sz w:val="24"/>
          <w:szCs w:val="24"/>
        </w:rPr>
        <w:t>宏观利率日报（20260</w:t>
      </w:r>
      <w:r w:rsidR="00F67578">
        <w:rPr>
          <w:rFonts w:ascii="黑体" w:eastAsia="黑体" w:hAnsi="黑体" w:hint="eastAsia"/>
          <w:b/>
          <w:bCs/>
          <w:sz w:val="24"/>
          <w:szCs w:val="24"/>
        </w:rPr>
        <w:t>602</w:t>
      </w:r>
      <w:r>
        <w:rPr>
          <w:rFonts w:ascii="黑体" w:eastAsia="黑体" w:hAnsi="黑体" w:hint="eastAsia"/>
          <w:b/>
          <w:bCs/>
          <w:sz w:val="24"/>
          <w:szCs w:val="24"/>
        </w:rPr>
        <w:t>）</w:t>
      </w:r>
    </w:p>
    <w:p w14:paraId="0206C13F" w14:textId="77777777" w:rsidR="00AD2759" w:rsidRDefault="00AD2759" w:rsidP="004939F0">
      <w:pPr>
        <w:pStyle w:val="a9"/>
        <w:spacing w:line="360" w:lineRule="auto"/>
        <w:ind w:firstLineChars="0" w:firstLine="0"/>
        <w:rPr>
          <w:rFonts w:ascii="仿宋_GB2312" w:eastAsia="仿宋_GB2312"/>
          <w:b/>
          <w:bCs/>
          <w:sz w:val="24"/>
          <w:szCs w:val="24"/>
        </w:rPr>
      </w:pPr>
    </w:p>
    <w:p w14:paraId="57E21608" w14:textId="77777777" w:rsidR="00AD2759" w:rsidRDefault="00396321" w:rsidP="004939F0">
      <w:pPr>
        <w:spacing w:line="360" w:lineRule="auto"/>
        <w:rPr>
          <w:rFonts w:ascii="黑体" w:eastAsia="黑体" w:hAnsi="黑体" w:hint="eastAsia"/>
          <w:b/>
          <w:bCs/>
          <w:sz w:val="24"/>
          <w:szCs w:val="24"/>
        </w:rPr>
      </w:pPr>
      <w:r>
        <w:rPr>
          <w:rFonts w:ascii="黑体" w:eastAsia="黑体" w:hAnsi="黑体" w:hint="eastAsia"/>
          <w:b/>
          <w:bCs/>
          <w:sz w:val="24"/>
          <w:szCs w:val="24"/>
        </w:rPr>
        <w:t>一、市场回顾</w:t>
      </w:r>
    </w:p>
    <w:p w14:paraId="5744D2AB" w14:textId="77777777" w:rsidR="00AD2759" w:rsidRDefault="00396321" w:rsidP="004939F0">
      <w:pPr>
        <w:spacing w:line="360" w:lineRule="auto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（一）央行操作</w:t>
      </w:r>
    </w:p>
    <w:p w14:paraId="6F0836A0" w14:textId="44F199B3" w:rsidR="00F67578" w:rsidRPr="00F67578" w:rsidRDefault="000E7011" w:rsidP="00F67578">
      <w:pPr>
        <w:spacing w:line="360" w:lineRule="auto"/>
        <w:ind w:firstLineChars="200" w:firstLine="480"/>
        <w:rPr>
          <w:rFonts w:ascii="仿宋_GB2312" w:eastAsia="仿宋_GB2312" w:hint="eastAsia"/>
          <w:sz w:val="24"/>
          <w:szCs w:val="24"/>
        </w:rPr>
      </w:pPr>
      <w:r>
        <w:rPr>
          <w:rFonts w:ascii="仿宋_GB2312" w:eastAsia="仿宋_GB2312" w:hint="eastAsia"/>
          <w:sz w:val="24"/>
          <w:szCs w:val="24"/>
        </w:rPr>
        <w:t>昨日</w:t>
      </w:r>
      <w:r w:rsidR="00A01D33" w:rsidRPr="00A01D33">
        <w:rPr>
          <w:rFonts w:ascii="仿宋_GB2312" w:eastAsia="仿宋_GB2312" w:hint="eastAsia"/>
          <w:sz w:val="24"/>
          <w:szCs w:val="24"/>
        </w:rPr>
        <w:t>央行</w:t>
      </w:r>
      <w:r w:rsidR="00F67578" w:rsidRPr="00F67578">
        <w:rPr>
          <w:rFonts w:ascii="仿宋_GB2312" w:eastAsia="仿宋_GB2312"/>
          <w:sz w:val="24"/>
          <w:szCs w:val="24"/>
        </w:rPr>
        <w:t>7天期逆回购操作量为零（0亿元），为2024年8月7日以来首次归零，</w:t>
      </w:r>
      <w:r w:rsidR="00F67578">
        <w:rPr>
          <w:rFonts w:ascii="仿宋_GB2312" w:eastAsia="仿宋_GB2312" w:hint="eastAsia"/>
          <w:sz w:val="24"/>
          <w:szCs w:val="24"/>
        </w:rPr>
        <w:t>且</w:t>
      </w:r>
      <w:r w:rsidR="00F67578" w:rsidRPr="00F67578">
        <w:rPr>
          <w:rFonts w:ascii="仿宋_GB2312" w:eastAsia="仿宋_GB2312"/>
          <w:sz w:val="24"/>
          <w:szCs w:val="24"/>
        </w:rPr>
        <w:t>1776亿元逆回购到期，单日净回笼1776亿元</w:t>
      </w:r>
      <w:r w:rsidR="00285EBD" w:rsidRPr="00285EBD">
        <w:rPr>
          <w:rFonts w:ascii="仿宋_GB2312" w:eastAsia="仿宋_GB2312"/>
          <w:sz w:val="24"/>
          <w:szCs w:val="24"/>
        </w:rPr>
        <w:t>。</w:t>
      </w:r>
      <w:r w:rsidR="00F67578">
        <w:rPr>
          <w:rFonts w:ascii="仿宋_GB2312" w:eastAsia="仿宋_GB2312" w:hint="eastAsia"/>
          <w:sz w:val="24"/>
          <w:szCs w:val="24"/>
        </w:rPr>
        <w:t>市场担心央行</w:t>
      </w:r>
      <w:r w:rsidR="00F67578" w:rsidRPr="00F67578">
        <w:rPr>
          <w:rFonts w:ascii="仿宋_GB2312" w:eastAsia="仿宋_GB2312"/>
          <w:sz w:val="24"/>
          <w:szCs w:val="24"/>
        </w:rPr>
        <w:t>货币政策转向紧缩，</w:t>
      </w:r>
      <w:r w:rsidR="00F67578">
        <w:rPr>
          <w:rFonts w:ascii="仿宋_GB2312" w:eastAsia="仿宋_GB2312" w:hint="eastAsia"/>
          <w:sz w:val="24"/>
          <w:szCs w:val="24"/>
        </w:rPr>
        <w:t>但也有分析师</w:t>
      </w:r>
      <w:r w:rsidR="00F67578" w:rsidRPr="00F67578">
        <w:rPr>
          <w:rFonts w:ascii="仿宋_GB2312" w:eastAsia="仿宋_GB2312"/>
          <w:sz w:val="24"/>
          <w:szCs w:val="24"/>
        </w:rPr>
        <w:t>强调："保持市场流动性充裕的政策基调没有变化</w:t>
      </w:r>
      <w:r w:rsidR="00F67578">
        <w:rPr>
          <w:rFonts w:ascii="仿宋_GB2312" w:eastAsia="仿宋_GB2312" w:hint="eastAsia"/>
          <w:sz w:val="24"/>
          <w:szCs w:val="24"/>
        </w:rPr>
        <w:t>，这个是</w:t>
      </w:r>
      <w:r w:rsidR="00F67578" w:rsidRPr="00F67578">
        <w:rPr>
          <w:rFonts w:ascii="仿宋_GB2312" w:eastAsia="仿宋_GB2312"/>
          <w:sz w:val="24"/>
          <w:szCs w:val="24"/>
        </w:rPr>
        <w:t>流动性充裕背景下精准调控</w:t>
      </w:r>
    </w:p>
    <w:p w14:paraId="0B51ED88" w14:textId="29249D93" w:rsidR="00A01D33" w:rsidRPr="000E7011" w:rsidRDefault="00A01D33" w:rsidP="000E7011">
      <w:pPr>
        <w:spacing w:line="360" w:lineRule="auto"/>
        <w:ind w:firstLineChars="200" w:firstLine="480"/>
        <w:rPr>
          <w:rFonts w:ascii="仿宋_GB2312" w:eastAsia="仿宋_GB2312"/>
          <w:sz w:val="24"/>
          <w:szCs w:val="24"/>
        </w:rPr>
      </w:pPr>
    </w:p>
    <w:p w14:paraId="176BEA5C" w14:textId="067D2DC7" w:rsidR="00AD2759" w:rsidRDefault="00396321" w:rsidP="004939F0">
      <w:pPr>
        <w:spacing w:line="360" w:lineRule="auto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（二）资金面变化</w:t>
      </w:r>
    </w:p>
    <w:p w14:paraId="1EDEE683" w14:textId="77777777" w:rsidR="00F67578" w:rsidRDefault="00F67578" w:rsidP="008430B1">
      <w:pPr>
        <w:spacing w:line="360" w:lineRule="auto"/>
        <w:ind w:firstLineChars="200" w:firstLine="480"/>
        <w:rPr>
          <w:rFonts w:ascii="仿宋_GB2312" w:eastAsia="仿宋_GB2312"/>
          <w:sz w:val="24"/>
          <w:szCs w:val="24"/>
        </w:rPr>
      </w:pPr>
      <w:r w:rsidRPr="00F67578">
        <w:rPr>
          <w:rFonts w:ascii="仿宋_GB2312" w:eastAsia="仿宋_GB2312"/>
          <w:sz w:val="24"/>
          <w:szCs w:val="24"/>
        </w:rPr>
        <w:t>SHIBOR隔夜1.316%（-0.2bp），SHIBOR 3M报1.4035%（-0.3bp）。DR001报1.2954%，DR007报1.3413%，大幅低于1.40%政策利率。1年期AAA同业存单收益率降至1.4275%再创新低。</w:t>
      </w:r>
    </w:p>
    <w:p w14:paraId="2D0E28E1" w14:textId="77777777" w:rsidR="00F67578" w:rsidRDefault="00F67578" w:rsidP="00F67578">
      <w:pPr>
        <w:spacing w:line="360" w:lineRule="auto"/>
        <w:rPr>
          <w:rFonts w:ascii="仿宋_GB2312" w:eastAsia="仿宋_GB2312"/>
          <w:sz w:val="24"/>
          <w:szCs w:val="24"/>
        </w:rPr>
      </w:pPr>
    </w:p>
    <w:p w14:paraId="21880ACB" w14:textId="683DFC8A" w:rsidR="00AD2759" w:rsidRDefault="00396321" w:rsidP="00F67578">
      <w:pPr>
        <w:spacing w:line="360" w:lineRule="auto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（三）国内利率变化</w:t>
      </w:r>
    </w:p>
    <w:p w14:paraId="31304BBC" w14:textId="624198F2" w:rsidR="00F67578" w:rsidRDefault="00035C4D" w:rsidP="00035C4D">
      <w:pPr>
        <w:spacing w:line="360" w:lineRule="auto"/>
        <w:ind w:firstLineChars="200" w:firstLine="480"/>
        <w:rPr>
          <w:rFonts w:ascii="仿宋_GB2312" w:eastAsia="仿宋_GB2312"/>
          <w:sz w:val="24"/>
          <w:szCs w:val="24"/>
        </w:rPr>
      </w:pPr>
      <w:r w:rsidRPr="00035C4D">
        <w:rPr>
          <w:rFonts w:ascii="仿宋_GB2312" w:eastAsia="仿宋_GB2312"/>
          <w:sz w:val="24"/>
          <w:szCs w:val="24"/>
        </w:rPr>
        <w:t>国债5年期带动曲线对应期限下行3.63BP，至1.4195%；7年期带动曲线对应期限下行5.30BP，至1.5510%。</w:t>
      </w:r>
      <w:proofErr w:type="gramStart"/>
      <w:r w:rsidRPr="00035C4D">
        <w:rPr>
          <w:rFonts w:ascii="仿宋_GB2312" w:eastAsia="仿宋_GB2312"/>
          <w:sz w:val="24"/>
          <w:szCs w:val="24"/>
        </w:rPr>
        <w:t>国开债曲线</w:t>
      </w:r>
      <w:proofErr w:type="gramEnd"/>
      <w:r w:rsidRPr="00035C4D">
        <w:rPr>
          <w:rFonts w:ascii="仿宋_GB2312" w:eastAsia="仿宋_GB2312"/>
          <w:sz w:val="24"/>
          <w:szCs w:val="24"/>
        </w:rPr>
        <w:t>今天收益整体下行，3年期带动曲线对应期限下行5.23BP，至1.4460%；5年期带动曲线对期限下行5.17BP，至1.5514%；10年期带动曲线对应期限下行5.73BP，至1.7592%。中债进出口金融债曲线整体下行，10年期带动曲线对应期限下行4.74BP，至1.7897%。</w:t>
      </w:r>
    </w:p>
    <w:p w14:paraId="75CB87C6" w14:textId="13BEA1AC" w:rsidR="007F7970" w:rsidRDefault="007F7970" w:rsidP="00035C4D">
      <w:pPr>
        <w:spacing w:line="360" w:lineRule="auto"/>
        <w:ind w:firstLineChars="200" w:firstLine="480"/>
        <w:rPr>
          <w:rFonts w:ascii="仿宋_GB2312" w:eastAsia="仿宋_GB2312" w:hint="eastAsia"/>
          <w:sz w:val="24"/>
          <w:szCs w:val="24"/>
        </w:rPr>
      </w:pPr>
      <w:r>
        <w:rPr>
          <w:rFonts w:ascii="仿宋_GB2312" w:eastAsia="仿宋_GB2312" w:hint="eastAsia"/>
          <w:sz w:val="24"/>
          <w:szCs w:val="24"/>
        </w:rPr>
        <w:t>国债期货全面收跌。</w:t>
      </w:r>
    </w:p>
    <w:p w14:paraId="498AFF6D" w14:textId="42E047D3" w:rsidR="00AD2759" w:rsidRDefault="00396321" w:rsidP="00F67578">
      <w:pPr>
        <w:spacing w:line="360" w:lineRule="auto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（四）机构情绪</w:t>
      </w:r>
    </w:p>
    <w:p w14:paraId="1A34F9BB" w14:textId="0F06572A" w:rsidR="00AD2759" w:rsidRDefault="008430B1" w:rsidP="00BB0117">
      <w:pPr>
        <w:spacing w:line="360" w:lineRule="auto"/>
        <w:ind w:firstLineChars="200" w:firstLine="480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 w:hint="eastAsia"/>
          <w:sz w:val="24"/>
          <w:szCs w:val="24"/>
        </w:rPr>
        <w:t>昨天</w:t>
      </w:r>
      <w:r w:rsidR="00035C4D">
        <w:rPr>
          <w:rFonts w:ascii="仿宋_GB2312" w:eastAsia="仿宋_GB2312" w:hint="eastAsia"/>
          <w:sz w:val="24"/>
          <w:szCs w:val="24"/>
        </w:rPr>
        <w:t>保险和银行是主要买盘</w:t>
      </w:r>
      <w:r w:rsidR="0020245F">
        <w:rPr>
          <w:rFonts w:ascii="仿宋_GB2312" w:eastAsia="仿宋_GB2312" w:hint="eastAsia"/>
          <w:sz w:val="24"/>
          <w:szCs w:val="24"/>
        </w:rPr>
        <w:t>，</w:t>
      </w:r>
      <w:r w:rsidR="00035C4D">
        <w:rPr>
          <w:rFonts w:ascii="仿宋_GB2312" w:eastAsia="仿宋_GB2312" w:hint="eastAsia"/>
          <w:sz w:val="24"/>
          <w:szCs w:val="24"/>
        </w:rPr>
        <w:t>证券是主要卖盘，基金操作分化</w:t>
      </w:r>
      <w:r>
        <w:rPr>
          <w:rFonts w:ascii="仿宋_GB2312" w:eastAsia="仿宋_GB2312" w:hint="eastAsia"/>
          <w:sz w:val="24"/>
          <w:szCs w:val="24"/>
        </w:rPr>
        <w:t>。</w:t>
      </w:r>
    </w:p>
    <w:p w14:paraId="00FCFBB5" w14:textId="77777777" w:rsidR="00AD2759" w:rsidRDefault="00396321" w:rsidP="004939F0">
      <w:pPr>
        <w:spacing w:line="360" w:lineRule="auto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（四）汇率变化</w:t>
      </w:r>
    </w:p>
    <w:p w14:paraId="621A5A8D" w14:textId="58BB3D24" w:rsidR="0090572F" w:rsidRDefault="00396321" w:rsidP="00F76A7D">
      <w:pPr>
        <w:spacing w:line="360" w:lineRule="auto"/>
        <w:ind w:firstLineChars="200" w:firstLine="480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 w:hint="eastAsia"/>
          <w:sz w:val="24"/>
          <w:szCs w:val="24"/>
        </w:rPr>
        <w:t>昨</w:t>
      </w:r>
      <w:bookmarkStart w:id="0" w:name="OLE_LINK4"/>
      <w:r>
        <w:rPr>
          <w:rFonts w:ascii="仿宋_GB2312" w:eastAsia="仿宋_GB2312" w:hint="eastAsia"/>
          <w:sz w:val="24"/>
          <w:szCs w:val="24"/>
        </w:rPr>
        <w:t>天</w:t>
      </w:r>
      <w:bookmarkStart w:id="1" w:name="OLE_LINK1"/>
      <w:r w:rsidR="00843208">
        <w:rPr>
          <w:rFonts w:ascii="仿宋_GB2312" w:eastAsia="仿宋_GB2312" w:hint="eastAsia"/>
          <w:sz w:val="24"/>
          <w:szCs w:val="24"/>
        </w:rPr>
        <w:t>美元兑</w:t>
      </w:r>
      <w:r w:rsidR="00492E31" w:rsidRPr="00492E31">
        <w:rPr>
          <w:rFonts w:ascii="仿宋_GB2312" w:eastAsia="仿宋_GB2312" w:hint="eastAsia"/>
          <w:sz w:val="24"/>
          <w:szCs w:val="24"/>
        </w:rPr>
        <w:t>人民币</w:t>
      </w:r>
      <w:proofErr w:type="gramStart"/>
      <w:r w:rsidR="00492E31" w:rsidRPr="00492E31">
        <w:rPr>
          <w:rFonts w:ascii="仿宋_GB2312" w:eastAsia="仿宋_GB2312" w:hint="eastAsia"/>
          <w:sz w:val="24"/>
          <w:szCs w:val="24"/>
        </w:rPr>
        <w:t>中间价</w:t>
      </w:r>
      <w:bookmarkEnd w:id="1"/>
      <w:r w:rsidR="00492E31" w:rsidRPr="00492E31">
        <w:rPr>
          <w:rFonts w:ascii="仿宋_GB2312" w:eastAsia="仿宋_GB2312" w:hint="eastAsia"/>
          <w:sz w:val="24"/>
          <w:szCs w:val="24"/>
        </w:rPr>
        <w:t>报</w:t>
      </w:r>
      <w:proofErr w:type="gramEnd"/>
      <w:r w:rsidR="00492E31" w:rsidRPr="00492E31">
        <w:rPr>
          <w:rFonts w:ascii="仿宋_GB2312" w:eastAsia="仿宋_GB2312"/>
          <w:sz w:val="24"/>
          <w:szCs w:val="24"/>
        </w:rPr>
        <w:t xml:space="preserve"> 6.</w:t>
      </w:r>
      <w:r w:rsidR="00843208">
        <w:rPr>
          <w:rFonts w:ascii="仿宋_GB2312" w:eastAsia="仿宋_GB2312" w:hint="eastAsia"/>
          <w:sz w:val="24"/>
          <w:szCs w:val="24"/>
        </w:rPr>
        <w:t>8</w:t>
      </w:r>
      <w:r w:rsidR="00035C4D">
        <w:rPr>
          <w:rFonts w:ascii="仿宋_GB2312" w:eastAsia="仿宋_GB2312" w:hint="eastAsia"/>
          <w:sz w:val="24"/>
          <w:szCs w:val="24"/>
        </w:rPr>
        <w:t>184</w:t>
      </w:r>
      <w:r w:rsidR="00492E31" w:rsidRPr="00492E31">
        <w:rPr>
          <w:rFonts w:ascii="仿宋_GB2312" w:eastAsia="仿宋_GB2312"/>
          <w:sz w:val="24"/>
          <w:szCs w:val="24"/>
        </w:rPr>
        <w:t>，</w:t>
      </w:r>
      <w:bookmarkEnd w:id="0"/>
      <w:r w:rsidR="00D83DC3">
        <w:rPr>
          <w:rFonts w:ascii="仿宋_GB2312" w:eastAsia="仿宋_GB2312" w:hint="eastAsia"/>
          <w:sz w:val="24"/>
          <w:szCs w:val="24"/>
        </w:rPr>
        <w:t>持续下探</w:t>
      </w:r>
      <w:r w:rsidR="00492E31">
        <w:rPr>
          <w:rFonts w:ascii="仿宋_GB2312" w:eastAsia="仿宋_GB2312" w:hint="eastAsia"/>
          <w:sz w:val="24"/>
          <w:szCs w:val="24"/>
        </w:rPr>
        <w:t>。</w:t>
      </w:r>
    </w:p>
    <w:p w14:paraId="69108BBB" w14:textId="7987C0BD" w:rsidR="00890ADE" w:rsidRDefault="00890ADE" w:rsidP="00890ADE">
      <w:pPr>
        <w:spacing w:line="360" w:lineRule="auto"/>
        <w:rPr>
          <w:rFonts w:ascii="仿宋_GB2312" w:eastAsia="仿宋_GB2312"/>
          <w:sz w:val="24"/>
          <w:szCs w:val="24"/>
        </w:rPr>
      </w:pPr>
    </w:p>
    <w:p w14:paraId="7C8ABE72" w14:textId="72EF9E8F" w:rsidR="00890ADE" w:rsidRDefault="00890ADE" w:rsidP="00890ADE">
      <w:pPr>
        <w:spacing w:line="360" w:lineRule="auto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 w:hint="eastAsia"/>
          <w:sz w:val="24"/>
          <w:szCs w:val="24"/>
        </w:rPr>
        <w:t>二、华</w:t>
      </w:r>
      <w:proofErr w:type="gramStart"/>
      <w:r>
        <w:rPr>
          <w:rFonts w:ascii="仿宋_GB2312" w:eastAsia="仿宋_GB2312" w:hint="eastAsia"/>
          <w:sz w:val="24"/>
          <w:szCs w:val="24"/>
        </w:rPr>
        <w:t>创固收</w:t>
      </w:r>
      <w:proofErr w:type="gramEnd"/>
      <w:r>
        <w:rPr>
          <w:rFonts w:ascii="仿宋_GB2312" w:eastAsia="仿宋_GB2312" w:hint="eastAsia"/>
          <w:sz w:val="24"/>
          <w:szCs w:val="24"/>
        </w:rPr>
        <w:t>机构观点</w:t>
      </w:r>
    </w:p>
    <w:p w14:paraId="5D22FAA9" w14:textId="77777777" w:rsidR="00890ADE" w:rsidRDefault="00890ADE" w:rsidP="00890ADE">
      <w:pPr>
        <w:spacing w:line="360" w:lineRule="auto"/>
        <w:rPr>
          <w:rFonts w:ascii="仿宋_GB2312" w:eastAsia="仿宋_GB2312"/>
          <w:sz w:val="24"/>
          <w:szCs w:val="24"/>
        </w:rPr>
      </w:pPr>
      <w:r w:rsidRPr="00890ADE">
        <w:rPr>
          <w:rFonts w:ascii="仿宋_GB2312" w:eastAsia="仿宋_GB2312"/>
          <w:sz w:val="24"/>
          <w:szCs w:val="24"/>
        </w:rPr>
        <w:t>1、5月债市好于此前预期，延续了4月以来的资金宽松</w:t>
      </w:r>
      <w:proofErr w:type="gramStart"/>
      <w:r w:rsidRPr="00890ADE">
        <w:rPr>
          <w:rFonts w:ascii="仿宋_GB2312" w:eastAsia="仿宋_GB2312"/>
          <w:sz w:val="24"/>
          <w:szCs w:val="24"/>
        </w:rPr>
        <w:t>与资管配置</w:t>
      </w:r>
      <w:proofErr w:type="gramEnd"/>
      <w:r w:rsidRPr="00890ADE">
        <w:rPr>
          <w:rFonts w:ascii="仿宋_GB2312" w:eastAsia="仿宋_GB2312"/>
          <w:sz w:val="24"/>
          <w:szCs w:val="24"/>
        </w:rPr>
        <w:t>驱动的行情。核心原因来自两方面：一是资金收紧节奏慢于预期（信贷弱+供给慢）。二是资</w:t>
      </w:r>
      <w:r w:rsidRPr="00890ADE">
        <w:rPr>
          <w:rFonts w:ascii="仿宋_GB2312" w:eastAsia="仿宋_GB2312"/>
          <w:sz w:val="24"/>
          <w:szCs w:val="24"/>
        </w:rPr>
        <w:lastRenderedPageBreak/>
        <w:t>管钱多强于预期（理财超季节性申购基金），驱动政金、</w:t>
      </w:r>
      <w:proofErr w:type="gramStart"/>
      <w:r w:rsidRPr="00890ADE">
        <w:rPr>
          <w:rFonts w:ascii="仿宋_GB2312" w:eastAsia="仿宋_GB2312"/>
          <w:sz w:val="24"/>
          <w:szCs w:val="24"/>
        </w:rPr>
        <w:t>二永债</w:t>
      </w:r>
      <w:proofErr w:type="gramEnd"/>
      <w:r w:rsidRPr="00890ADE">
        <w:rPr>
          <w:rFonts w:ascii="仿宋_GB2312" w:eastAsia="仿宋_GB2312"/>
          <w:sz w:val="24"/>
          <w:szCs w:val="24"/>
        </w:rPr>
        <w:t>表现较好。</w:t>
      </w:r>
    </w:p>
    <w:p w14:paraId="1D737DE9" w14:textId="77777777" w:rsidR="00890ADE" w:rsidRDefault="00890ADE" w:rsidP="00890ADE">
      <w:pPr>
        <w:spacing w:line="360" w:lineRule="auto"/>
        <w:rPr>
          <w:rFonts w:ascii="仿宋_GB2312" w:eastAsia="仿宋_GB2312"/>
          <w:sz w:val="24"/>
          <w:szCs w:val="24"/>
        </w:rPr>
      </w:pPr>
      <w:r w:rsidRPr="00890ADE">
        <w:rPr>
          <w:rFonts w:ascii="仿宋_GB2312" w:eastAsia="仿宋_GB2312"/>
          <w:sz w:val="24"/>
          <w:szCs w:val="24"/>
        </w:rPr>
        <w:t>2、展望6月，目前基本面、资金面、供需格局等利好因素并未出现显著拐点，最大的问题在于债券估值本身（收益率处在区间下限、利差处于低位）。其次供需格局在上半年主导了市场，下半年会逐步边际逆转，只是节奏可能偏慢。</w:t>
      </w:r>
    </w:p>
    <w:p w14:paraId="3173D09A" w14:textId="21F70B26" w:rsidR="00890ADE" w:rsidRPr="00890ADE" w:rsidRDefault="00890ADE" w:rsidP="00890ADE">
      <w:pPr>
        <w:spacing w:line="360" w:lineRule="auto"/>
        <w:rPr>
          <w:rFonts w:ascii="仿宋_GB2312" w:eastAsia="仿宋_GB2312" w:hint="eastAsia"/>
          <w:sz w:val="24"/>
          <w:szCs w:val="24"/>
        </w:rPr>
      </w:pPr>
      <w:r w:rsidRPr="00890ADE">
        <w:rPr>
          <w:rFonts w:ascii="仿宋_GB2312" w:eastAsia="仿宋_GB2312"/>
          <w:sz w:val="24"/>
          <w:szCs w:val="24"/>
        </w:rPr>
        <w:t>3、操作上，（1）10y国债：目前已处在区间下限位置，交易空间不大。（2）30y国债：资管钱多有望驱动利差向3月以来低点（45bp）压缩，但考虑目前市场交易集中度较高且波动有所放大，博弈超长端的同时净值波动可能显著放大，建议小波段、短线操作，或通过期货完成小波段交易，保持账户灵活性。（3）综合考虑，在资管钱多、利差压缩且利差已经处于低位的环境中，交易层面或没有绝对的优势品种，各品种间轮动加快，主要关注利差空间。重点</w:t>
      </w:r>
      <w:proofErr w:type="gramStart"/>
      <w:r w:rsidRPr="00890ADE">
        <w:rPr>
          <w:rFonts w:ascii="仿宋_GB2312" w:eastAsia="仿宋_GB2312"/>
          <w:sz w:val="24"/>
          <w:szCs w:val="24"/>
        </w:rPr>
        <w:t>看政金债和二永债</w:t>
      </w:r>
      <w:proofErr w:type="gramEnd"/>
      <w:r w:rsidRPr="00890ADE">
        <w:rPr>
          <w:rFonts w:ascii="仿宋_GB2312" w:eastAsia="仿宋_GB2312"/>
          <w:sz w:val="24"/>
          <w:szCs w:val="24"/>
        </w:rPr>
        <w:t>，同时高频关注利差凸点，例如5y国开、7y口行、10y地方债和30y地方债等。</w:t>
      </w:r>
    </w:p>
    <w:p w14:paraId="73BED5A2" w14:textId="19BE45C5" w:rsidR="00AD2759" w:rsidRPr="0090572F" w:rsidRDefault="00AD2759" w:rsidP="0090572F">
      <w:pPr>
        <w:spacing w:line="360" w:lineRule="auto"/>
        <w:ind w:firstLine="480"/>
        <w:rPr>
          <w:rFonts w:ascii="仿宋_GB2312" w:eastAsia="仿宋_GB2312"/>
          <w:sz w:val="24"/>
          <w:szCs w:val="24"/>
        </w:rPr>
      </w:pPr>
    </w:p>
    <w:sectPr w:rsidR="00AD2759" w:rsidRPr="009057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00"/>
    <w:family w:val="auto"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036E2"/>
    <w:multiLevelType w:val="hybridMultilevel"/>
    <w:tmpl w:val="D6121D24"/>
    <w:lvl w:ilvl="0" w:tplc="E580053A">
      <w:start w:val="1"/>
      <w:numFmt w:val="decimal"/>
      <w:lvlText w:val="（%1）"/>
      <w:lvlJc w:val="left"/>
      <w:pPr>
        <w:ind w:left="114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21597A93"/>
    <w:multiLevelType w:val="singleLevel"/>
    <w:tmpl w:val="21597A9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032611834">
    <w:abstractNumId w:val="1"/>
  </w:num>
  <w:num w:numId="2" w16cid:durableId="859782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3EAF"/>
    <w:rsid w:val="00000739"/>
    <w:rsid w:val="00035C4D"/>
    <w:rsid w:val="0004278B"/>
    <w:rsid w:val="000511E2"/>
    <w:rsid w:val="0005124A"/>
    <w:rsid w:val="00090EA3"/>
    <w:rsid w:val="000A4065"/>
    <w:rsid w:val="000A76AB"/>
    <w:rsid w:val="000C2FE0"/>
    <w:rsid w:val="000D04C6"/>
    <w:rsid w:val="000E7011"/>
    <w:rsid w:val="000F531C"/>
    <w:rsid w:val="000F74B7"/>
    <w:rsid w:val="0010785D"/>
    <w:rsid w:val="00181500"/>
    <w:rsid w:val="00185C14"/>
    <w:rsid w:val="001A6552"/>
    <w:rsid w:val="001A6FBC"/>
    <w:rsid w:val="001B3899"/>
    <w:rsid w:val="001B6636"/>
    <w:rsid w:val="001F18EC"/>
    <w:rsid w:val="0020245F"/>
    <w:rsid w:val="00217F70"/>
    <w:rsid w:val="002435CA"/>
    <w:rsid w:val="00257D7B"/>
    <w:rsid w:val="00273156"/>
    <w:rsid w:val="00285EBD"/>
    <w:rsid w:val="002E45E8"/>
    <w:rsid w:val="002F1780"/>
    <w:rsid w:val="0030526A"/>
    <w:rsid w:val="00315485"/>
    <w:rsid w:val="00383212"/>
    <w:rsid w:val="003852CD"/>
    <w:rsid w:val="00396321"/>
    <w:rsid w:val="003A2675"/>
    <w:rsid w:val="003B2B5F"/>
    <w:rsid w:val="003C1414"/>
    <w:rsid w:val="003C5849"/>
    <w:rsid w:val="003D1747"/>
    <w:rsid w:val="003F031F"/>
    <w:rsid w:val="003F0C1D"/>
    <w:rsid w:val="004026D1"/>
    <w:rsid w:val="00410978"/>
    <w:rsid w:val="00427BAA"/>
    <w:rsid w:val="00460D29"/>
    <w:rsid w:val="004840E8"/>
    <w:rsid w:val="00484B41"/>
    <w:rsid w:val="00492E31"/>
    <w:rsid w:val="004939F0"/>
    <w:rsid w:val="00497E7C"/>
    <w:rsid w:val="004A41F5"/>
    <w:rsid w:val="004C4530"/>
    <w:rsid w:val="004C7E20"/>
    <w:rsid w:val="00526309"/>
    <w:rsid w:val="00531E86"/>
    <w:rsid w:val="00532297"/>
    <w:rsid w:val="00564AAE"/>
    <w:rsid w:val="005F1CD4"/>
    <w:rsid w:val="00627725"/>
    <w:rsid w:val="006347FE"/>
    <w:rsid w:val="006518C7"/>
    <w:rsid w:val="006664B4"/>
    <w:rsid w:val="00666DB0"/>
    <w:rsid w:val="006723D7"/>
    <w:rsid w:val="006A28FC"/>
    <w:rsid w:val="006B285E"/>
    <w:rsid w:val="006F147D"/>
    <w:rsid w:val="00735787"/>
    <w:rsid w:val="007418D0"/>
    <w:rsid w:val="0074327D"/>
    <w:rsid w:val="007E0CE3"/>
    <w:rsid w:val="007F270B"/>
    <w:rsid w:val="007F4B0B"/>
    <w:rsid w:val="007F7970"/>
    <w:rsid w:val="00820B4A"/>
    <w:rsid w:val="008430B1"/>
    <w:rsid w:val="00843208"/>
    <w:rsid w:val="00845EDC"/>
    <w:rsid w:val="00890ADE"/>
    <w:rsid w:val="008A5709"/>
    <w:rsid w:val="008A5A7E"/>
    <w:rsid w:val="008B6989"/>
    <w:rsid w:val="008D3D1F"/>
    <w:rsid w:val="009027EA"/>
    <w:rsid w:val="0090572F"/>
    <w:rsid w:val="0097763F"/>
    <w:rsid w:val="00990F0A"/>
    <w:rsid w:val="00994221"/>
    <w:rsid w:val="009E0AEE"/>
    <w:rsid w:val="009E54F1"/>
    <w:rsid w:val="00A01D33"/>
    <w:rsid w:val="00A044B7"/>
    <w:rsid w:val="00A167D8"/>
    <w:rsid w:val="00A64F74"/>
    <w:rsid w:val="00A73EAF"/>
    <w:rsid w:val="00A946F4"/>
    <w:rsid w:val="00AC4A7F"/>
    <w:rsid w:val="00AC7B0B"/>
    <w:rsid w:val="00AD2759"/>
    <w:rsid w:val="00AD5761"/>
    <w:rsid w:val="00AD7C03"/>
    <w:rsid w:val="00B049CE"/>
    <w:rsid w:val="00B24847"/>
    <w:rsid w:val="00B37417"/>
    <w:rsid w:val="00B906DC"/>
    <w:rsid w:val="00BB0117"/>
    <w:rsid w:val="00BD4830"/>
    <w:rsid w:val="00C1211B"/>
    <w:rsid w:val="00C3061D"/>
    <w:rsid w:val="00C47A43"/>
    <w:rsid w:val="00C52778"/>
    <w:rsid w:val="00C81566"/>
    <w:rsid w:val="00C9172A"/>
    <w:rsid w:val="00C92F3B"/>
    <w:rsid w:val="00C93A99"/>
    <w:rsid w:val="00CA0DD8"/>
    <w:rsid w:val="00CC0C47"/>
    <w:rsid w:val="00CE0901"/>
    <w:rsid w:val="00CE25B5"/>
    <w:rsid w:val="00D057BA"/>
    <w:rsid w:val="00D0651F"/>
    <w:rsid w:val="00D25BA0"/>
    <w:rsid w:val="00D44A56"/>
    <w:rsid w:val="00D46D78"/>
    <w:rsid w:val="00D53626"/>
    <w:rsid w:val="00D66DAA"/>
    <w:rsid w:val="00D81127"/>
    <w:rsid w:val="00D81302"/>
    <w:rsid w:val="00D81BD7"/>
    <w:rsid w:val="00D83DC3"/>
    <w:rsid w:val="00DB645E"/>
    <w:rsid w:val="00DC406E"/>
    <w:rsid w:val="00DC4C7C"/>
    <w:rsid w:val="00DC5664"/>
    <w:rsid w:val="00DE3FF1"/>
    <w:rsid w:val="00E275E5"/>
    <w:rsid w:val="00E30C48"/>
    <w:rsid w:val="00E37FDF"/>
    <w:rsid w:val="00E46258"/>
    <w:rsid w:val="00E47D4C"/>
    <w:rsid w:val="00E54BA9"/>
    <w:rsid w:val="00E569C9"/>
    <w:rsid w:val="00E950D2"/>
    <w:rsid w:val="00EA7E78"/>
    <w:rsid w:val="00EC6496"/>
    <w:rsid w:val="00EF634A"/>
    <w:rsid w:val="00F43E4F"/>
    <w:rsid w:val="00F501A0"/>
    <w:rsid w:val="00F55586"/>
    <w:rsid w:val="00F67578"/>
    <w:rsid w:val="00F76A7D"/>
    <w:rsid w:val="00F76EE0"/>
    <w:rsid w:val="00F84E98"/>
    <w:rsid w:val="00F91591"/>
    <w:rsid w:val="00F960AD"/>
    <w:rsid w:val="00FB009C"/>
    <w:rsid w:val="00FD3031"/>
    <w:rsid w:val="00FE1191"/>
    <w:rsid w:val="0B6B4077"/>
    <w:rsid w:val="465160C2"/>
    <w:rsid w:val="49763089"/>
    <w:rsid w:val="4E3B72FE"/>
    <w:rsid w:val="4E74636C"/>
    <w:rsid w:val="58131839"/>
    <w:rsid w:val="63475A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A13E3A"/>
  <w15:docId w15:val="{972D8CC3-0E36-4705-A2E4-C06EC8D35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hAnsi="Courier New" w:cs="Courier New"/>
      <w:sz w:val="20"/>
      <w:szCs w:val="20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styleId="aa">
    <w:name w:val="Hyperlink"/>
    <w:basedOn w:val="a0"/>
    <w:uiPriority w:val="99"/>
    <w:unhideWhenUsed/>
    <w:rsid w:val="00FB009C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B00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2</Pages>
  <Words>480</Words>
  <Characters>583</Characters>
  <Application>Microsoft Office Word</Application>
  <DocSecurity>0</DocSecurity>
  <Lines>23</Lines>
  <Paragraphs>16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jialei guo</dc:creator>
  <cp:lastModifiedBy>a72552</cp:lastModifiedBy>
  <cp:revision>96</cp:revision>
  <dcterms:created xsi:type="dcterms:W3CDTF">2024-09-04T05:24:00Z</dcterms:created>
  <dcterms:modified xsi:type="dcterms:W3CDTF">2026-06-03T15:37:00Z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eyJoZGlkIjoiZGFiYTUwMTEzZDhhNDhhYmFmNDEwMzU2NzBmYWU1MDUiLCJ1c2VySWQiOiI2NzgxMjI0NTQifQ==</vt:lpwstr>
  </property>
  <property fmtid="{D5CDD505-2E9C-101B-9397-08002B2CF9AE}" pid="3" name="KSOProductBuildVer">
    <vt:lpwstr>2052-12.1.0.24657</vt:lpwstr>
  </property>
  <property fmtid="{D5CDD505-2E9C-101B-9397-08002B2CF9AE}" pid="4" name="ICV">
    <vt:lpwstr>7586FCAFAE0A4D05A6B228A7A5252CB8_12</vt:lpwstr>
  </property>
</Properties>
</file>