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代码助手企业选型分析"/>
    <w:p>
      <w:pPr>
        <w:pStyle w:val="Heading1"/>
      </w:pPr>
      <w:r>
        <w:rPr>
          <w:rFonts w:hint="eastAsia"/>
        </w:rPr>
        <w:t xml:space="preserve">代码助手企业选型分析</w:t>
      </w:r>
    </w:p>
    <w:p>
      <w:pPr>
        <w:pStyle w:val="BlockText"/>
      </w:pPr>
      <w:r>
        <w:rPr>
          <w:rFonts w:hint="eastAsia"/>
          <w:b/>
          <w:bCs/>
        </w:rPr>
        <w:t xml:space="preserve">截至</w:t>
      </w:r>
      <w:r>
        <w:rPr>
          <w:rFonts w:hint="eastAsia"/>
        </w:rPr>
        <w:t xml:space="preserve">：2026-04-29</w:t>
      </w:r>
      <w:r>
        <w:t xml:space="preserve"> </w:t>
      </w:r>
      <w:r>
        <w:rPr>
          <w:rFonts w:hint="eastAsia"/>
          <w:b/>
          <w:bCs/>
        </w:rPr>
        <w:t xml:space="preserve">目标读者</w:t>
      </w:r>
      <w:r>
        <w:rPr>
          <w:rFonts w:hint="eastAsia"/>
        </w:rPr>
        <w:t xml:space="preserve">：技术管理层</w:t>
      </w:r>
      <w:r>
        <w:t xml:space="preserve"> / </w:t>
      </w:r>
      <w:r>
        <w:rPr>
          <w:rFonts w:hint="eastAsia"/>
        </w:rPr>
        <w:t xml:space="preserve">产品经理</w:t>
      </w:r>
      <w:r>
        <w:t xml:space="preserve"> </w:t>
      </w:r>
      <w:r>
        <w:rPr>
          <w:rFonts w:hint="eastAsia"/>
          <w:b/>
          <w:bCs/>
        </w:rPr>
        <w:t xml:space="preserve">决策方案</w:t>
      </w:r>
      <w:r>
        <w:rPr>
          <w:rFonts w:hint="eastAsia"/>
        </w:rPr>
        <w:t xml:space="preserve">：B（按部门组合</w:t>
      </w:r>
      <w:r>
        <w:t xml:space="preserve"> 2~3 </w:t>
      </w:r>
      <w:r>
        <w:rPr>
          <w:rFonts w:hint="eastAsia"/>
        </w:rPr>
        <w:t xml:space="preserve">款工具）</w:t>
      </w:r>
    </w:p>
    <w:bookmarkStart w:id="9" w:name="速读"/>
    <w:p>
      <w:pPr>
        <w:pStyle w:val="Heading2"/>
      </w:pPr>
      <w:r>
        <w:rPr>
          <w:rFonts w:hint="eastAsia"/>
        </w:rPr>
        <w:t xml:space="preserve">速读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决策结论</w:t>
      </w:r>
      <w:r>
        <w:rPr>
          <w:rFonts w:hint="eastAsia"/>
        </w:rPr>
        <w:t xml:space="preserve">：建议采用”组合</w:t>
      </w:r>
      <w:r>
        <w:t xml:space="preserve"> A” — Copilot </w:t>
      </w:r>
      <w:r>
        <w:rPr>
          <w:rFonts w:hint="eastAsia"/>
        </w:rPr>
        <w:t xml:space="preserve">Enterprise（研发</w:t>
      </w:r>
      <w:r>
        <w:t xml:space="preserve"> / </w:t>
      </w:r>
      <w:r>
        <w:rPr>
          <w:rFonts w:hint="eastAsia"/>
        </w:rPr>
        <w:t xml:space="preserve">量化辅助</w:t>
      </w:r>
      <w:r>
        <w:t xml:space="preserve"> / </w:t>
      </w:r>
      <w:r>
        <w:rPr>
          <w:rFonts w:hint="eastAsia"/>
        </w:rPr>
        <w:t xml:space="preserve">算法备选）+</w:t>
      </w:r>
      <w:r>
        <w:t xml:space="preserve"> Gemini Code Assist </w:t>
      </w:r>
      <w:r>
        <w:rPr>
          <w:rFonts w:hint="eastAsia"/>
        </w:rPr>
        <w:t xml:space="preserve">Standard（EST</w:t>
      </w:r>
      <w:r>
        <w:t xml:space="preserve"> / PWM / </w:t>
      </w:r>
      <w:r>
        <w:rPr>
          <w:rFonts w:hint="eastAsia"/>
        </w:rPr>
        <w:t xml:space="preserve">业务</w:t>
      </w:r>
      <w:r>
        <w:t xml:space="preserve"> / PM / </w:t>
      </w:r>
      <w:r>
        <w:rPr>
          <w:rFonts w:hint="eastAsia"/>
        </w:rPr>
        <w:t xml:space="preserve">运营）+</w:t>
      </w:r>
      <w:r>
        <w:t xml:space="preserve"> Gemini Code Assist </w:t>
      </w:r>
      <w:r>
        <w:rPr>
          <w:rFonts w:hint="eastAsia"/>
        </w:rPr>
        <w:t xml:space="preserve">Enterprise（算法）+</w:t>
      </w:r>
      <w:r>
        <w:t xml:space="preserve"> AWS </w:t>
      </w:r>
      <w:r>
        <w:rPr>
          <w:rFonts w:hint="eastAsia"/>
        </w:rPr>
        <w:t xml:space="preserve">Kiro（限研发</w:t>
      </w:r>
      <w:r>
        <w:t xml:space="preserve"> spec-driven </w:t>
      </w:r>
      <w:r>
        <w:rPr>
          <w:rFonts w:hint="eastAsia"/>
        </w:rPr>
        <w:t xml:space="preserve">试点池，5~10</w:t>
      </w:r>
      <w:r>
        <w:t xml:space="preserve"> </w:t>
      </w:r>
      <w:r>
        <w:rPr>
          <w:rFonts w:hint="eastAsia"/>
        </w:rPr>
        <w:t xml:space="preserve">席位，3</w:t>
      </w:r>
      <w:r>
        <w:t xml:space="preserve"> </w:t>
      </w:r>
      <w:r>
        <w:rPr>
          <w:rFonts w:hint="eastAsia"/>
        </w:rPr>
        <w:t xml:space="preserve">个月评估）</w:t>
      </w:r>
    </w:p>
    <w:bookmarkEnd w:id="9"/>
    <w:bookmarkStart w:id="19" w:name="文件导航"/>
    <w:p>
      <w:pPr>
        <w:pStyle w:val="Heading2"/>
      </w:pPr>
      <w:r>
        <w:rPr>
          <w:rFonts w:hint="eastAsia"/>
        </w:rPr>
        <w:t xml:space="preserve">文件导航</w:t>
      </w:r>
    </w:p>
    <w:bookmarkStart w:id="11" w:name="主报告"/>
    <w:p>
      <w:pPr>
        <w:pStyle w:val="Heading3"/>
      </w:pPr>
      <w:r>
        <w:rPr>
          <w:rFonts w:hint="eastAsia"/>
        </w:rPr>
        <w:t xml:space="preserve">主报告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evaluation-report.md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主文档（第</w:t>
      </w:r>
      <w:r>
        <w:t xml:space="preserve"> 0 </w:t>
      </w:r>
      <w:r>
        <w:rPr>
          <w:rFonts w:hint="eastAsia"/>
        </w:rPr>
        <w:t xml:space="preserve">章</w:t>
      </w:r>
      <w:r>
        <w:t xml:space="preserve"> TL;DR /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章部门画像</w:t>
      </w:r>
      <w:r>
        <w:t xml:space="preserve"> /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章工具速览</w:t>
      </w:r>
      <w:r>
        <w:t xml:space="preserve"> /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章核心能力</w:t>
      </w:r>
      <w:r>
        <w:t xml:space="preserve"> /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章适配矩阵</w:t>
      </w:r>
      <w:r>
        <w:t xml:space="preserve"> /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章推荐组合</w:t>
      </w:r>
      <w:r>
        <w:t xml:space="preserve"> /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章风险路线图</w:t>
      </w:r>
      <w:r>
        <w:t xml:space="preserve"> /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章合规约束）</w:t>
      </w:r>
    </w:p>
    <w:bookmarkEnd w:id="11"/>
    <w:bookmarkStart w:id="15" w:name="附录"/>
    <w:p>
      <w:pPr>
        <w:pStyle w:val="Heading3"/>
      </w:pPr>
      <w:r>
        <w:rPr>
          <w:rFonts w:hint="eastAsia"/>
        </w:rPr>
        <w:t xml:space="preserve">附录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appendix/methodology.md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评测方法、评分口径、信息来源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appendix/vendor-terms.md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厂商企业版条款摘录与原文链接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appendix/benchmarks.md</w:t>
        </w:r>
      </w:hyperlink>
      <w:r>
        <w:t xml:space="preserve"> </w:t>
      </w:r>
      <w:r>
        <w:t xml:space="preserve">— Benchmark </w:t>
      </w:r>
      <w:r>
        <w:rPr>
          <w:rFonts w:hint="eastAsia"/>
        </w:rPr>
        <w:t xml:space="preserve">引用与口径说明</w:t>
      </w:r>
    </w:p>
    <w:bookmarkEnd w:id="15"/>
    <w:bookmarkStart w:id="18" w:name="设计与计划文档"/>
    <w:p>
      <w:pPr>
        <w:pStyle w:val="Heading3"/>
      </w:pPr>
      <w:r>
        <w:rPr>
          <w:rFonts w:hint="eastAsia"/>
        </w:rPr>
        <w:t xml:space="preserve">设计与计划文档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  <w:rFonts w:hint="eastAsia"/>
          </w:rPr>
          <w:t xml:space="preserve">设计稿（spec）</w:t>
        </w:r>
      </w:hyperlink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  <w:rFonts w:hint="eastAsia"/>
          </w:rPr>
          <w:t xml:space="preserve">实施计划（plan）</w:t>
        </w:r>
      </w:hyperlink>
    </w:p>
    <w:bookmarkEnd w:id="18"/>
    <w:bookmarkEnd w:id="19"/>
    <w:bookmarkStart w:id="20" w:name="阅读路径建议"/>
    <w:p>
      <w:pPr>
        <w:pStyle w:val="Heading2"/>
      </w:pPr>
      <w:r>
        <w:rPr>
          <w:rFonts w:hint="eastAsia"/>
        </w:rPr>
        <w:t xml:space="preserve">阅读路径建议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技术管理层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产品经理快读路径（30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：第</w:t>
      </w:r>
      <w:r>
        <w:t xml:space="preserve"> 0 </w:t>
      </w:r>
      <w:r>
        <w:rPr>
          <w:rFonts w:hint="eastAsia"/>
        </w:rPr>
        <w:t xml:space="preserve">章</w:t>
      </w:r>
      <w:r>
        <w:t xml:space="preserve"> TL;DR →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章部门画像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章适配矩阵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章推荐组合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章风险路线图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技术深度路径</w:t>
      </w:r>
      <w:r>
        <w:rPr>
          <w:rFonts w:hint="eastAsia"/>
        </w:rPr>
        <w:t xml:space="preserve">：第</w:t>
      </w:r>
      <w:r>
        <w:t xml:space="preserve"> 2 </w:t>
      </w:r>
      <w:r>
        <w:rPr>
          <w:rFonts w:hint="eastAsia"/>
        </w:rPr>
        <w:t xml:space="preserve">章工具速览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章核心能力对比（含</w:t>
      </w:r>
      <w:r>
        <w:t xml:space="preserve"> Claude Code </w:t>
      </w:r>
      <w:r>
        <w:rPr>
          <w:rFonts w:hint="eastAsia"/>
        </w:rPr>
        <w:t xml:space="preserve">基准对照）→</w:t>
      </w:r>
      <w:r>
        <w:t xml:space="preserve">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章合规约束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采购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合规对账路径</w:t>
      </w:r>
      <w:r>
        <w:rPr>
          <w:rFonts w:hint="eastAsia"/>
        </w:rPr>
        <w:t xml:space="preserve">：第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→ appendix/vendor-terms.md → </w:t>
      </w:r>
      <w:r>
        <w:rPr>
          <w:rFonts w:hint="eastAsia"/>
        </w:rPr>
        <w:t xml:space="preserve">第</w:t>
      </w:r>
      <w:r>
        <w:t xml:space="preserve"> 6.3 </w:t>
      </w:r>
      <w:r>
        <w:rPr>
          <w:rFonts w:hint="eastAsia"/>
        </w:rPr>
        <w:t xml:space="preserve">退出策略</w:t>
      </w:r>
    </w:p>
    <w:bookmarkEnd w:id="20"/>
    <w:bookmarkStart w:id="21" w:name="关键风险红线"/>
    <w:p>
      <w:pPr>
        <w:pStyle w:val="Heading2"/>
      </w:pPr>
      <w:r>
        <w:rPr>
          <w:rFonts w:hint="eastAsia"/>
        </w:rPr>
        <w:t xml:space="preserve">关键风险红线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大陆访问需走代理</w:t>
      </w:r>
      <w:r>
        <w:rPr>
          <w:rFonts w:hint="eastAsia"/>
        </w:rPr>
        <w:t xml:space="preserve">：三款均无大陆区，所有流量出境到海外厂商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核心资产规避</w:t>
      </w:r>
      <w:r>
        <w:rPr>
          <w:b/>
          <w:bCs/>
        </w:rPr>
        <w:t xml:space="preserve"> SaaS prompt</w:t>
      </w:r>
      <w:r>
        <w:rPr>
          <w:rFonts w:hint="eastAsia"/>
        </w:rPr>
        <w:t xml:space="preserve">：量化策略代码</w:t>
      </w:r>
      <w:r>
        <w:t xml:space="preserve"> / EST </w:t>
      </w:r>
      <w:r>
        <w:rPr>
          <w:rFonts w:hint="eastAsia"/>
        </w:rPr>
        <w:t xml:space="preserve">客户订单</w:t>
      </w:r>
      <w:r>
        <w:t xml:space="preserve"> / PWM </w:t>
      </w:r>
      <w:r>
        <w:rPr>
          <w:rFonts w:hint="eastAsia"/>
        </w:rPr>
        <w:t xml:space="preserve">客户画像不进</w:t>
      </w:r>
      <w:r>
        <w:t xml:space="preserve"> prompt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Kiro </w:t>
      </w:r>
      <w:r>
        <w:rPr>
          <w:rFonts w:hint="eastAsia"/>
          <w:b/>
          <w:bCs/>
        </w:rPr>
        <w:t xml:space="preserve">限试点池</w:t>
      </w:r>
      <w:r>
        <w:rPr>
          <w:rFonts w:hint="eastAsia"/>
        </w:rPr>
        <w:t xml:space="preserve">：GA</w:t>
      </w:r>
      <w:r>
        <w:t xml:space="preserve"> </w:t>
      </w:r>
      <w:r>
        <w:rPr>
          <w:rFonts w:hint="eastAsia"/>
        </w:rPr>
        <w:t xml:space="preserve">仅</w:t>
      </w:r>
      <w:r>
        <w:t xml:space="preserve"> 5 </w:t>
      </w:r>
      <w:r>
        <w:rPr>
          <w:rFonts w:hint="eastAsia"/>
        </w:rPr>
        <w:t xml:space="preserve">个月，不作主力</w:t>
      </w:r>
    </w:p>
    <w:bookmarkEnd w:id="21"/>
    <w:bookmarkStart w:id="22" w:name="时效性"/>
    <w:p>
      <w:pPr>
        <w:pStyle w:val="Heading2"/>
      </w:pPr>
      <w:r>
        <w:rPr>
          <w:rFonts w:hint="eastAsia"/>
        </w:rPr>
        <w:t xml:space="preserve">时效性</w:t>
      </w:r>
    </w:p>
    <w:p>
      <w:pPr>
        <w:pStyle w:val="FirstParagraph"/>
      </w:pPr>
      <w:r>
        <w:rPr>
          <w:rFonts w:hint="eastAsia"/>
        </w:rPr>
        <w:t xml:space="preserve">三款工具均为快速迭代产品（特别是</w:t>
      </w:r>
      <w:r>
        <w:t xml:space="preserve"> AWS Kiro </w:t>
      </w:r>
      <w:r>
        <w:rPr>
          <w:rFonts w:hint="eastAsia"/>
        </w:rPr>
        <w:t xml:space="preserve">自</w:t>
      </w:r>
      <w:r>
        <w:t xml:space="preserve"> 2025-11-17 GA </w:t>
      </w:r>
      <w:r>
        <w:rPr>
          <w:rFonts w:hint="eastAsia"/>
        </w:rPr>
        <w:t xml:space="preserve">仅约</w:t>
      </w:r>
      <w:r>
        <w:t xml:space="preserve"> 5 </w:t>
      </w:r>
      <w:r>
        <w:rPr>
          <w:rFonts w:hint="eastAsia"/>
        </w:rPr>
        <w:t xml:space="preserve">个月）。</w:t>
      </w:r>
      <w:r>
        <w:rPr>
          <w:rFonts w:hint="eastAsia"/>
          <w:b/>
          <w:bCs/>
        </w:rPr>
        <w:t xml:space="preserve">建议每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个月复审</w:t>
      </w:r>
      <w:r>
        <w:rPr>
          <w:rFonts w:hint="eastAsia"/>
        </w:rPr>
        <w:t xml:space="preserve">，关注：</w:t>
      </w:r>
      <w:r>
        <w:t xml:space="preserve"> </w:t>
      </w:r>
      <w:r>
        <w:t xml:space="preserve">- MCP </w:t>
      </w:r>
      <w:r>
        <w:rPr>
          <w:rFonts w:hint="eastAsia"/>
        </w:rPr>
        <w:t xml:space="preserve">生态在三款候选中的演进</w:t>
      </w:r>
      <w:r>
        <w:t xml:space="preserve"> </w:t>
      </w:r>
      <w:r>
        <w:t xml:space="preserve">- AWS Kiro </w:t>
      </w:r>
      <w:r>
        <w:rPr>
          <w:rFonts w:hint="eastAsia"/>
        </w:rPr>
        <w:t xml:space="preserve">的成熟度演进（GA</w:t>
      </w:r>
      <w:r>
        <w:t xml:space="preserve"> </w:t>
      </w:r>
      <w:r>
        <w:rPr>
          <w:rFonts w:hint="eastAsia"/>
        </w:rPr>
        <w:t xml:space="preserve">满</w:t>
      </w:r>
      <w:r>
        <w:t xml:space="preserve"> 1 </w:t>
      </w:r>
      <w:r>
        <w:rPr>
          <w:rFonts w:hint="eastAsia"/>
        </w:rPr>
        <w:t xml:space="preserve">年时再评）</w:t>
      </w:r>
      <w:r>
        <w:t xml:space="preserve"> </w:t>
      </w:r>
      <w:r>
        <w:t xml:space="preserve">- Anthropic / OpenAI </w:t>
      </w:r>
      <w:r>
        <w:rPr>
          <w:rFonts w:hint="eastAsia"/>
        </w:rPr>
        <w:t xml:space="preserve">是否进入中国大陆采购可能（如能，可考虑接入公司内部</w:t>
      </w:r>
      <w:r>
        <w:t xml:space="preserve"> RAG </w:t>
      </w:r>
      <w:r>
        <w:rPr>
          <w:rFonts w:hint="eastAsia"/>
        </w:rPr>
        <w:t xml:space="preserve">形成自建+商业混合方案）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superpowers/plans/2026-04-29-coding-assistant-evaluation.md" TargetMode="External" /><Relationship Type="http://schemas.openxmlformats.org/officeDocument/2006/relationships/hyperlink" Id="rId16" Target="../superpowers/specs/2026-04-29-coding-assistant-evaluation-design.md" TargetMode="External" /><Relationship Type="http://schemas.openxmlformats.org/officeDocument/2006/relationships/hyperlink" Id="rId10" Target="2026-04-29-evaluation-report.md" TargetMode="External" /><Relationship Type="http://schemas.openxmlformats.org/officeDocument/2006/relationships/hyperlink" Id="rId14" Target="appendix/benchmarks.md" TargetMode="External" /><Relationship Type="http://schemas.openxmlformats.org/officeDocument/2006/relationships/hyperlink" Id="rId12" Target="appendix/methodology.md" TargetMode="External" /><Relationship Type="http://schemas.openxmlformats.org/officeDocument/2006/relationships/hyperlink" Id="rId13" Target="appendix/vendor-term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superpowers/plans/2026-04-29-coding-assistant-evaluation.md" TargetMode="External" /><Relationship Type="http://schemas.openxmlformats.org/officeDocument/2006/relationships/hyperlink" Id="rId16" Target="../superpowers/specs/2026-04-29-coding-assistant-evaluation-design.md" TargetMode="External" /><Relationship Type="http://schemas.openxmlformats.org/officeDocument/2006/relationships/hyperlink" Id="rId10" Target="2026-04-29-evaluation-report.md" TargetMode="External" /><Relationship Type="http://schemas.openxmlformats.org/officeDocument/2006/relationships/hyperlink" Id="rId14" Target="appendix/benchmarks.md" TargetMode="External" /><Relationship Type="http://schemas.openxmlformats.org/officeDocument/2006/relationships/hyperlink" Id="rId12" Target="appendix/methodology.md" TargetMode="External" /><Relationship Type="http://schemas.openxmlformats.org/officeDocument/2006/relationships/hyperlink" Id="rId13" Target="appendix/vendor-term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2026-04-30T09:11:07Z</dcterms:created>
  <dcterms:modified xsi:type="dcterms:W3CDTF">2026-04-30T09:11:07Z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