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C73" w:rsidRDefault="00F0337E" w:rsidP="002410ED">
      <w:pPr>
        <w:jc w:val="center"/>
      </w:pPr>
      <w:r>
        <w:t>Built Environment Neighborhood Affects</w:t>
      </w:r>
    </w:p>
    <w:p w:rsidR="002410ED" w:rsidRDefault="002410ED" w:rsidP="002410ED">
      <w:r>
        <w:t>Background/Motivation</w:t>
      </w:r>
    </w:p>
    <w:p w:rsidR="00AD4A13" w:rsidRDefault="00AD4A13" w:rsidP="002410ED">
      <w:r>
        <w:t xml:space="preserve">This research is part of a larger research project for the </w:t>
      </w:r>
      <w:r w:rsidRPr="00AD4A13">
        <w:t>Pennsylvania Infrastructure Technology Alliance</w:t>
      </w:r>
      <w:r>
        <w:t xml:space="preserve">. The point of the overall project is to provide a holistic framework for prioritizing investments in bridge lifting. The project will provide the Pennsylvania Department of Transportation (PennDOT) with a model that will not only incorporate the usual technical and </w:t>
      </w:r>
      <w:r w:rsidR="00DB7284">
        <w:t>economic</w:t>
      </w:r>
      <w:r>
        <w:t xml:space="preserve"> costs but also inconvenience costs and community opportunity costs. </w:t>
      </w:r>
      <w:r w:rsidR="00DB7284">
        <w:fldChar w:fldCharType="begin"/>
      </w:r>
      <w:r w:rsidR="00DB7284">
        <w:instrText xml:space="preserve"> ADDIN ZOTERO_ITEM CSL_CITATION {"citationID":"Ada6TuVm","properties":{"formattedCitation":"(Akinci, Armanios, &amp; Qian, 2016)","plainCitation":"(Akinci, Armanios, &amp; Qian, 2016)","noteIndex":0},"citationItems":[{"id":688,"uris":["http://zotero.org/users/local/b8DOsDUe/items/4NKYGLP4"],"uri":["http://zotero.org/users/local/b8DOsDUe/items/4NKYGLP4"],"itemData":{"id":688,"type":"article","title":"A Holistic Framework for Prioritizing Investments in Bridge Lifting","note":"00000","author":[{"family":"Akinci","given":"Burcu"},{"family":"Armanios","given":"Daniel"},{"family":"Qian","given":"Zhen (Sean)"}],"issued":{"date-parts":[["2016"]]}}}],"schema":"https://github.com/citation-style-language/schema/raw/master/csl-citation.json"} </w:instrText>
      </w:r>
      <w:r w:rsidR="00DB7284">
        <w:fldChar w:fldCharType="separate"/>
      </w:r>
      <w:r w:rsidR="00DB7284" w:rsidRPr="00DB7284">
        <w:rPr>
          <w:rFonts w:ascii="Calibri" w:hAnsi="Calibri" w:cs="Calibri"/>
        </w:rPr>
        <w:t>(Akinci, Armanios, &amp; Qian, 2016)</w:t>
      </w:r>
      <w:r w:rsidR="00DB7284">
        <w:fldChar w:fldCharType="end"/>
      </w:r>
      <w:r w:rsidR="00DB7284">
        <w:t xml:space="preserve"> Th</w:t>
      </w:r>
      <w:r w:rsidR="00F0337E">
        <w:t>e</w:t>
      </w:r>
      <w:r w:rsidR="00DB7284">
        <w:t xml:space="preserve"> project</w:t>
      </w:r>
      <w:r w:rsidR="00F0337E">
        <w:t xml:space="preserve"> for this class</w:t>
      </w:r>
      <w:r w:rsidR="00DB7284">
        <w:t xml:space="preserve"> is the first step in identifying how bridge height affects the local populace.</w:t>
      </w:r>
    </w:p>
    <w:p w:rsidR="002410ED" w:rsidRDefault="002410ED" w:rsidP="002410ED">
      <w:r w:rsidRPr="00EE7F88">
        <w:t xml:space="preserve">If socioeconomic equity factors are included in infrastructure </w:t>
      </w:r>
      <w:r w:rsidR="001E1E93">
        <w:t xml:space="preserve">construction and </w:t>
      </w:r>
      <w:r w:rsidRPr="00EE7F88">
        <w:t>maintenance prioritization calculations, does it change the outcome? Are low bridges barriers to mobility and equity? Environmental Justice and social justice theories make compelling cases for consideration of socioeconomic factors when building and maintaining infrastructure to not perpetuate injustices to the poor and marginalized</w:t>
      </w:r>
      <w:r>
        <w:t>.</w:t>
      </w:r>
      <w:r w:rsidRPr="00EE7F88">
        <w:t xml:space="preserve"> However, up to this point, </w:t>
      </w:r>
      <w:r>
        <w:t xml:space="preserve">researchers have presented </w:t>
      </w:r>
      <w:r w:rsidRPr="00EE7F88">
        <w:t xml:space="preserve">problems but </w:t>
      </w:r>
      <w:r>
        <w:t xml:space="preserve">have </w:t>
      </w:r>
      <w:r w:rsidRPr="00EE7F88">
        <w:t>not pose</w:t>
      </w:r>
      <w:r>
        <w:t>d</w:t>
      </w:r>
      <w:r w:rsidRPr="00EE7F88">
        <w:t xml:space="preserve"> how these factors can be incorporated into engineering solutions</w:t>
      </w:r>
      <w:r>
        <w:t>. V</w:t>
      </w:r>
      <w:r w:rsidRPr="00EE7F88">
        <w:t>ery little has been done to advise government agencies on how to improve the situation.</w:t>
      </w:r>
    </w:p>
    <w:p w:rsidR="002410ED" w:rsidRDefault="001E1E93" w:rsidP="002410ED">
      <w:r w:rsidRPr="001E1E93">
        <w:t>Star discusse</w:t>
      </w:r>
      <w:r w:rsidR="00DB7284">
        <w:t xml:space="preserve">d </w:t>
      </w:r>
      <w:r w:rsidRPr="001E1E93">
        <w:t xml:space="preserve">the built environment and the ways in which it may inadvertently be a hindrance to some groups. Infrastructure can be a boon to one group but an obstacle to others. Infrastructure becomes inseparable from the tools, rules and politics of the system that built it. </w:t>
      </w:r>
      <w:r>
        <w:fldChar w:fldCharType="begin"/>
      </w:r>
      <w:r>
        <w:instrText xml:space="preserve"> ADDIN ZOTERO_ITEM CSL_CITATION {"citationID":"0IugVvx4","properties":{"formattedCitation":"(Star, 1999)","plainCitation":"(Star, 1999)","noteIndex":0},"citationItems":[{"id":191,"uris":["http://zotero.org/users/local/b8DOsDUe/items/UFW5ERB7"],"uri":["http://zotero.org/users/local/b8DOsDUe/items/UFW5ERB7"],"itemData":{"id":191,"type":"article-journal","title":"The Ethnography of Infrastructure","container-title":"American Behavioral Scientist","page":"377-391","volume":"43","issue":"3","source":"CrossRef","abstract":"This article asks methodological questions about studying infrastructure with some of the\ntools and perspectives of ethnography. Infrastructure is both relational and ecological-it\nmeans different things to different groups and it is part of the balance of action, tools, and the\nbuilt environment, inseparable from them. It also is frequently mundane to the point of boredom,\ninvolving things such as plugs, standards, and bureaucratic forms. Some of the difficulties\nof studying infrastructure are how to scale up from traditional ethnographic sites, how to\nmanage large quantities of data such as those produced by transaction logs, and how to\nunderstand the interplay of online and ojfiine behavior. Some of the tricks of the trade\ninvolved in meeting these challenges include studying the design of infrastructure, understanding\nthe paradoxes o,f infrastructure as both transparent and opaque, including invisible\nwork in the ecological analysis, and pinpointing the epistemological status of indictors.","URL":"http://journals.sagepub.com/doi/10.1177/00027649921955326","DOI":"10.1177/00027649921955326","ISSN":"0002-7642, 1552-3381","language":"en","author":[{"family":"Star","given":"Susan Leigh"}],"issued":{"date-parts":[["1999",11]]},"accessed":{"date-parts":[["2018",3,13]]}}}],"schema":"https://github.com/citation-style-language/schema/raw/master/csl-citation.json"} </w:instrText>
      </w:r>
      <w:r>
        <w:fldChar w:fldCharType="separate"/>
      </w:r>
      <w:r w:rsidRPr="001E1E93">
        <w:rPr>
          <w:rFonts w:ascii="Calibri" w:hAnsi="Calibri" w:cs="Calibri"/>
        </w:rPr>
        <w:t>(Star, 1999)</w:t>
      </w:r>
      <w:r>
        <w:fldChar w:fldCharType="end"/>
      </w:r>
      <w:r>
        <w:t xml:space="preserve"> As such i</w:t>
      </w:r>
      <w:r w:rsidR="002410ED" w:rsidRPr="00EE7F88">
        <w:t xml:space="preserve">nfrastructure </w:t>
      </w:r>
      <w:r>
        <w:t>can be thought of as</w:t>
      </w:r>
      <w:r w:rsidR="002410ED" w:rsidRPr="00EE7F88">
        <w:t xml:space="preserve"> a de facto means of implementing policy to modify human behavior. </w:t>
      </w:r>
      <w:r w:rsidR="00DB7284" w:rsidRPr="00EE7F88">
        <w:t>If the policy is intentional, the effects on the local populace is real and if not planned carefully, can have negative effects on the poor and marginalized.</w:t>
      </w:r>
      <w:r w:rsidR="00DB7284">
        <w:t xml:space="preserve"> </w:t>
      </w:r>
      <w:r>
        <w:t>Schindler</w:t>
      </w:r>
      <w:r w:rsidR="00B735C8" w:rsidRPr="00B735C8">
        <w:t xml:space="preserve"> performed a “legal review” and found that discrimination and segregation can be accomplished through physical design and the built environment. She contends that the built environment is rarely even recognized as a form of regulation. </w:t>
      </w:r>
      <w:r>
        <w:fldChar w:fldCharType="begin"/>
      </w:r>
      <w:r>
        <w:instrText xml:space="preserve"> ADDIN ZOTERO_ITEM CSL_CITATION {"citationID":"BrhrHGEX","properties":{"formattedCitation":"(Schindler, 2015)","plainCitation":"(Schindler, 2015)","noteIndex":0},"citationItems":[{"id":436,"uris":["http://zotero.org/users/local/b8DOsDUe/items/FP8KCNJM"],"uri":["http://zotero.org/users/local/b8DOsDUe/items/FP8KCNJM"],"itemData":{"id":436,"type":"article-journal","title":"Architectural Exclusion: Discrimination and Segregation Through Physical Design of the Built Environment","container-title":"The Yale Law Journal","page":"1934-2024","issue":"124","abstract":"The built environment is characterized by man-made physical features that\nmake it difficult for certain individuals—often poor people and people of color—to access certain\nplaces. Bridges were designed to be so low that buses could not pass under them in order to prevent\npeople of color from accessing a public beach. Walls, fences, and highways separate historically\nwhite neighborhoods from historically black ones. Wealthy communities have declined to\nbe served by public transit so as to make it difficult for individuals from poorer areas to access\ntheir neighborhoods.\nAlthough the law has addressed the exclusionary impacts of racially restrictive covenants\nand zoning ordinances, most legal scholars, courts, and legislatures have given little attention to\nthe use of these less obvious exclusionary urban design tactics. Street grid layouts, one-way\nstreets, the absence of sidewalks and crosswalks, and other design elements can shape the demographics\nof a city and isolate a neighborhood from those surrounding it. In this way, the exclusionary\nbuilt environment—the architecture of a place—functions as a form of regulation; it\nconstrains the behavior of those who interact with it, often without their even realizing it. This\nArticle suggests that there are two primary reasons that we fail to consider discriminatory exclusion\nthrough architecture in the same way that we consider functionally similar exclusion\nthrough law. First, potential challengers, courts, and lawmakers often fail to recognize architecture\nas a form of regulation at all, viewing it instead as functional, innocuous, and prepolitical.\nSecond, even if decision makers and those who are excluded recognize architecture’s regulatory\npower, existing jurisprudence is insufficient to address its harms.","note":"00000","language":"English","author":[{"family":"Schindler","given":"Sarah"}],"issued":{"date-parts":[["2015"]]}}}],"schema":"https://github.com/citation-style-language/schema/raw/master/csl-citation.json"} </w:instrText>
      </w:r>
      <w:r>
        <w:fldChar w:fldCharType="separate"/>
      </w:r>
      <w:r w:rsidRPr="001E1E93">
        <w:rPr>
          <w:rFonts w:ascii="Calibri" w:hAnsi="Calibri" w:cs="Calibri"/>
        </w:rPr>
        <w:t>(Schindler, 2015)</w:t>
      </w:r>
      <w:r>
        <w:fldChar w:fldCharType="end"/>
      </w:r>
      <w:r>
        <w:t xml:space="preserve"> </w:t>
      </w:r>
      <w:r w:rsidR="002410ED" w:rsidRPr="00EE7F88">
        <w:t xml:space="preserve">This form of policy is largely ignored and not subject to the same breadth and depth of public and government review.  </w:t>
      </w:r>
      <w:r w:rsidR="00B735C8" w:rsidRPr="00B735C8">
        <w:t xml:space="preserve">Grabowski, et al, make a case for why infrastructure is a socio-eco-technical system which requires greater interdisciplinarity to overcome and rectify negative consequences to the poor and marginalized. </w:t>
      </w:r>
      <w:r w:rsidR="00B735C8">
        <w:fldChar w:fldCharType="begin"/>
      </w:r>
      <w:r w:rsidR="00B735C8">
        <w:instrText xml:space="preserve"> ADDIN ZOTERO_ITEM CSL_CITATION {"citationID":"hijFl1Xc","properties":{"formattedCitation":"(Grabowski et al., 2017)","plainCitation":"(Grabowski et al., 2017)","noteIndex":0},"citationItems":[{"id":160,"uris":["http://zotero.org/users/local/b8DOsDUe/items/ILMK63BR"],"uri":["http://zotero.org/users/local/b8DOsDUe/items/ILMK63BR"],"itemData":{"id":160,"type":"article-journal","title":"Infrastructures as Socio-Eco-Technical Systems: Five Considerations for Interdisciplinary Dialogue","container-title":"Journal of Infrastructure Systems","page":"02517002","volume":"23","issue":"4","source":"CrossRef","URL":"http://ascelibrary.org/doi/10.1061/%28ASCE%29IS.1943-555X.0000383","DOI":"10.1061/(ASCE)IS.1943-555X.0000383","ISSN":"1076-0342, 1943-555X","shortTitle":"Infrastructures as Socio-Eco-Technical Systems","language":"en","author":[{"family":"Grabowski","given":"Z. J."},{"family":"Matsler","given":"A. M."},{"family":"Thiel","given":"C."},{"family":"McPhillips","given":"L."},{"family":"Hum","given":"R."},{"family":"Bradshaw","given":"A."},{"family":"Miller","given":"T."},{"family":"Redman","given":"C."}],"issued":{"date-parts":[["2017",12]]},"accessed":{"date-parts":[["2018",3,13]]}}}],"schema":"https://github.com/citation-style-language/schema/raw/master/csl-citation.json"} </w:instrText>
      </w:r>
      <w:r w:rsidR="00B735C8">
        <w:fldChar w:fldCharType="separate"/>
      </w:r>
      <w:r w:rsidR="00B735C8" w:rsidRPr="00B735C8">
        <w:rPr>
          <w:rFonts w:ascii="Calibri" w:hAnsi="Calibri" w:cs="Calibri"/>
        </w:rPr>
        <w:t>(Grabowski et al., 2017)</w:t>
      </w:r>
      <w:r w:rsidR="00B735C8">
        <w:fldChar w:fldCharType="end"/>
      </w:r>
      <w:r w:rsidR="00B735C8">
        <w:t xml:space="preserve"> </w:t>
      </w:r>
      <w:r w:rsidR="002410ED" w:rsidRPr="00EE7F88">
        <w:t xml:space="preserve">This research will help to start to inform </w:t>
      </w:r>
      <w:r w:rsidR="00DB7284">
        <w:t>PennDOT</w:t>
      </w:r>
      <w:r w:rsidR="002410ED" w:rsidRPr="00EE7F88">
        <w:t xml:space="preserve"> on what factors should be considered </w:t>
      </w:r>
      <w:proofErr w:type="gramStart"/>
      <w:r w:rsidR="002410ED" w:rsidRPr="00EE7F88">
        <w:t>in order to</w:t>
      </w:r>
      <w:proofErr w:type="gramEnd"/>
      <w:r w:rsidR="002410ED" w:rsidRPr="00EE7F88">
        <w:t xml:space="preserve"> more equitably plan bridge </w:t>
      </w:r>
      <w:r w:rsidR="002410ED">
        <w:t xml:space="preserve">construction and </w:t>
      </w:r>
      <w:r w:rsidR="002410ED" w:rsidRPr="00EE7F88">
        <w:t>maintenance</w:t>
      </w:r>
      <w:r w:rsidR="002410ED">
        <w:t>.</w:t>
      </w:r>
    </w:p>
    <w:p w:rsidR="00295FDB" w:rsidRDefault="00A153D5">
      <w:r>
        <w:t>Section 1: Data Description</w:t>
      </w:r>
    </w:p>
    <w:p w:rsidR="00EE7F88" w:rsidRDefault="002410ED">
      <w:r>
        <w:t xml:space="preserve">We have access to the </w:t>
      </w:r>
      <w:r w:rsidR="00EE7F88" w:rsidRPr="00EE7F88">
        <w:t xml:space="preserve">PennDOT Bridge Management System version 2 (BMS2) database and </w:t>
      </w:r>
      <w:r w:rsidR="001E1E93">
        <w:t xml:space="preserve">the </w:t>
      </w:r>
      <w:r w:rsidR="00EE7F88" w:rsidRPr="00EE7F88">
        <w:t xml:space="preserve">Neighborhood Change Database (normalized </w:t>
      </w:r>
      <w:r w:rsidR="001E1E93">
        <w:t xml:space="preserve">to 2010 tract </w:t>
      </w:r>
      <w:r w:rsidR="00EE7F88" w:rsidRPr="00EE7F88">
        <w:t xml:space="preserve">census and American Community Survey (ACS) </w:t>
      </w:r>
      <w:r w:rsidR="001E1E93">
        <w:t xml:space="preserve">panelized </w:t>
      </w:r>
      <w:r w:rsidR="00EE7F88" w:rsidRPr="00EE7F88">
        <w:t xml:space="preserve">data </w:t>
      </w:r>
      <w:r w:rsidR="001E1E93">
        <w:t xml:space="preserve">from 1970-2010 </w:t>
      </w:r>
      <w:r w:rsidR="00EE7F88" w:rsidRPr="00EE7F88">
        <w:t>at the census tract spatial resolution).</w:t>
      </w:r>
      <w:r w:rsidR="00F0337E">
        <w:t xml:space="preserve"> This “normalization” remapped smaller sub-tract units in previous years to the tract boundaries extant in 2010.</w:t>
      </w:r>
      <w:r w:rsidR="008B20C1">
        <w:t xml:space="preserve"> </w:t>
      </w:r>
      <w:r w:rsidR="008B20C1">
        <w:fldChar w:fldCharType="begin"/>
      </w:r>
      <w:r w:rsidR="008B20C1">
        <w:instrText xml:space="preserve"> ADDIN ZOTERO_ITEM CSL_CITATION {"citationID":"DnXIsebc","properties":{"formattedCitation":"(\\uc0\\u8220{}GeoLytics - US Census demographic and GIS data products,\\uc0\\u8221{} 2018)","plainCitation":"(“GeoLytics - US Census demographic and GIS data products,” 2018)","noteIndex":0},"citationItems":[{"id":684,"uris":["http://zotero.org/users/local/b8DOsDUe/items/6TX3ZEMS"],"uri":["http://zotero.org/users/local/b8DOsDUe/items/6TX3ZEMS"],"itemData":{"id":684,"type":"webpage","title":"GeoLytics - US Census demographic and GIS data products","URL":"http://www.geolytics.com/USCensus,Neighborhood-Change-Database-1970-2000,Products.asp","note":"00000","issued":{"date-parts":[["2018"]]},"accessed":{"date-parts":[["2018",4,22]]}}}],"schema":"https://github.com/citation-style-language/schema/raw/master/csl-citation.json"} </w:instrText>
      </w:r>
      <w:r w:rsidR="008B20C1">
        <w:fldChar w:fldCharType="separate"/>
      </w:r>
      <w:r w:rsidR="008B20C1" w:rsidRPr="008B20C1">
        <w:rPr>
          <w:rFonts w:ascii="Calibri" w:hAnsi="Calibri" w:cs="Calibri"/>
          <w:szCs w:val="24"/>
        </w:rPr>
        <w:t>(“GeoLytics - US Census demographic and GIS data products,” 2018)</w:t>
      </w:r>
      <w:r w:rsidR="008B20C1">
        <w:fldChar w:fldCharType="end"/>
      </w:r>
      <w:r w:rsidR="00F0337E">
        <w:t xml:space="preserve"> I have compiled a data dictionary of the census data I plan to use which can be seen in the Appendix. I have not yet determined which data from BMS2 is pertinent, but I will also attach a data dictionary for BMS2.</w:t>
      </w:r>
    </w:p>
    <w:p w:rsidR="00A153D5" w:rsidRDefault="00A153D5">
      <w:r>
        <w:t>Section 2: Planned Analyses</w:t>
      </w:r>
    </w:p>
    <w:p w:rsidR="001E1E93" w:rsidRDefault="001E1E93" w:rsidP="001E1E93">
      <w:r>
        <w:t xml:space="preserve">My plan is </w:t>
      </w:r>
      <w:r w:rsidRPr="00EE7F88">
        <w:t>to use regression analysis to discover correlation and possibly causation of socioeconomic fac</w:t>
      </w:r>
      <w:r>
        <w:t>tors affected by bridge height</w:t>
      </w:r>
      <w:r w:rsidRPr="00EE7F88">
        <w:t xml:space="preserve">. </w:t>
      </w:r>
      <w:r>
        <w:t>This will inform additional steps of analysis to aid PennDOT decision making processes.</w:t>
      </w:r>
      <w:r w:rsidR="00484904">
        <w:t xml:space="preserve"> I plan to perform a difference in difference regression for bridges constructed after </w:t>
      </w:r>
      <w:r w:rsidR="00484904">
        <w:lastRenderedPageBreak/>
        <w:t xml:space="preserve">1980 but prior to 2000. Due to our panel constraints, this will allow us to have at least two data points prior to and another two data points after construction. The bridge construction year will act as the </w:t>
      </w:r>
      <w:r w:rsidR="00B63A5D">
        <w:t>treatment year. Tracts with under-height bridges (&lt; 14’ clearance) will be compared to similar tracts without under-height bridges.</w:t>
      </w:r>
    </w:p>
    <w:p w:rsidR="00752B6E" w:rsidRDefault="00752B6E">
      <w:r>
        <w:t xml:space="preserve">Hypothesis 1: </w:t>
      </w:r>
      <w:r w:rsidR="00EE7F88" w:rsidRPr="00EE7F88">
        <w:t>I hypothesize that bridge</w:t>
      </w:r>
      <w:r w:rsidR="001E1E93">
        <w:t xml:space="preserve"> height</w:t>
      </w:r>
      <w:r w:rsidR="00EE7F88" w:rsidRPr="00EE7F88">
        <w:t xml:space="preserve"> will be found to have a</w:t>
      </w:r>
      <w:r>
        <w:t xml:space="preserve"> more</w:t>
      </w:r>
      <w:r w:rsidR="00EE7F88" w:rsidRPr="00EE7F88">
        <w:t xml:space="preserve"> significant effect on marginalized groups</w:t>
      </w:r>
      <w:r>
        <w:t xml:space="preserve"> than the general population</w:t>
      </w:r>
      <w:r w:rsidR="001E1E93">
        <w:t xml:space="preserve">. These effects may be observed by changes to factors such as minority density in a tract, commute times and modes, </w:t>
      </w:r>
      <w:r>
        <w:t xml:space="preserve">household income, education attainment, poverty density in a tract, and occupation of housing units within a tract. </w:t>
      </w:r>
    </w:p>
    <w:p w:rsidR="00EE7F88" w:rsidRDefault="00752B6E">
      <w:r>
        <w:t xml:space="preserve">Hypothesis 1a: I hypothesize that the more under-height bridges in a tract, the more negatively impacted those tracts will be in the previously mentioned factors. </w:t>
      </w:r>
    </w:p>
    <w:p w:rsidR="00752B6E" w:rsidRDefault="00752B6E">
      <w:r>
        <w:t xml:space="preserve">Hypothesis 1b: I hypothesize that the more under-height border bridges (bridges within 100m of multiple tracts) will serve as a boundary that will produce divergences in the </w:t>
      </w:r>
      <w:proofErr w:type="gramStart"/>
      <w:r>
        <w:t>aforementioned factors</w:t>
      </w:r>
      <w:proofErr w:type="gramEnd"/>
      <w:r>
        <w:t xml:space="preserve"> where one tract will do worse while a bordering tract will do better.</w:t>
      </w:r>
    </w:p>
    <w:p w:rsidR="00752B6E" w:rsidRDefault="00752B6E">
      <w:r>
        <w:t>Hypothesis 2: There will be no significant effect of under-height bridges on tracts and some other omitted variable will have more explanatory power for inequalities</w:t>
      </w:r>
      <w:r w:rsidR="00484904">
        <w:t>.</w:t>
      </w:r>
      <w:r>
        <w:t xml:space="preserve"> </w:t>
      </w:r>
    </w:p>
    <w:p w:rsidR="00B63A5D" w:rsidRDefault="00B63A5D">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1123</wp:posOffset>
            </wp:positionV>
            <wp:extent cx="5939790" cy="2969895"/>
            <wp:effectExtent l="0" t="0" r="3810" b="1905"/>
            <wp:wrapTopAndBottom/>
            <wp:docPr id="1" name="Picture 1" descr="C:\Users\Samuel Jones\AppData\Local\Microsoft\Windows\INetCache\Content.Word\Bridge Construction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uel Jones\AppData\Local\Microsoft\Windows\INetCache\Content.Word\Bridge Construction by Yea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3D5" w:rsidRDefault="00A153D5">
      <w:r>
        <w:t>Section 3: Contingency Plans</w:t>
      </w:r>
    </w:p>
    <w:p w:rsidR="00EE7F88" w:rsidRDefault="00EE7F88">
      <w:r w:rsidRPr="00EE7F88">
        <w:t xml:space="preserve">I may find that </w:t>
      </w:r>
      <w:r w:rsidR="00AD4A13">
        <w:t xml:space="preserve">hypothesis 2 is accurate and no socioeconomic factors are found to be affected by bridge clearance height. This would mean that there is not a strong case for changing </w:t>
      </w:r>
      <w:r w:rsidRPr="00EE7F88">
        <w:t xml:space="preserve">bridge maintenance </w:t>
      </w:r>
      <w:r w:rsidR="00AD4A13">
        <w:t xml:space="preserve">or lift </w:t>
      </w:r>
      <w:r w:rsidRPr="00EE7F88">
        <w:t xml:space="preserve">prioritization. </w:t>
      </w:r>
      <w:r w:rsidR="00F0337E">
        <w:t xml:space="preserve">I may have difficulty constructing the proper data set. I have two </w:t>
      </w:r>
      <w:r w:rsidR="00943928">
        <w:t>approaches</w:t>
      </w:r>
      <w:r w:rsidR="00F0337E">
        <w:t xml:space="preserve"> for the data set</w:t>
      </w:r>
      <w:r w:rsidR="00943928">
        <w:t xml:space="preserve"> at this point</w:t>
      </w:r>
      <w:r w:rsidR="00F0337E">
        <w:t xml:space="preserve">. </w:t>
      </w:r>
      <w:r w:rsidR="00943928">
        <w:t xml:space="preserve">I may use both approaches or only one approach. </w:t>
      </w:r>
      <w:r w:rsidR="00F0337E">
        <w:t xml:space="preserve">The first </w:t>
      </w:r>
      <w:r w:rsidR="00943928">
        <w:t xml:space="preserve">approach </w:t>
      </w:r>
      <w:r w:rsidR="00F0337E">
        <w:t xml:space="preserve">is to </w:t>
      </w:r>
      <w:r w:rsidR="00943928">
        <w:t>create aggregated data fields for each tract as follows:</w:t>
      </w:r>
    </w:p>
    <w:p w:rsidR="00F0337E" w:rsidRDefault="00F0337E" w:rsidP="00943928">
      <w:pPr>
        <w:ind w:left="1080" w:right="720" w:hanging="360"/>
        <w:contextualSpacing/>
      </w:pPr>
      <w:r>
        <w:t>1. Total # (border and non-border) bridges in a tract</w:t>
      </w:r>
    </w:p>
    <w:p w:rsidR="00F0337E" w:rsidRDefault="00F0337E" w:rsidP="00943928">
      <w:pPr>
        <w:ind w:left="1080" w:right="720" w:hanging="360"/>
        <w:contextualSpacing/>
      </w:pPr>
      <w:r>
        <w:lastRenderedPageBreak/>
        <w:t>2. Average height of total # (border and non-border) bridges in a tract (excluding bridges over 30m)</w:t>
      </w:r>
    </w:p>
    <w:p w:rsidR="00F0337E" w:rsidRDefault="00F0337E" w:rsidP="00943928">
      <w:pPr>
        <w:ind w:left="1080" w:right="720" w:hanging="360"/>
        <w:contextualSpacing/>
      </w:pPr>
      <w:r>
        <w:t xml:space="preserve">3. Total # (border and non-border) bridges over 14 </w:t>
      </w:r>
      <w:proofErr w:type="spellStart"/>
      <w:r>
        <w:t>ft</w:t>
      </w:r>
      <w:proofErr w:type="spellEnd"/>
      <w:r>
        <w:t xml:space="preserve"> in a tract</w:t>
      </w:r>
    </w:p>
    <w:p w:rsidR="00F0337E" w:rsidRDefault="00F0337E" w:rsidP="00943928">
      <w:pPr>
        <w:ind w:left="1080" w:right="720" w:hanging="360"/>
        <w:contextualSpacing/>
      </w:pPr>
      <w:r>
        <w:t xml:space="preserve">4. Total # (border and non-border) bridges under 14 </w:t>
      </w:r>
      <w:proofErr w:type="spellStart"/>
      <w:r>
        <w:t>ft</w:t>
      </w:r>
      <w:proofErr w:type="spellEnd"/>
      <w:r>
        <w:t xml:space="preserve"> in a tract </w:t>
      </w:r>
    </w:p>
    <w:p w:rsidR="00F0337E" w:rsidRDefault="00F0337E" w:rsidP="00943928">
      <w:pPr>
        <w:ind w:left="1080" w:right="720" w:hanging="360"/>
        <w:contextualSpacing/>
      </w:pPr>
      <w:r>
        <w:t xml:space="preserve">5. Total border bridges in a tract </w:t>
      </w:r>
    </w:p>
    <w:p w:rsidR="00F0337E" w:rsidRDefault="00F0337E" w:rsidP="00943928">
      <w:pPr>
        <w:ind w:left="1080" w:right="720" w:hanging="360"/>
        <w:contextualSpacing/>
      </w:pPr>
      <w:r>
        <w:t xml:space="preserve">6. Average height of Total border bridges in a tract  </w:t>
      </w:r>
    </w:p>
    <w:p w:rsidR="00F0337E" w:rsidRDefault="00F0337E" w:rsidP="00943928">
      <w:pPr>
        <w:ind w:left="1080" w:right="720" w:hanging="360"/>
        <w:contextualSpacing/>
      </w:pPr>
      <w:r>
        <w:t xml:space="preserve">7. Total border bridges in a tract over 14 </w:t>
      </w:r>
      <w:proofErr w:type="spellStart"/>
      <w:r>
        <w:t>ft</w:t>
      </w:r>
      <w:proofErr w:type="spellEnd"/>
      <w:r>
        <w:t xml:space="preserve"> in a tract </w:t>
      </w:r>
    </w:p>
    <w:p w:rsidR="00F0337E" w:rsidRDefault="00F0337E" w:rsidP="00943928">
      <w:pPr>
        <w:ind w:left="1080" w:right="720" w:hanging="360"/>
        <w:contextualSpacing/>
      </w:pPr>
      <w:r>
        <w:t xml:space="preserve">8. Total border bridges in a tract under 14 </w:t>
      </w:r>
      <w:proofErr w:type="spellStart"/>
      <w:r>
        <w:t>ft</w:t>
      </w:r>
      <w:proofErr w:type="spellEnd"/>
      <w:r>
        <w:t xml:space="preserve"> in a tract  </w:t>
      </w:r>
    </w:p>
    <w:p w:rsidR="00F0337E" w:rsidRDefault="00F0337E" w:rsidP="00943928">
      <w:pPr>
        <w:ind w:left="1080" w:right="720" w:hanging="360"/>
        <w:contextualSpacing/>
      </w:pPr>
      <w:r>
        <w:t>9. Total non-border bridges in a tract</w:t>
      </w:r>
    </w:p>
    <w:p w:rsidR="00F0337E" w:rsidRDefault="00F0337E" w:rsidP="00943928">
      <w:pPr>
        <w:ind w:left="1080" w:right="720" w:hanging="360"/>
        <w:contextualSpacing/>
      </w:pPr>
      <w:r>
        <w:t xml:space="preserve">10. Average height of Total non-border bridges in a tract </w:t>
      </w:r>
    </w:p>
    <w:p w:rsidR="00F0337E" w:rsidRDefault="00F0337E" w:rsidP="00943928">
      <w:pPr>
        <w:ind w:left="1080" w:right="720" w:hanging="360"/>
        <w:contextualSpacing/>
      </w:pPr>
      <w:r>
        <w:t xml:space="preserve">11. Total non-border bridges in a tract over 14 </w:t>
      </w:r>
      <w:proofErr w:type="spellStart"/>
      <w:r>
        <w:t>ft</w:t>
      </w:r>
      <w:proofErr w:type="spellEnd"/>
      <w:r>
        <w:t xml:space="preserve"> in a tract</w:t>
      </w:r>
    </w:p>
    <w:p w:rsidR="00F0337E" w:rsidRDefault="00F0337E" w:rsidP="00943928">
      <w:pPr>
        <w:ind w:left="1080" w:right="720" w:hanging="360"/>
        <w:contextualSpacing/>
      </w:pPr>
      <w:r>
        <w:t xml:space="preserve">12. Total non-border bridges in a tract under 14 </w:t>
      </w:r>
      <w:proofErr w:type="spellStart"/>
      <w:r>
        <w:t>ft</w:t>
      </w:r>
      <w:proofErr w:type="spellEnd"/>
      <w:r>
        <w:t xml:space="preserve"> in a tract  </w:t>
      </w:r>
    </w:p>
    <w:p w:rsidR="0057496F" w:rsidRDefault="0057496F" w:rsidP="00943928">
      <w:pPr>
        <w:ind w:left="1080" w:right="720" w:hanging="360"/>
        <w:contextualSpacing/>
      </w:pPr>
      <w:r>
        <w:t>13</w:t>
      </w:r>
      <w:r w:rsidR="00943928">
        <w:t>-21</w:t>
      </w:r>
      <w:r>
        <w:t>. Total bridges by material type</w:t>
      </w:r>
      <w:r w:rsidR="00943928">
        <w:t xml:space="preserve"> (6A26)</w:t>
      </w:r>
      <w:r>
        <w:t xml:space="preserve"> [9 columns: steel</w:t>
      </w:r>
      <w:r w:rsidR="00943928">
        <w:t>;</w:t>
      </w:r>
      <w:r>
        <w:t xml:space="preserve"> concrete (cast in place)</w:t>
      </w:r>
      <w:r w:rsidR="00943928">
        <w:t>;</w:t>
      </w:r>
      <w:r>
        <w:t xml:space="preserve"> concrete (precast)</w:t>
      </w:r>
      <w:r w:rsidR="00943928">
        <w:t>;</w:t>
      </w:r>
      <w:r>
        <w:t xml:space="preserve"> prestressed precast concrete (P/S)</w:t>
      </w:r>
      <w:r w:rsidR="00943928">
        <w:t>;</w:t>
      </w:r>
      <w:r>
        <w:t xml:space="preserve"> timber</w:t>
      </w:r>
      <w:r w:rsidR="00943928">
        <w:t>;</w:t>
      </w:r>
      <w:r>
        <w:t xml:space="preserve"> masonry</w:t>
      </w:r>
      <w:r w:rsidR="00943928">
        <w:t>;</w:t>
      </w:r>
      <w:r>
        <w:t xml:space="preserve"> aluminum</w:t>
      </w:r>
      <w:r w:rsidR="00943928">
        <w:t xml:space="preserve">, </w:t>
      </w:r>
      <w:r>
        <w:t>wrought iron</w:t>
      </w:r>
      <w:r w:rsidR="00943928">
        <w:t xml:space="preserve">, </w:t>
      </w:r>
      <w:r>
        <w:t>cast iron</w:t>
      </w:r>
      <w:r w:rsidR="00943928">
        <w:t>; concrete encased steel;</w:t>
      </w:r>
      <w:r>
        <w:t xml:space="preserve"> and other] </w:t>
      </w:r>
    </w:p>
    <w:p w:rsidR="0057496F" w:rsidRDefault="00943928" w:rsidP="00943928">
      <w:pPr>
        <w:ind w:left="1080" w:right="720" w:hanging="360"/>
        <w:contextualSpacing/>
      </w:pPr>
      <w:r>
        <w:t>22-30</w:t>
      </w:r>
      <w:r w:rsidR="0057496F">
        <w:t xml:space="preserve">. Total border bridges by material type </w:t>
      </w:r>
      <w:r>
        <w:t>(6A26) [9 columns: steel; concrete (cast in place); concrete (precast); prestressed precast concrete (P/S); timber; masonry; aluminum, wrought iron, cast iron; concrete encased steel; and other]</w:t>
      </w:r>
    </w:p>
    <w:p w:rsidR="0057496F" w:rsidRPr="00267543" w:rsidRDefault="00943928" w:rsidP="00267543">
      <w:pPr>
        <w:ind w:left="1080" w:right="720" w:hanging="360"/>
        <w:contextualSpacing/>
        <w:rPr>
          <w:rFonts w:ascii="Calibri" w:hAnsi="Calibri" w:cs="Calibri"/>
        </w:rPr>
      </w:pPr>
      <w:r>
        <w:t>31-38</w:t>
      </w:r>
      <w:r w:rsidR="0057496F">
        <w:t xml:space="preserve">. Total non-border bridges by material type </w:t>
      </w:r>
      <w:r>
        <w:t>(6A26) [9 columns: steel; concrete (cast in place); concrete (precast); prestressed precast concrete (P/S); timber; masonry; aluminum, wrought iron, cast iron; concrete encased steel; and other]</w:t>
      </w:r>
      <w:r w:rsidR="00267543">
        <w:t xml:space="preserve"> </w:t>
      </w:r>
      <w:r w:rsidR="00267543">
        <w:fldChar w:fldCharType="begin"/>
      </w:r>
      <w:r w:rsidR="00267543">
        <w:instrText xml:space="preserve"> ADDIN ZOTERO_ITEM CSL_CITATION {"citationID":"ZoYAGdeq","properties":{"formattedCitation":"(Pennsylvania Department of Transportation, 2009, pp. 3\\uc0\\u8211{}117)","plainCitation":"(Pennsylvania Department of Transportation, 2009, pp. 3–117)","noteIndex":0},"citationItems":[{"id":690,"uris":["http://zotero.org/users/local/b8DOsDUe/items/5QPNHUWH"],"uri":["http://zotero.org/users/local/b8DOsDUe/items/5QPNHUWH"],"itemData":{"id":690,"type":"article","title":"PUB 100A Bridge Management System 2 (BMS2) Coding Manual, Publication 100A, July 2009 Edition","publisher":"Pennsylvania Department of Transportation","URL":"www.dot.state.pa.us","note":"00000","shortTitle":"PUB 100A","author":[{"literal":"Pennsylvania Department of Transportation"}],"issued":{"date-parts":[["2009",8,20]]}},"locator":"3-117"}],"schema":"https://github.com/citation-style-language/schema/raw/master/csl-citation.json"} </w:instrText>
      </w:r>
      <w:r w:rsidR="00267543">
        <w:fldChar w:fldCharType="separate"/>
      </w:r>
      <w:r w:rsidR="00267543" w:rsidRPr="00267543">
        <w:rPr>
          <w:rFonts w:ascii="Calibri" w:hAnsi="Calibri" w:cs="Calibri"/>
          <w:szCs w:val="24"/>
        </w:rPr>
        <w:t>(Pennsylvania Department of Transportation, 2009, pp. 3–117)</w:t>
      </w:r>
      <w:r w:rsidR="00267543">
        <w:fldChar w:fldCharType="end"/>
      </w:r>
    </w:p>
    <w:p w:rsidR="00F0337E" w:rsidRDefault="00943928" w:rsidP="00F0337E">
      <w:r>
        <w:t xml:space="preserve">The second approach is to </w:t>
      </w:r>
      <w:r w:rsidR="00857D51">
        <w:t>first create a dummy variable designating whether a bridge is classified as a border bridge. Second, I would merge each bridge with the tracts it is in or borders. This would make a much larger panel and may be computationally unwieldy</w:t>
      </w:r>
      <w:r w:rsidR="00267543">
        <w:t>, but it would allow the regression to be run for each bridge instead of the aggregate.</w:t>
      </w:r>
    </w:p>
    <w:p w:rsidR="00A153D5" w:rsidRDefault="00A153D5">
      <w:r>
        <w:t>Section 4: Exploratory Analyses</w:t>
      </w:r>
    </w:p>
    <w:p w:rsidR="00EE7F88" w:rsidRDefault="00C9590D">
      <w:r>
        <w:rPr>
          <w:noProof/>
        </w:rPr>
        <w:drawing>
          <wp:anchor distT="0" distB="0" distL="114300" distR="114300" simplePos="0" relativeHeight="251660288" behindDoc="0" locked="0" layoutInCell="1" allowOverlap="1">
            <wp:simplePos x="4512945" y="6834505"/>
            <wp:positionH relativeFrom="margin">
              <wp:align>center</wp:align>
            </wp:positionH>
            <wp:positionV relativeFrom="margin">
              <wp:align>bottom</wp:align>
            </wp:positionV>
            <wp:extent cx="2286000" cy="2286000"/>
            <wp:effectExtent l="0" t="0" r="0" b="0"/>
            <wp:wrapSquare wrapText="bothSides"/>
            <wp:docPr id="3" name="Picture 3" descr="C:\Users\Samuel Jones\AppData\Local\Microsoft\Windows\INetCache\Content.Word\TRCTPOP v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uel Jones\AppData\Local\Microsoft\Windows\INetCache\Content.Word\TRCTPOP v tim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D1D">
        <w:t>Up to this point, I have only done some data analysis of the Neighborhood Change Database Census data and of a publicly available data set about the bridges that does not include underclearance heights.</w:t>
      </w:r>
      <w:r>
        <w:t xml:space="preserve"> I’ve only look at the histograms and summations of the variables over time. Here are examples of tract populations.</w:t>
      </w:r>
    </w:p>
    <w:p w:rsidR="00C9590D" w:rsidRDefault="00C9590D">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187472</wp:posOffset>
            </wp:positionV>
            <wp:extent cx="5935980" cy="3957320"/>
            <wp:effectExtent l="0" t="0" r="7620" b="5080"/>
            <wp:wrapTopAndBottom/>
            <wp:docPr id="2" name="Picture 2" descr="C:\Users\Samuel Jones\AppData\Local\Microsoft\Windows\INetCache\Content.Word\TRCT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 Jones\AppData\Local\Microsoft\Windows\INetCache\Content.Word\TRCTPO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957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3D5" w:rsidRDefault="00A153D5">
      <w:r>
        <w:t>Section 5: Sensitivity Analyses</w:t>
      </w:r>
    </w:p>
    <w:p w:rsidR="00DB3516" w:rsidRDefault="00DB3516" w:rsidP="00DB3516">
      <w:r>
        <w:t>I envision that the model will look something like the following example using population as the dependent variable, but additional variables will be used as the independent variable. This would be for the case where I merged each individual bridge into the panel dataset.</w:t>
      </w:r>
    </w:p>
    <w:p w:rsidR="00DB3516" w:rsidRDefault="0033767A" w:rsidP="00DB3516">
      <m:oMathPara>
        <m:oMath>
          <m:sSub>
            <m:sSubPr>
              <m:ctrlPr>
                <w:rPr>
                  <w:rFonts w:ascii="Cambria Math" w:hAnsi="Cambria Math"/>
                  <w:i/>
                </w:rPr>
              </m:ctrlPr>
            </m:sSubPr>
            <m:e>
              <m:r>
                <w:rPr>
                  <w:rFonts w:ascii="Cambria Math" w:hAnsi="Cambria Math"/>
                </w:rPr>
                <m:t>population</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1it</m:t>
              </m:r>
            </m:sub>
          </m:sSub>
          <m:sSub>
            <m:sSubPr>
              <m:ctrlPr>
                <w:rPr>
                  <w:rFonts w:ascii="Cambria Math" w:hAnsi="Cambria Math"/>
                  <w:i/>
                </w:rPr>
              </m:ctrlPr>
            </m:sSubPr>
            <m:e>
              <m:r>
                <w:rPr>
                  <w:rFonts w:ascii="Cambria Math" w:hAnsi="Cambria Math"/>
                </w:rPr>
                <m:t>underclearance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rsidR="00DB3516" w:rsidRDefault="00DB3516" w:rsidP="00DB3516">
      <w:r>
        <w:t xml:space="preserve">The </w:t>
      </w:r>
      <w:proofErr w:type="spellStart"/>
      <w:r w:rsidRPr="00DB3516">
        <w:rPr>
          <w:rFonts w:ascii="Cambria Math" w:hAnsi="Cambria Math"/>
          <w:i/>
        </w:rPr>
        <w:t>i</w:t>
      </w:r>
      <w:proofErr w:type="spellEnd"/>
      <w:r>
        <w:t xml:space="preserve"> for the population is the tract, while the </w:t>
      </w:r>
      <w:proofErr w:type="spellStart"/>
      <w:r w:rsidRPr="00DB3516">
        <w:rPr>
          <w:rFonts w:ascii="Cambria Math" w:hAnsi="Cambria Math"/>
          <w:i/>
        </w:rPr>
        <w:t>i</w:t>
      </w:r>
      <w:proofErr w:type="spellEnd"/>
      <w:r>
        <w:t xml:space="preserve"> for the underclearance is the bridge.</w:t>
      </w:r>
    </w:p>
    <w:p w:rsidR="00DB3516" w:rsidRDefault="00DB3516" w:rsidP="00DB3516">
      <w:r>
        <w:t>Using approach one it would look more like this using the 38 variables from above:</w:t>
      </w:r>
    </w:p>
    <w:p w:rsidR="00DB3516" w:rsidRPr="00DB3516" w:rsidRDefault="0033767A" w:rsidP="00DB3516">
      <m:oMathPara>
        <m:oMath>
          <m:sSub>
            <m:sSubPr>
              <m:ctrlPr>
                <w:rPr>
                  <w:rFonts w:ascii="Cambria Math" w:hAnsi="Cambria Math"/>
                  <w:i/>
                </w:rPr>
              </m:ctrlPr>
            </m:sSubPr>
            <m:e>
              <m:r>
                <w:rPr>
                  <w:rFonts w:ascii="Cambria Math" w:hAnsi="Cambria Math"/>
                </w:rPr>
                <m:t>population</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1it</m:t>
              </m:r>
            </m:sub>
          </m:sSub>
          <m:sSub>
            <m:sSubPr>
              <m:ctrlPr>
                <w:rPr>
                  <w:rFonts w:ascii="Cambria Math" w:hAnsi="Cambria Math"/>
                  <w:i/>
                </w:rPr>
              </m:ctrlPr>
            </m:sSubPr>
            <m:e>
              <m:r>
                <w:rPr>
                  <w:rFonts w:ascii="Cambria Math" w:hAnsi="Cambria Math"/>
                </w:rPr>
                <m:t>var</m:t>
              </m:r>
            </m:e>
            <m:sub>
              <m:r>
                <w:rPr>
                  <w:rFonts w:ascii="Cambria Math" w:hAnsi="Cambria Math"/>
                </w:rPr>
                <m:t>1it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38it</m:t>
              </m:r>
            </m:sub>
          </m:sSub>
          <m:sSub>
            <m:sSubPr>
              <m:ctrlPr>
                <w:rPr>
                  <w:rFonts w:ascii="Cambria Math" w:hAnsi="Cambria Math"/>
                  <w:i/>
                </w:rPr>
              </m:ctrlPr>
            </m:sSubPr>
            <m:e>
              <m:r>
                <w:rPr>
                  <w:rFonts w:ascii="Cambria Math" w:hAnsi="Cambria Math"/>
                </w:rPr>
                <m:t>var</m:t>
              </m:r>
            </m:e>
            <m:sub>
              <m:r>
                <w:rPr>
                  <w:rFonts w:ascii="Cambria Math" w:hAnsi="Cambria Math"/>
                </w:rPr>
                <m:t>38it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rsidR="00DB3516" w:rsidRDefault="00DB3516" w:rsidP="00DB3516">
      <w:r>
        <w:t xml:space="preserve">The </w:t>
      </w:r>
      <w:proofErr w:type="spellStart"/>
      <w:r w:rsidRPr="00DB3516">
        <w:rPr>
          <w:rFonts w:ascii="Cambria Math" w:hAnsi="Cambria Math"/>
          <w:i/>
        </w:rPr>
        <w:t>i</w:t>
      </w:r>
      <w:proofErr w:type="spellEnd"/>
      <w:r>
        <w:t xml:space="preserve"> for all variables in this case is the tract.</w:t>
      </w:r>
    </w:p>
    <w:p w:rsidR="00A153D5" w:rsidRDefault="00A153D5">
      <w:r>
        <w:t>Section 6: Pre-registration</w:t>
      </w:r>
    </w:p>
    <w:p w:rsidR="00DB3516" w:rsidRDefault="008C42A0">
      <w:r>
        <w:t xml:space="preserve">I looked at OSF.io, but didn’t want to create another account for what appears to be another GitHub-like space. So, </w:t>
      </w:r>
      <w:r w:rsidR="00DB3516">
        <w:t xml:space="preserve">I have </w:t>
      </w:r>
      <w:r w:rsidR="00C049DC">
        <w:t xml:space="preserve">posted this on my GitHub repository as a form of </w:t>
      </w:r>
      <w:r w:rsidR="00DB3516">
        <w:t>pre-registr</w:t>
      </w:r>
      <w:r w:rsidR="00C049DC">
        <w:t>ation</w:t>
      </w:r>
      <w:r w:rsidR="00DB3516">
        <w:t xml:space="preserve">, as requested, </w:t>
      </w:r>
      <w:r>
        <w:t>here:</w:t>
      </w:r>
      <w:r w:rsidR="00DB3516">
        <w:t xml:space="preserve"> </w:t>
      </w:r>
    </w:p>
    <w:p w:rsidR="008C42A0" w:rsidRDefault="0033767A">
      <w:hyperlink r:id="rId9" w:history="1">
        <w:r w:rsidR="008C42A0" w:rsidRPr="00695954">
          <w:rPr>
            <w:rStyle w:val="Hyperlink"/>
          </w:rPr>
          <w:t>https://github.com/ZhongSiming</w:t>
        </w:r>
      </w:hyperlink>
    </w:p>
    <w:p w:rsidR="008C42A0" w:rsidRDefault="008C42A0">
      <w:r>
        <w:t>It appeared that the point of pre-registering was to create a paper trail to see how the analysis changed over time. GitHub will do this. If I have misunderstood the requirement, please let me know and I will post a copy of this to OSF.io as well.</w:t>
      </w:r>
    </w:p>
    <w:p w:rsidR="00DB33A9" w:rsidRPr="00DB33A9" w:rsidRDefault="00DB33A9">
      <w:pPr>
        <w:rPr>
          <w:b/>
          <w:u w:val="single"/>
        </w:rPr>
      </w:pPr>
      <w:r w:rsidRPr="00DB33A9">
        <w:rPr>
          <w:b/>
          <w:u w:val="single"/>
        </w:rPr>
        <w:lastRenderedPageBreak/>
        <w:t>Bibliography</w:t>
      </w:r>
    </w:p>
    <w:p w:rsidR="00DB33A9" w:rsidRPr="00DB33A9" w:rsidRDefault="00DB33A9" w:rsidP="00DB33A9">
      <w:pPr>
        <w:pStyle w:val="Bibliography"/>
        <w:rPr>
          <w:rFonts w:ascii="Calibri" w:hAnsi="Calibri" w:cs="Calibri"/>
        </w:rPr>
      </w:pPr>
      <w:r>
        <w:fldChar w:fldCharType="begin"/>
      </w:r>
      <w:r>
        <w:instrText xml:space="preserve"> ADDIN ZOTERO_BIBL {"uncited":[],"omitted":[],"custom":[]} CSL_BIBLIOGRAPHY </w:instrText>
      </w:r>
      <w:r>
        <w:fldChar w:fldCharType="separate"/>
      </w:r>
      <w:proofErr w:type="spellStart"/>
      <w:r w:rsidRPr="00DB33A9">
        <w:rPr>
          <w:rFonts w:ascii="Calibri" w:hAnsi="Calibri" w:cs="Calibri"/>
        </w:rPr>
        <w:t>Akinci</w:t>
      </w:r>
      <w:proofErr w:type="spellEnd"/>
      <w:r w:rsidRPr="00DB33A9">
        <w:rPr>
          <w:rFonts w:ascii="Calibri" w:hAnsi="Calibri" w:cs="Calibri"/>
        </w:rPr>
        <w:t xml:space="preserve">, B., </w:t>
      </w:r>
      <w:proofErr w:type="spellStart"/>
      <w:r w:rsidRPr="00DB33A9">
        <w:rPr>
          <w:rFonts w:ascii="Calibri" w:hAnsi="Calibri" w:cs="Calibri"/>
        </w:rPr>
        <w:t>Armanios</w:t>
      </w:r>
      <w:proofErr w:type="spellEnd"/>
      <w:r w:rsidRPr="00DB33A9">
        <w:rPr>
          <w:rFonts w:ascii="Calibri" w:hAnsi="Calibri" w:cs="Calibri"/>
        </w:rPr>
        <w:t>, D., &amp; Qian, Z. (Sean). (2016). A Holistic Framework for Prioritizing Investments in Bridge Lifting.</w:t>
      </w:r>
    </w:p>
    <w:p w:rsidR="00DB33A9" w:rsidRPr="00DB33A9" w:rsidRDefault="00DB33A9" w:rsidP="00DB33A9">
      <w:pPr>
        <w:pStyle w:val="Bibliography"/>
        <w:rPr>
          <w:rFonts w:ascii="Calibri" w:hAnsi="Calibri" w:cs="Calibri"/>
        </w:rPr>
      </w:pPr>
      <w:proofErr w:type="spellStart"/>
      <w:r w:rsidRPr="00DB33A9">
        <w:rPr>
          <w:rFonts w:ascii="Calibri" w:hAnsi="Calibri" w:cs="Calibri"/>
        </w:rPr>
        <w:t>GeoLytics</w:t>
      </w:r>
      <w:proofErr w:type="spellEnd"/>
      <w:r w:rsidRPr="00DB33A9">
        <w:rPr>
          <w:rFonts w:ascii="Calibri" w:hAnsi="Calibri" w:cs="Calibri"/>
        </w:rPr>
        <w:t xml:space="preserve"> - US Census demographic and GIS data products. (2018). Retrieved April 22, 2018, from http://www.geolytics.com/USCensus,Neighborhood-Change-Database-1970-2000,Products.asp</w:t>
      </w:r>
    </w:p>
    <w:p w:rsidR="00DB33A9" w:rsidRPr="00DB33A9" w:rsidRDefault="00DB33A9" w:rsidP="00DB33A9">
      <w:pPr>
        <w:pStyle w:val="Bibliography"/>
        <w:rPr>
          <w:rFonts w:ascii="Calibri" w:hAnsi="Calibri" w:cs="Calibri"/>
        </w:rPr>
      </w:pPr>
      <w:r w:rsidRPr="00DB33A9">
        <w:rPr>
          <w:rFonts w:ascii="Calibri" w:hAnsi="Calibri" w:cs="Calibri"/>
        </w:rPr>
        <w:t xml:space="preserve">Grabowski, Z. J., </w:t>
      </w:r>
      <w:proofErr w:type="spellStart"/>
      <w:r w:rsidRPr="00DB33A9">
        <w:rPr>
          <w:rFonts w:ascii="Calibri" w:hAnsi="Calibri" w:cs="Calibri"/>
        </w:rPr>
        <w:t>Matsler</w:t>
      </w:r>
      <w:proofErr w:type="spellEnd"/>
      <w:r w:rsidRPr="00DB33A9">
        <w:rPr>
          <w:rFonts w:ascii="Calibri" w:hAnsi="Calibri" w:cs="Calibri"/>
        </w:rPr>
        <w:t xml:space="preserve">, A. M., Thiel, C., McPhillips, L., Hum, R., Bradshaw, A., … Redman, C. (2017). Infrastructures as Socio-Eco-Technical Systems: Five Considerations for Interdisciplinary Dialogue. </w:t>
      </w:r>
      <w:r w:rsidRPr="00DB33A9">
        <w:rPr>
          <w:rFonts w:ascii="Calibri" w:hAnsi="Calibri" w:cs="Calibri"/>
          <w:i/>
          <w:iCs/>
        </w:rPr>
        <w:t>Journal of Infrastructure Systems</w:t>
      </w:r>
      <w:r w:rsidRPr="00DB33A9">
        <w:rPr>
          <w:rFonts w:ascii="Calibri" w:hAnsi="Calibri" w:cs="Calibri"/>
        </w:rPr>
        <w:t xml:space="preserve">, </w:t>
      </w:r>
      <w:r w:rsidRPr="00DB33A9">
        <w:rPr>
          <w:rFonts w:ascii="Calibri" w:hAnsi="Calibri" w:cs="Calibri"/>
          <w:i/>
          <w:iCs/>
        </w:rPr>
        <w:t>23</w:t>
      </w:r>
      <w:r w:rsidRPr="00DB33A9">
        <w:rPr>
          <w:rFonts w:ascii="Calibri" w:hAnsi="Calibri" w:cs="Calibri"/>
        </w:rPr>
        <w:t>(4), 02517002. https://doi.org/10.1061/(ASCE)IS.1943-555X.0000383</w:t>
      </w:r>
    </w:p>
    <w:p w:rsidR="00DB33A9" w:rsidRPr="00DB33A9" w:rsidRDefault="00DB33A9" w:rsidP="00DB33A9">
      <w:pPr>
        <w:pStyle w:val="Bibliography"/>
        <w:rPr>
          <w:rFonts w:ascii="Calibri" w:hAnsi="Calibri" w:cs="Calibri"/>
        </w:rPr>
      </w:pPr>
      <w:r w:rsidRPr="00DB33A9">
        <w:rPr>
          <w:rFonts w:ascii="Calibri" w:hAnsi="Calibri" w:cs="Calibri"/>
        </w:rPr>
        <w:t>Pennsylvania Department of Transportation. (2009, August 20). PUB 100A Bridge Management System 2 (BMS2) Coding Manual, Publication 100A, July 2009 Edition. Pennsylvania Department of Transportation. Retrieved from www.dot.state.pa.us</w:t>
      </w:r>
    </w:p>
    <w:p w:rsidR="00DB33A9" w:rsidRPr="00DB33A9" w:rsidRDefault="00DB33A9" w:rsidP="00DB33A9">
      <w:pPr>
        <w:pStyle w:val="Bibliography"/>
        <w:rPr>
          <w:rFonts w:ascii="Calibri" w:hAnsi="Calibri" w:cs="Calibri"/>
        </w:rPr>
      </w:pPr>
      <w:r w:rsidRPr="00DB33A9">
        <w:rPr>
          <w:rFonts w:ascii="Calibri" w:hAnsi="Calibri" w:cs="Calibri"/>
        </w:rPr>
        <w:t xml:space="preserve">Schindler, S. (2015). Architectural Exclusion: Discrimination and Segregation Through Physical Design of the Built Environment. </w:t>
      </w:r>
      <w:r w:rsidRPr="00DB33A9">
        <w:rPr>
          <w:rFonts w:ascii="Calibri" w:hAnsi="Calibri" w:cs="Calibri"/>
          <w:i/>
          <w:iCs/>
        </w:rPr>
        <w:t>The Yale Law Journal</w:t>
      </w:r>
      <w:r w:rsidRPr="00DB33A9">
        <w:rPr>
          <w:rFonts w:ascii="Calibri" w:hAnsi="Calibri" w:cs="Calibri"/>
        </w:rPr>
        <w:t>, (124), 1934–2024.</w:t>
      </w:r>
    </w:p>
    <w:p w:rsidR="00DB33A9" w:rsidRPr="00DB33A9" w:rsidRDefault="00DB33A9" w:rsidP="00DB33A9">
      <w:pPr>
        <w:pStyle w:val="Bibliography"/>
        <w:rPr>
          <w:rFonts w:ascii="Calibri" w:hAnsi="Calibri" w:cs="Calibri"/>
        </w:rPr>
      </w:pPr>
      <w:r w:rsidRPr="00DB33A9">
        <w:rPr>
          <w:rFonts w:ascii="Calibri" w:hAnsi="Calibri" w:cs="Calibri"/>
        </w:rPr>
        <w:t xml:space="preserve">Star, S. L. (1999). The Ethnography of Infrastructure. </w:t>
      </w:r>
      <w:r w:rsidRPr="00DB33A9">
        <w:rPr>
          <w:rFonts w:ascii="Calibri" w:hAnsi="Calibri" w:cs="Calibri"/>
          <w:i/>
          <w:iCs/>
        </w:rPr>
        <w:t>American Behavioral Scientist</w:t>
      </w:r>
      <w:r w:rsidRPr="00DB33A9">
        <w:rPr>
          <w:rFonts w:ascii="Calibri" w:hAnsi="Calibri" w:cs="Calibri"/>
        </w:rPr>
        <w:t xml:space="preserve">, </w:t>
      </w:r>
      <w:r w:rsidRPr="00DB33A9">
        <w:rPr>
          <w:rFonts w:ascii="Calibri" w:hAnsi="Calibri" w:cs="Calibri"/>
          <w:i/>
          <w:iCs/>
        </w:rPr>
        <w:t>43</w:t>
      </w:r>
      <w:r w:rsidRPr="00DB33A9">
        <w:rPr>
          <w:rFonts w:ascii="Calibri" w:hAnsi="Calibri" w:cs="Calibri"/>
        </w:rPr>
        <w:t>(3), 377–391. https://doi.org/10.1177/00027649921955326</w:t>
      </w:r>
    </w:p>
    <w:p w:rsidR="00DB33A9" w:rsidRDefault="00DB33A9">
      <w:r>
        <w:fldChar w:fldCharType="end"/>
      </w:r>
      <w:bookmarkStart w:id="0" w:name="_GoBack"/>
      <w:bookmarkEnd w:id="0"/>
    </w:p>
    <w:sectPr w:rsidR="00DB33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67A" w:rsidRDefault="0033767A" w:rsidP="00A153D5">
      <w:pPr>
        <w:spacing w:after="0" w:line="240" w:lineRule="auto"/>
      </w:pPr>
      <w:r>
        <w:separator/>
      </w:r>
    </w:p>
  </w:endnote>
  <w:endnote w:type="continuationSeparator" w:id="0">
    <w:p w:rsidR="0033767A" w:rsidRDefault="0033767A" w:rsidP="00A1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67A" w:rsidRDefault="0033767A" w:rsidP="00A153D5">
      <w:pPr>
        <w:spacing w:after="0" w:line="240" w:lineRule="auto"/>
      </w:pPr>
      <w:r>
        <w:separator/>
      </w:r>
    </w:p>
  </w:footnote>
  <w:footnote w:type="continuationSeparator" w:id="0">
    <w:p w:rsidR="0033767A" w:rsidRDefault="0033767A" w:rsidP="00A15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3D5" w:rsidRDefault="00A153D5">
    <w:pPr>
      <w:pStyle w:val="Header"/>
    </w:pPr>
    <w:r>
      <w:t>Samuel Jones</w:t>
    </w:r>
    <w:r>
      <w:tab/>
      <w:t>19-704</w:t>
    </w:r>
    <w:r>
      <w:tab/>
      <w:t>Final Project Proposal</w:t>
    </w:r>
  </w:p>
  <w:p w:rsidR="00A153D5" w:rsidRDefault="00A153D5">
    <w:pPr>
      <w:pStyle w:val="Header"/>
    </w:pPr>
    <w:r>
      <w:tab/>
    </w:r>
    <w:r>
      <w:tab/>
      <w:t>Due 22 Apr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3D5"/>
    <w:rsid w:val="001E1E93"/>
    <w:rsid w:val="002410ED"/>
    <w:rsid w:val="00267543"/>
    <w:rsid w:val="00295FDB"/>
    <w:rsid w:val="0033767A"/>
    <w:rsid w:val="00484904"/>
    <w:rsid w:val="0057496F"/>
    <w:rsid w:val="006550DE"/>
    <w:rsid w:val="00700C73"/>
    <w:rsid w:val="00733299"/>
    <w:rsid w:val="00752B6E"/>
    <w:rsid w:val="00857D51"/>
    <w:rsid w:val="008B20C1"/>
    <w:rsid w:val="008C42A0"/>
    <w:rsid w:val="00943928"/>
    <w:rsid w:val="009B5C5A"/>
    <w:rsid w:val="009F763D"/>
    <w:rsid w:val="00A153D5"/>
    <w:rsid w:val="00AD4A13"/>
    <w:rsid w:val="00B63A5D"/>
    <w:rsid w:val="00B735C8"/>
    <w:rsid w:val="00BA3086"/>
    <w:rsid w:val="00C049DC"/>
    <w:rsid w:val="00C10467"/>
    <w:rsid w:val="00C9590D"/>
    <w:rsid w:val="00DB33A9"/>
    <w:rsid w:val="00DB3516"/>
    <w:rsid w:val="00DB7284"/>
    <w:rsid w:val="00E52D1D"/>
    <w:rsid w:val="00EE7F88"/>
    <w:rsid w:val="00F0337E"/>
    <w:rsid w:val="00F73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1A03"/>
  <w15:chartTrackingRefBased/>
  <w15:docId w15:val="{D19F5956-CE64-4643-9DEE-F9C143ED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3D5"/>
  </w:style>
  <w:style w:type="paragraph" w:styleId="Footer">
    <w:name w:val="footer"/>
    <w:basedOn w:val="Normal"/>
    <w:link w:val="FooterChar"/>
    <w:uiPriority w:val="99"/>
    <w:unhideWhenUsed/>
    <w:rsid w:val="00A15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3D5"/>
  </w:style>
  <w:style w:type="character" w:styleId="PlaceholderText">
    <w:name w:val="Placeholder Text"/>
    <w:basedOn w:val="DefaultParagraphFont"/>
    <w:uiPriority w:val="99"/>
    <w:semiHidden/>
    <w:rsid w:val="00C9590D"/>
    <w:rPr>
      <w:color w:val="808080"/>
    </w:rPr>
  </w:style>
  <w:style w:type="character" w:styleId="Hyperlink">
    <w:name w:val="Hyperlink"/>
    <w:basedOn w:val="DefaultParagraphFont"/>
    <w:uiPriority w:val="99"/>
    <w:unhideWhenUsed/>
    <w:rsid w:val="008C42A0"/>
    <w:rPr>
      <w:color w:val="0563C1" w:themeColor="hyperlink"/>
      <w:u w:val="single"/>
    </w:rPr>
  </w:style>
  <w:style w:type="character" w:styleId="UnresolvedMention">
    <w:name w:val="Unresolved Mention"/>
    <w:basedOn w:val="DefaultParagraphFont"/>
    <w:uiPriority w:val="99"/>
    <w:semiHidden/>
    <w:unhideWhenUsed/>
    <w:rsid w:val="008C42A0"/>
    <w:rPr>
      <w:color w:val="808080"/>
      <w:shd w:val="clear" w:color="auto" w:fill="E6E6E6"/>
    </w:rPr>
  </w:style>
  <w:style w:type="paragraph" w:styleId="Bibliography">
    <w:name w:val="Bibliography"/>
    <w:basedOn w:val="Normal"/>
    <w:next w:val="Normal"/>
    <w:uiPriority w:val="37"/>
    <w:unhideWhenUsed/>
    <w:rsid w:val="00DB33A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43524">
      <w:bodyDiv w:val="1"/>
      <w:marLeft w:val="0"/>
      <w:marRight w:val="0"/>
      <w:marTop w:val="0"/>
      <w:marBottom w:val="0"/>
      <w:divBdr>
        <w:top w:val="none" w:sz="0" w:space="0" w:color="auto"/>
        <w:left w:val="none" w:sz="0" w:space="0" w:color="auto"/>
        <w:bottom w:val="none" w:sz="0" w:space="0" w:color="auto"/>
        <w:right w:val="none" w:sz="0" w:space="0" w:color="auto"/>
      </w:divBdr>
      <w:divsChild>
        <w:div w:id="1570073627">
          <w:marLeft w:val="0"/>
          <w:marRight w:val="0"/>
          <w:marTop w:val="0"/>
          <w:marBottom w:val="0"/>
          <w:divBdr>
            <w:top w:val="none" w:sz="0" w:space="0" w:color="auto"/>
            <w:left w:val="none" w:sz="0" w:space="0" w:color="auto"/>
            <w:bottom w:val="none" w:sz="0" w:space="0" w:color="auto"/>
            <w:right w:val="none" w:sz="0" w:space="0" w:color="auto"/>
          </w:divBdr>
        </w:div>
        <w:div w:id="2035498106">
          <w:marLeft w:val="0"/>
          <w:marRight w:val="0"/>
          <w:marTop w:val="0"/>
          <w:marBottom w:val="0"/>
          <w:divBdr>
            <w:top w:val="none" w:sz="0" w:space="0" w:color="auto"/>
            <w:left w:val="none" w:sz="0" w:space="0" w:color="auto"/>
            <w:bottom w:val="none" w:sz="0" w:space="0" w:color="auto"/>
            <w:right w:val="none" w:sz="0" w:space="0" w:color="auto"/>
          </w:divBdr>
        </w:div>
        <w:div w:id="1085805387">
          <w:marLeft w:val="0"/>
          <w:marRight w:val="0"/>
          <w:marTop w:val="0"/>
          <w:marBottom w:val="0"/>
          <w:divBdr>
            <w:top w:val="none" w:sz="0" w:space="0" w:color="auto"/>
            <w:left w:val="none" w:sz="0" w:space="0" w:color="auto"/>
            <w:bottom w:val="none" w:sz="0" w:space="0" w:color="auto"/>
            <w:right w:val="none" w:sz="0" w:space="0" w:color="auto"/>
          </w:divBdr>
        </w:div>
        <w:div w:id="762727818">
          <w:marLeft w:val="0"/>
          <w:marRight w:val="0"/>
          <w:marTop w:val="0"/>
          <w:marBottom w:val="0"/>
          <w:divBdr>
            <w:top w:val="none" w:sz="0" w:space="0" w:color="auto"/>
            <w:left w:val="none" w:sz="0" w:space="0" w:color="auto"/>
            <w:bottom w:val="none" w:sz="0" w:space="0" w:color="auto"/>
            <w:right w:val="none" w:sz="0" w:space="0" w:color="auto"/>
          </w:divBdr>
        </w:div>
        <w:div w:id="1168211048">
          <w:marLeft w:val="0"/>
          <w:marRight w:val="0"/>
          <w:marTop w:val="0"/>
          <w:marBottom w:val="0"/>
          <w:divBdr>
            <w:top w:val="none" w:sz="0" w:space="0" w:color="auto"/>
            <w:left w:val="none" w:sz="0" w:space="0" w:color="auto"/>
            <w:bottom w:val="none" w:sz="0" w:space="0" w:color="auto"/>
            <w:right w:val="none" w:sz="0" w:space="0" w:color="auto"/>
          </w:divBdr>
        </w:div>
        <w:div w:id="1265965939">
          <w:marLeft w:val="0"/>
          <w:marRight w:val="0"/>
          <w:marTop w:val="0"/>
          <w:marBottom w:val="0"/>
          <w:divBdr>
            <w:top w:val="none" w:sz="0" w:space="0" w:color="auto"/>
            <w:left w:val="none" w:sz="0" w:space="0" w:color="auto"/>
            <w:bottom w:val="none" w:sz="0" w:space="0" w:color="auto"/>
            <w:right w:val="none" w:sz="0" w:space="0" w:color="auto"/>
          </w:divBdr>
        </w:div>
        <w:div w:id="587621142">
          <w:marLeft w:val="0"/>
          <w:marRight w:val="0"/>
          <w:marTop w:val="0"/>
          <w:marBottom w:val="0"/>
          <w:divBdr>
            <w:top w:val="none" w:sz="0" w:space="0" w:color="auto"/>
            <w:left w:val="none" w:sz="0" w:space="0" w:color="auto"/>
            <w:bottom w:val="none" w:sz="0" w:space="0" w:color="auto"/>
            <w:right w:val="none" w:sz="0" w:space="0" w:color="auto"/>
          </w:divBdr>
        </w:div>
        <w:div w:id="1625648246">
          <w:marLeft w:val="0"/>
          <w:marRight w:val="0"/>
          <w:marTop w:val="0"/>
          <w:marBottom w:val="0"/>
          <w:divBdr>
            <w:top w:val="none" w:sz="0" w:space="0" w:color="auto"/>
            <w:left w:val="none" w:sz="0" w:space="0" w:color="auto"/>
            <w:bottom w:val="none" w:sz="0" w:space="0" w:color="auto"/>
            <w:right w:val="none" w:sz="0" w:space="0" w:color="auto"/>
          </w:divBdr>
        </w:div>
        <w:div w:id="139003555">
          <w:marLeft w:val="0"/>
          <w:marRight w:val="0"/>
          <w:marTop w:val="0"/>
          <w:marBottom w:val="0"/>
          <w:divBdr>
            <w:top w:val="none" w:sz="0" w:space="0" w:color="auto"/>
            <w:left w:val="none" w:sz="0" w:space="0" w:color="auto"/>
            <w:bottom w:val="none" w:sz="0" w:space="0" w:color="auto"/>
            <w:right w:val="none" w:sz="0" w:space="0" w:color="auto"/>
          </w:divBdr>
        </w:div>
        <w:div w:id="542015295">
          <w:marLeft w:val="0"/>
          <w:marRight w:val="0"/>
          <w:marTop w:val="0"/>
          <w:marBottom w:val="0"/>
          <w:divBdr>
            <w:top w:val="none" w:sz="0" w:space="0" w:color="auto"/>
            <w:left w:val="none" w:sz="0" w:space="0" w:color="auto"/>
            <w:bottom w:val="none" w:sz="0" w:space="0" w:color="auto"/>
            <w:right w:val="none" w:sz="0" w:space="0" w:color="auto"/>
          </w:divBdr>
        </w:div>
        <w:div w:id="1038435433">
          <w:marLeft w:val="0"/>
          <w:marRight w:val="0"/>
          <w:marTop w:val="0"/>
          <w:marBottom w:val="0"/>
          <w:divBdr>
            <w:top w:val="none" w:sz="0" w:space="0" w:color="auto"/>
            <w:left w:val="none" w:sz="0" w:space="0" w:color="auto"/>
            <w:bottom w:val="none" w:sz="0" w:space="0" w:color="auto"/>
            <w:right w:val="none" w:sz="0" w:space="0" w:color="auto"/>
          </w:divBdr>
        </w:div>
        <w:div w:id="528681819">
          <w:marLeft w:val="0"/>
          <w:marRight w:val="0"/>
          <w:marTop w:val="0"/>
          <w:marBottom w:val="0"/>
          <w:divBdr>
            <w:top w:val="none" w:sz="0" w:space="0" w:color="auto"/>
            <w:left w:val="none" w:sz="0" w:space="0" w:color="auto"/>
            <w:bottom w:val="none" w:sz="0" w:space="0" w:color="auto"/>
            <w:right w:val="none" w:sz="0" w:space="0" w:color="auto"/>
          </w:divBdr>
        </w:div>
      </w:divsChild>
    </w:div>
    <w:div w:id="17868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ZhongSi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5</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Jones</dc:creator>
  <cp:keywords/>
  <dc:description/>
  <cp:lastModifiedBy>Samuel Jones</cp:lastModifiedBy>
  <cp:revision>10</cp:revision>
  <dcterms:created xsi:type="dcterms:W3CDTF">2018-04-22T03:32:00Z</dcterms:created>
  <dcterms:modified xsi:type="dcterms:W3CDTF">2018-04-23T02:03:00Z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id="f8XhIvcD"/&gt;&lt;style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