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shapes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Model parameters are optimized by the negative Cox partial likelihood with Breslow tie handling [1,28],</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380449"/>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380449"/>
                    </a:xfrm>
                    <a:prstGeom prst="rect"/>
                  </pic:spPr>
                </pic:pic>
              </a:graphicData>
            </a:graphic>
          </wp:inline>
        </w:drawing>
      </w:r>
    </w:p>
    <w:p>
      <w:pPr>
        <w:spacing w:after="200"/>
      </w:pPr>
      <w:r>
        <w:rPr>
          <w:b/>
        </w:rPr>
        <w:t xml:space="preserve">Figure 6. </w:t>
      </w:r>
      <w:r>
        <w:rPr>
          <w:b w:val="0"/>
        </w:rPr>
        <w:t>IMvigor210 anti-PD-L1 cohort and template transfer (exploratory).** (A) Per-patient rewiring magnitude in responders (CR/PR) vs non-responders (SD/PD); Wilcoxon rank-sum test. (B) Overall survival of high- vs low-rewiring strata (median split) with log-rank test. (C) Ki-67 expression vs rewiring magnitude with Spearman correlation. (D) Template-transfer OS validation: per-cohort hazard ratios of high versus low template score in BRCA, KIRC and LUAD GEO cohorts, with fixed-effect estimates per cancer type; dashed line at HR = 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(Figure 6D).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 The internal performance gap has a plausible mechanistic basis: the pathway constraint restricts the input to 53 KEGG modules, and the dropout and consistency terms further limit effective capacity, whereas penalized Cox and the deep baselines fit the full expression vector without these constraints. On single-transcriptome data with moderate effect sizes, that restriction seemingly costs discrimination while purchasing a structured, testable attention output. The external pattern is consistent with this reading: the deep baselines fell to 0.50 on average across 25 GEO cohorts, essentially the level of Path-AGNN-Cox (0.51), whereas penalized Cox retained the highest external mean (0.57), suggesting that a linear, sparsity-controlled expression-to-risk mapping remains the most portable representation in these data.</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Comparison with classical and deep survival models.</w:t>
      </w:r>
      <w:r>
        <w:rPr>
          <w:b w:val="0"/>
        </w:rPr>
        <w:t xml:space="preserve"> Relative to penalized Cox, the shared ground is sparsity-oriented regularization; the difference is that Lasso, Ridge and Elastic-Net treat genes as unordered covariates and offer no mechanistic object to interrogate, whereas Path-AGNN-Cox couples a biologically labeled graph to the risk head and exposes its patient-specific variation to testing. Relative to DeepSurv and Cox-nnet, both families learn nonlinear representations, but their internal features are not tied to pre-defined pathways, so even when attention-like quantities exist they cannot support a pathway-level rewiring test; in turn, Path-AGNN-Cox trades part of its internal discrimination for this testable structure. Random survival forests occupy a similar position: splits on individual genes are interpretable as biomarkers yet carry no explicit inter-gene topology. Across all three families, the present benchmark indicates that none of them, including the pathway-constrained variants, improved external C-index over penalized Cox in these data; accordingly, the comparative value of Path-AGNN-Cox lies in the graph-dynamic output rather than in ranking metrics alone.</w:t>
      </w:r>
    </w:p>
    <w:p>
      <w:r>
        <w:rPr>
          <w:b/>
        </w:rPr>
        <w:t>External transfer of rewiring.</w:t>
      </w:r>
      <w:r>
        <w:rPr>
          <w:b w:val="0"/>
        </w:rPr>
        <w:t xml:space="preserve"> The between-stratum rewiring tests are cohort-internal: they indicate that the adaptive weights carry risk-associated structure within the training cohort, and they do not by themselves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Three explanations are consistent with these results: the rewiring signal may reflect cohort-specific biological or technical structure that does not generalize; the rewiring magnitude may be too noisy after platform transfer because transferred features are standardized with training statistics; and the external cohorts are comparatively small (226–442 patients, 35–236 events), so modest portable effects, if any, would be difficult to detect at the observed power.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Implications and future directions.</w:t>
      </w:r>
      <w:r>
        <w:rPr>
          <w:b w:val="0"/>
        </w:rPr>
        <w:t xml:space="preserve"> Methodologically, the framework converts patient-specific pathway graphs into formal statistical objects; the testing pipeline of label-permutation nulls, matched gene-set controls, architectural controls and clinical anchoring can, in turn, be applied to any survival model that emits per-sample attention over a pre-defined structure. Clinically, the exploratory ICB result suggests a potential, still tentative use case: if the BLCA rewiring template is confirmed in prospective cohorts, it could complement TMB as a response stratifier in the low-TMB subgroup, where the association was concentrated; paired on-treatment biopsies, as profiled in GSE91061, additionally offer a design in which within-patient rewiring dynamics could be monitored over the course of therapy. Several extensions follow from the present limitations. Platform-matched or harmonized external data are needed to separate true non-transferability from technical noise in the rewiring signal. Multi-omics inputs could, moreover, modulate the pathway graph with copy-number and mutation states, thereby testing whether genomic drivers shape the observed attention differences. Single-cell resolution would further map bulk-level rewiring onto cell-type-specific regulatory changes, and perturbation experiments in model systems remain the only route by which the correlational pathway-level associations reported here could be advanced toward causal statements.</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a demonstrable malignancy-dependent gating mechanism.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Z.W. and L.W. contributed equally to this work. Z.W. conceived and designed the study, developed the Path-AGNN-Cox model and analysis pipelines, performed the benchmark, rewiring and immunotherapy analyses, and wrote the main manuscript text. L.W. curated and preprocessed the TCGA and GEO data, contributed to methodology, and co-wrote the main manuscript text. C.W. supervised the study and revised the manuscript. P.Z. provided resources and revised the manuscript. Z.L. validated the results and revised the manuscript. H.F. and Q.H. performed the investigation and prepared the figures. H.L. contributed to data curation and validation. M.G. contributed to the formal analysis and revised the manuscript. All authors reviewed and approved the final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