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comparable to deep survival baselines but below penalized Cox; no discrimination gain is claimed. Its distinguishing output is the interpretable rewiring: risk-associated pathway weights exceeded label-permutation nulls in BRCA, LUAD and KIRC, correlated with clinical indicators of malignancy, and were absent by construction in static pathway models.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Model parameters are optimized by the negative Cox partial likelihood with Breslow tie handling [1,28],</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and the fixed-effect combination of the two BLCA-template cohorts was significant (g = 0.28, 95% CI 0.04–0.53, P=0.022, I2 = 0%). A third urothelial cohort, GSE225066 (NEODURVARIB, n = 16 pre-treatment biopsies; neoadjuvant durvalumab plus olaparib; pathological response), showed no association beyond random gene-set controls (Hedges g = 0.05, Wilcoxon P=1.000, random-control percentile 79.9%), and the three-cohort BLCA-template combination remained nominally significant (g = 0.27, 95% CI 0.03–0.51, P=0.025, I2 = 0%) with the signal carried by the two RECIST-assessed cohorts.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The IMvigor210 association was concentrated in the low-TMB stratum with Wilcoxon P=0.004 and was absent in the high-TMB stratum with P=0.919; a second urothelial cohort, GSE176307, showed the same direction and the combined BLCA-template effect was significant with P=0.022 and I2 = 0%, although the GSE176307 effect alone reached a random-control percentile of 87.4%. These associations were not corrected for multiple testing across cohorts, templates and strata,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