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 Under the same testing procedure, a standard GAT control detected 3 of 54 pathways in KIRC and 11 of 54 in BRCA, compared with 52 and 43 of 53 for the pathway-constrained model; the framework thus distinguished cohorts with detectable rewiring from LUAD, where pathway-constrained signal did not exceed matched nulls.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showed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 = 0.019, n = 68/230) and exceeded 96.2% of 2,850 equal-size random gene-set controls. A second urothelial ICB cohort, GSE176307 (n = 87, 16 responders), showed the same direction with the BLCA template (Hedges g = 0.20, Wilcoxon P = 0.588), and the fixed-effect combination of the two BLCA-template cohorts was significant (g = 0.28, 95% CI 0.04-0.53, P = 0.022, I2 = 0%). A third urothelial cohort, GSE225066 (NEODURVARIB, n = 16 pre-treatment biopsies; neoadjuvant durvalumab plus olaparib; pathological response), showed no association beyond random gene-set controls (Hedges g = 0.05, Wilcoxon P = 1.000, random-control percentile 79.9%), and the three-cohort BLCA-template combination remained nominally significant (g = 0.27, 95% CI 0.03-0.51, P = 0.025, I2 = 0%) with the signal carried by the two RECIST-assessed cohorts. Among the four anti-PD-1/PD-L1 cohorts, the combined effect was g = 0.25 (95% CI 0.03-0.47, P = 0.025, I2 = 0%), whereas including the anti-CTLA-4 cohort GSE100797 removed the significance (P = 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 = 0.682, P = 0.393 and P = 0.174; random-control percentiles 48.9%, 71.1% and 19.4%). As a timepoint sensitivity check in GSE91061, we re-scored the 42 on-treatment biopsies with patient-level response annotation. The nominally inverse association between the SKCM template score and response (Hedges g = -0.50, Wilcoxon P = 0.032) fell within the equal-size random gene-set null (38.5th percentile of 2,850 controls), and the paired pre-to-on-treatment change in template score did not differ between responders and non-responders (Hedges g = -0.79, Wilcoxon P = 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 = 0.004, n = 114), whereas no association was present in the high-TMB stratum (P = 0.919, n = 120). In the low-TMB stratum, patients with high template scores showed a response rate of 18.4% compared with 6.9% in the low-score group (Fisher exact P = 0.032, OR = 3.06). The association was also present within the IC1 immune-cell stratum (Wilcoxon P = 0.045) and directionally consistent in IC0 and IC2 (P = 0.178 and P = 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(Wilcoxon P = 0.019, exceeding 96.2% of random gene-set controls), whereas the corresponding SKCM-based templates in three melanoma ICB cohorts did not exceed random gene-set controls. The IMvigor210 association was concentrated in the low-TMB stratum (Wilcoxon P = 0.004) and was absent in the high-TMB stratum (P = 0.919); a second urothelial cohort, GSE176307, showed the same direction and the combined BLCA-template effect was significant (P = 0.022) with I2 = 0%, although the GSE176307 effect alone did not exceed the 95% random-control threshold (87.4%). These associations were not corrected for multiple testing across cohorts, templates and strata and require prospective validation.</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