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correlated with clinical indicators of malignancy (Ki-67, TMB), and was absent by construction in static pathway models. In the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(installable via `pip install path-agnn-cox`) are available at https://github.com/wangzhipeng-1/Path-AGNN-Cox under the MIT license, with an archived snapshot at Zenodo (https://doi.org/10.5281/zenodo.22030045).</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 source code is available at https://github.com/wangzhipeng-1/Path-AGNN-Cox under the MIT license, and a versioned archive is available at https://doi.org/10.5281/zenodo.22030045.</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and BRCA under the same 5-fold partitions: the internal C-index was stable (LUAD: 0.50 ± 0.04; BRCA: 0.59 ± 0.04;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r>
        <w:rPr>
          <w:b w:val="0"/>
        </w:rPr>
        <w:t>Calibration of the risk score was assessed with the slope of a univariate Cox regression of the standardized risk score and with the mean absolute deviation between model-predicted and Kaplan\u2013Meier survival across risk tertiles at the 25th, 50th and 75th percentiles of follow-up time as detailed in Table 5. The internal out-of-fold slope was -0.02 with 95% CI -0.16–0.12 and a calibration MAE of 0.02 in LUAD, and -0.05 with 95% CI -0.23–0.14 and MAE 0.01 in BRCA; the penalized Cox counterpart produced slopes of 0.39 and 0.49, respectively. External slopes for Path-AGNN-Cox ranged from -0.11 to 0.79 with a mean of 0.15.</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5. Calibration of the risk score in internal and external cohorts.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val="0"/>
              </w:rPr>
              <w:t>Dataset</w:t>
            </w:r>
          </w:p>
        </w:tc>
        <w:tc>
          <w:tcPr>
            <w:tcW w:type="dxa" w:w="960"/>
          </w:tcPr>
          <w:p>
            <w:r/>
            <w:r>
              <w:rPr>
                <w:b w:val="0"/>
              </w:rPr>
              <w:t>Setting</w:t>
            </w:r>
          </w:p>
        </w:tc>
        <w:tc>
          <w:tcPr>
            <w:tcW w:type="dxa" w:w="960"/>
          </w:tcPr>
          <w:p>
            <w:r/>
            <w:r>
              <w:rPr>
                <w:b w:val="0"/>
              </w:rPr>
              <w:t>Cohort</w:t>
            </w:r>
          </w:p>
        </w:tc>
        <w:tc>
          <w:tcPr>
            <w:tcW w:type="dxa" w:w="960"/>
          </w:tcPr>
          <w:p>
            <w:r/>
            <w:r>
              <w:rPr>
                <w:b w:val="0"/>
              </w:rPr>
              <w:t>Model</w:t>
            </w:r>
          </w:p>
        </w:tc>
        <w:tc>
          <w:tcPr>
            <w:tcW w:type="dxa" w:w="960"/>
          </w:tcPr>
          <w:p>
            <w:r/>
            <w:r>
              <w:rPr>
                <w:b w:val="0"/>
              </w:rPr>
              <w:t>N</w:t>
            </w:r>
          </w:p>
        </w:tc>
        <w:tc>
          <w:tcPr>
            <w:tcW w:type="dxa" w:w="960"/>
          </w:tcPr>
          <w:p>
            <w:r/>
            <w:r>
              <w:rPr>
                <w:b w:val="0"/>
              </w:rPr>
              <w:t>Events</w:t>
            </w:r>
          </w:p>
        </w:tc>
        <w:tc>
          <w:tcPr>
            <w:tcW w:type="dxa" w:w="960"/>
          </w:tcPr>
          <w:p>
            <w:r/>
            <w:r>
              <w:rPr>
                <w:b w:val="0"/>
              </w:rPr>
              <w:t>Slope</w:t>
            </w:r>
          </w:p>
        </w:tc>
        <w:tc>
          <w:tcPr>
            <w:tcW w:type="dxa" w:w="960"/>
          </w:tcPr>
          <w:p>
            <w:r/>
            <w:r>
              <w:rPr>
                <w:b w:val="0"/>
              </w:rPr>
              <w:t>95% CI</w:t>
            </w:r>
          </w:p>
        </w:tc>
        <w:tc>
          <w:tcPr>
            <w:tcW w:type="dxa" w:w="960"/>
          </w:tcPr>
          <w:p>
            <w:r/>
            <w:r>
              <w:rPr>
                <w:b w:val="0"/>
              </w:rPr>
              <w:t>MAE</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Path-AGNN-Cox</w:t>
            </w:r>
          </w:p>
        </w:tc>
        <w:tc>
          <w:tcPr>
            <w:tcW w:type="dxa" w:w="960"/>
          </w:tcPr>
          <w:p>
            <w:r/>
            <w:r>
              <w:rPr>
                <w:b w:val="0"/>
              </w:rPr>
              <w:t>527</w:t>
            </w:r>
          </w:p>
        </w:tc>
        <w:tc>
          <w:tcPr>
            <w:tcW w:type="dxa" w:w="960"/>
          </w:tcPr>
          <w:p>
            <w:r/>
            <w:r>
              <w:rPr>
                <w:b w:val="0"/>
              </w:rPr>
              <w:t>188</w:t>
            </w:r>
          </w:p>
        </w:tc>
        <w:tc>
          <w:tcPr>
            <w:tcW w:type="dxa" w:w="960"/>
          </w:tcPr>
          <w:p>
            <w:r/>
            <w:r>
              <w:rPr>
                <w:b w:val="0"/>
              </w:rPr>
              <w:t>-0.02</w:t>
            </w:r>
          </w:p>
        </w:tc>
        <w:tc>
          <w:tcPr>
            <w:tcW w:type="dxa" w:w="960"/>
          </w:tcPr>
          <w:p>
            <w:r/>
            <w:r>
              <w:rPr>
                <w:b w:val="0"/>
              </w:rPr>
              <w:t>-0.16–0.12</w:t>
            </w:r>
          </w:p>
        </w:tc>
        <w:tc>
          <w:tcPr>
            <w:tcW w:type="dxa" w:w="960"/>
          </w:tcPr>
          <w:p>
            <w:r/>
            <w:r>
              <w:rPr>
                <w:b w:val="0"/>
              </w:rPr>
              <w:t>0.02</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Ridge-Cox</w:t>
            </w:r>
          </w:p>
        </w:tc>
        <w:tc>
          <w:tcPr>
            <w:tcW w:type="dxa" w:w="960"/>
          </w:tcPr>
          <w:p>
            <w:r/>
            <w:r>
              <w:rPr>
                <w:b w:val="0"/>
              </w:rPr>
              <w:t>527</w:t>
            </w:r>
          </w:p>
        </w:tc>
        <w:tc>
          <w:tcPr>
            <w:tcW w:type="dxa" w:w="960"/>
          </w:tcPr>
          <w:p>
            <w:r/>
            <w:r>
              <w:rPr>
                <w:b w:val="0"/>
              </w:rPr>
              <w:t>188</w:t>
            </w:r>
          </w:p>
        </w:tc>
        <w:tc>
          <w:tcPr>
            <w:tcW w:type="dxa" w:w="960"/>
          </w:tcPr>
          <w:p>
            <w:r/>
            <w:r>
              <w:rPr>
                <w:b w:val="0"/>
              </w:rPr>
              <w:t>0.39</w:t>
            </w:r>
          </w:p>
        </w:tc>
        <w:tc>
          <w:tcPr>
            <w:tcW w:type="dxa" w:w="960"/>
          </w:tcPr>
          <w:p>
            <w:r/>
            <w:r>
              <w:rPr>
                <w:b w:val="0"/>
              </w:rPr>
              <w:t>0.25–0.53</w:t>
            </w:r>
          </w:p>
        </w:tc>
        <w:tc>
          <w:tcPr>
            <w:tcW w:type="dxa" w:w="960"/>
          </w:tcPr>
          <w:p>
            <w:r/>
            <w:r>
              <w:rPr>
                <w:b w:val="0"/>
              </w:rPr>
              <w:t>0.00</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Path-AGNN-Cox</w:t>
            </w:r>
          </w:p>
        </w:tc>
        <w:tc>
          <w:tcPr>
            <w:tcW w:type="dxa" w:w="960"/>
          </w:tcPr>
          <w:p>
            <w:r/>
            <w:r>
              <w:rPr>
                <w:b w:val="0"/>
              </w:rPr>
              <w:t>226</w:t>
            </w:r>
          </w:p>
        </w:tc>
        <w:tc>
          <w:tcPr>
            <w:tcW w:type="dxa" w:w="960"/>
          </w:tcPr>
          <w:p>
            <w:r/>
            <w:r>
              <w:rPr>
                <w:b w:val="0"/>
              </w:rPr>
              <w:t>35</w:t>
            </w:r>
          </w:p>
        </w:tc>
        <w:tc>
          <w:tcPr>
            <w:tcW w:type="dxa" w:w="960"/>
          </w:tcPr>
          <w:p>
            <w:r/>
            <w:r>
              <w:rPr>
                <w:b w:val="0"/>
              </w:rPr>
              <w:t>0.79</w:t>
            </w:r>
          </w:p>
        </w:tc>
        <w:tc>
          <w:tcPr>
            <w:tcW w:type="dxa" w:w="960"/>
          </w:tcPr>
          <w:p>
            <w:r/>
            <w:r>
              <w:rPr>
                <w:b w:val="0"/>
              </w:rPr>
              <w:t>0.49–1.09</w:t>
            </w:r>
          </w:p>
        </w:tc>
        <w:tc>
          <w:tcPr>
            <w:tcW w:type="dxa" w:w="960"/>
          </w:tcPr>
          <w:p>
            <w:r/>
            <w:r>
              <w:rPr>
                <w:b w:val="0"/>
              </w:rPr>
              <w:t>0.03</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Ridge-Cox</w:t>
            </w:r>
          </w:p>
        </w:tc>
        <w:tc>
          <w:tcPr>
            <w:tcW w:type="dxa" w:w="960"/>
          </w:tcPr>
          <w:p>
            <w:r/>
            <w:r>
              <w:rPr>
                <w:b w:val="0"/>
              </w:rPr>
              <w:t>226</w:t>
            </w:r>
          </w:p>
        </w:tc>
        <w:tc>
          <w:tcPr>
            <w:tcW w:type="dxa" w:w="960"/>
          </w:tcPr>
          <w:p>
            <w:r/>
            <w:r>
              <w:rPr>
                <w:b w:val="0"/>
              </w:rPr>
              <w:t>35</w:t>
            </w:r>
          </w:p>
        </w:tc>
        <w:tc>
          <w:tcPr>
            <w:tcW w:type="dxa" w:w="960"/>
          </w:tcPr>
          <w:p>
            <w:r/>
            <w:r>
              <w:rPr>
                <w:b w:val="0"/>
              </w:rPr>
              <w:t>0.57</w:t>
            </w:r>
          </w:p>
        </w:tc>
        <w:tc>
          <w:tcPr>
            <w:tcW w:type="dxa" w:w="960"/>
          </w:tcPr>
          <w:p>
            <w:r/>
            <w:r>
              <w:rPr>
                <w:b w:val="0"/>
              </w:rPr>
              <w:t>0.30–0.84</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Path-AGNN-Cox</w:t>
            </w:r>
          </w:p>
        </w:tc>
        <w:tc>
          <w:tcPr>
            <w:tcW w:type="dxa" w:w="960"/>
          </w:tcPr>
          <w:p>
            <w:r/>
            <w:r>
              <w:rPr>
                <w:b w:val="0"/>
              </w:rPr>
              <w:t>181</w:t>
            </w:r>
          </w:p>
        </w:tc>
        <w:tc>
          <w:tcPr>
            <w:tcW w:type="dxa" w:w="960"/>
          </w:tcPr>
          <w:p>
            <w:r/>
            <w:r>
              <w:rPr>
                <w:b w:val="0"/>
              </w:rPr>
              <w:t>75</w:t>
            </w:r>
          </w:p>
        </w:tc>
        <w:tc>
          <w:tcPr>
            <w:tcW w:type="dxa" w:w="960"/>
          </w:tcPr>
          <w:p>
            <w:r/>
            <w:r>
              <w:rPr>
                <w:b w:val="0"/>
              </w:rPr>
              <w:t>0.05</w:t>
            </w:r>
          </w:p>
        </w:tc>
        <w:tc>
          <w:tcPr>
            <w:tcW w:type="dxa" w:w="960"/>
          </w:tcPr>
          <w:p>
            <w:r/>
            <w:r>
              <w:rPr>
                <w:b w:val="0"/>
              </w:rPr>
              <w:t>-0.19–0.30</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Ridge-Cox</w:t>
            </w:r>
          </w:p>
        </w:tc>
        <w:tc>
          <w:tcPr>
            <w:tcW w:type="dxa" w:w="960"/>
          </w:tcPr>
          <w:p>
            <w:r/>
            <w:r>
              <w:rPr>
                <w:b w:val="0"/>
              </w:rPr>
              <w:t>181</w:t>
            </w:r>
          </w:p>
        </w:tc>
        <w:tc>
          <w:tcPr>
            <w:tcW w:type="dxa" w:w="960"/>
          </w:tcPr>
          <w:p>
            <w:r/>
            <w:r>
              <w:rPr>
                <w:b w:val="0"/>
              </w:rPr>
              <w:t>75</w:t>
            </w:r>
          </w:p>
        </w:tc>
        <w:tc>
          <w:tcPr>
            <w:tcW w:type="dxa" w:w="960"/>
          </w:tcPr>
          <w:p>
            <w:r/>
            <w:r>
              <w:rPr>
                <w:b w:val="0"/>
              </w:rPr>
              <w:t>0.17</w:t>
            </w:r>
          </w:p>
        </w:tc>
        <w:tc>
          <w:tcPr>
            <w:tcW w:type="dxa" w:w="960"/>
          </w:tcPr>
          <w:p>
            <w:r/>
            <w:r>
              <w:rPr>
                <w:b w:val="0"/>
              </w:rPr>
              <w:t>-0.05–0.38</w:t>
            </w:r>
          </w:p>
        </w:tc>
        <w:tc>
          <w:tcPr>
            <w:tcW w:type="dxa" w:w="960"/>
          </w:tcPr>
          <w:p>
            <w:r/>
            <w:r>
              <w:rPr>
                <w:b w:val="0"/>
              </w:rPr>
              <w:t>0.09</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Path-AGNN-Cox</w:t>
            </w:r>
          </w:p>
        </w:tc>
        <w:tc>
          <w:tcPr>
            <w:tcW w:type="dxa" w:w="960"/>
          </w:tcPr>
          <w:p>
            <w:r/>
            <w:r>
              <w:rPr>
                <w:b w:val="0"/>
              </w:rPr>
              <w:t>442</w:t>
            </w:r>
          </w:p>
        </w:tc>
        <w:tc>
          <w:tcPr>
            <w:tcW w:type="dxa" w:w="960"/>
          </w:tcPr>
          <w:p>
            <w:r/>
            <w:r>
              <w:rPr>
                <w:b w:val="0"/>
              </w:rPr>
              <w:t>236</w:t>
            </w:r>
          </w:p>
        </w:tc>
        <w:tc>
          <w:tcPr>
            <w:tcW w:type="dxa" w:w="960"/>
          </w:tcPr>
          <w:p>
            <w:r/>
            <w:r>
              <w:rPr>
                <w:b w:val="0"/>
              </w:rPr>
              <w:t>0.05</w:t>
            </w:r>
          </w:p>
        </w:tc>
        <w:tc>
          <w:tcPr>
            <w:tcW w:type="dxa" w:w="960"/>
          </w:tcPr>
          <w:p>
            <w:r/>
            <w:r>
              <w:rPr>
                <w:b w:val="0"/>
              </w:rPr>
              <w:t>-0.09–0.18</w:t>
            </w:r>
          </w:p>
        </w:tc>
        <w:tc>
          <w:tcPr>
            <w:tcW w:type="dxa" w:w="960"/>
          </w:tcPr>
          <w:p>
            <w:r/>
            <w:r>
              <w:rPr>
                <w:b w:val="0"/>
              </w:rPr>
              <w:t>0.02</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Ridge-Cox</w:t>
            </w:r>
          </w:p>
        </w:tc>
        <w:tc>
          <w:tcPr>
            <w:tcW w:type="dxa" w:w="960"/>
          </w:tcPr>
          <w:p>
            <w:r/>
            <w:r>
              <w:rPr>
                <w:b w:val="0"/>
              </w:rPr>
              <w:t>442</w:t>
            </w:r>
          </w:p>
        </w:tc>
        <w:tc>
          <w:tcPr>
            <w:tcW w:type="dxa" w:w="960"/>
          </w:tcPr>
          <w:p>
            <w:r/>
            <w:r>
              <w:rPr>
                <w:b w:val="0"/>
              </w:rPr>
              <w:t>236</w:t>
            </w:r>
          </w:p>
        </w:tc>
        <w:tc>
          <w:tcPr>
            <w:tcW w:type="dxa" w:w="960"/>
          </w:tcPr>
          <w:p>
            <w:r/>
            <w:r>
              <w:rPr>
                <w:b w:val="0"/>
              </w:rPr>
              <w:t>0.22</w:t>
            </w:r>
          </w:p>
        </w:tc>
        <w:tc>
          <w:tcPr>
            <w:tcW w:type="dxa" w:w="960"/>
          </w:tcPr>
          <w:p>
            <w:r/>
            <w:r>
              <w:rPr>
                <w:b w:val="0"/>
              </w:rPr>
              <w:t>0.10–0.34</w:t>
            </w:r>
          </w:p>
        </w:tc>
        <w:tc>
          <w:tcPr>
            <w:tcW w:type="dxa" w:w="960"/>
          </w:tcPr>
          <w:p>
            <w:r/>
            <w:r>
              <w:rPr>
                <w:b w:val="0"/>
              </w:rPr>
              <w:t>0.04</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Path-AGNN-Cox</w:t>
            </w:r>
          </w:p>
        </w:tc>
        <w:tc>
          <w:tcPr>
            <w:tcW w:type="dxa" w:w="960"/>
          </w:tcPr>
          <w:p>
            <w:r/>
            <w:r>
              <w:rPr>
                <w:b w:val="0"/>
              </w:rPr>
              <w:t>1086</w:t>
            </w:r>
          </w:p>
        </w:tc>
        <w:tc>
          <w:tcPr>
            <w:tcW w:type="dxa" w:w="960"/>
          </w:tcPr>
          <w:p>
            <w:r/>
            <w:r>
              <w:rPr>
                <w:b w:val="0"/>
              </w:rPr>
              <w:t>151</w:t>
            </w:r>
          </w:p>
        </w:tc>
        <w:tc>
          <w:tcPr>
            <w:tcW w:type="dxa" w:w="960"/>
          </w:tcPr>
          <w:p>
            <w:r/>
            <w:r>
              <w:rPr>
                <w:b w:val="0"/>
              </w:rPr>
              <w:t>-0.05</w:t>
            </w:r>
          </w:p>
        </w:tc>
        <w:tc>
          <w:tcPr>
            <w:tcW w:type="dxa" w:w="960"/>
          </w:tcPr>
          <w:p>
            <w:r/>
            <w:r>
              <w:rPr>
                <w:b w:val="0"/>
              </w:rPr>
              <w:t>-0.23–0.14</w:t>
            </w:r>
          </w:p>
        </w:tc>
        <w:tc>
          <w:tcPr>
            <w:tcW w:type="dxa" w:w="960"/>
          </w:tcPr>
          <w:p>
            <w:r/>
            <w:r>
              <w:rPr>
                <w:b w:val="0"/>
              </w:rPr>
              <w:t>0.01</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Ridge-Cox</w:t>
            </w:r>
          </w:p>
        </w:tc>
        <w:tc>
          <w:tcPr>
            <w:tcW w:type="dxa" w:w="960"/>
          </w:tcPr>
          <w:p>
            <w:r/>
            <w:r>
              <w:rPr>
                <w:b w:val="0"/>
              </w:rPr>
              <w:t>1086</w:t>
            </w:r>
          </w:p>
        </w:tc>
        <w:tc>
          <w:tcPr>
            <w:tcW w:type="dxa" w:w="960"/>
          </w:tcPr>
          <w:p>
            <w:r/>
            <w:r>
              <w:rPr>
                <w:b w:val="0"/>
              </w:rPr>
              <w:t>151</w:t>
            </w:r>
          </w:p>
        </w:tc>
        <w:tc>
          <w:tcPr>
            <w:tcW w:type="dxa" w:w="960"/>
          </w:tcPr>
          <w:p>
            <w:r/>
            <w:r>
              <w:rPr>
                <w:b w:val="0"/>
              </w:rPr>
              <w:t>0.49</w:t>
            </w:r>
          </w:p>
        </w:tc>
        <w:tc>
          <w:tcPr>
            <w:tcW w:type="dxa" w:w="960"/>
          </w:tcPr>
          <w:p>
            <w:r/>
            <w:r>
              <w:rPr>
                <w:b w:val="0"/>
              </w:rPr>
              <w:t>0.34–0.64</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Path-AGNN-Cox</w:t>
            </w:r>
          </w:p>
        </w:tc>
        <w:tc>
          <w:tcPr>
            <w:tcW w:type="dxa" w:w="960"/>
          </w:tcPr>
          <w:p>
            <w:r/>
            <w:r>
              <w:rPr>
                <w:b w:val="0"/>
              </w:rPr>
              <w:t>327</w:t>
            </w:r>
          </w:p>
        </w:tc>
        <w:tc>
          <w:tcPr>
            <w:tcW w:type="dxa" w:w="960"/>
          </w:tcPr>
          <w:p>
            <w:r/>
            <w:r>
              <w:rPr>
                <w:b w:val="0"/>
              </w:rPr>
              <w:t>83</w:t>
            </w:r>
          </w:p>
        </w:tc>
        <w:tc>
          <w:tcPr>
            <w:tcW w:type="dxa" w:w="960"/>
          </w:tcPr>
          <w:p>
            <w:r/>
            <w:r>
              <w:rPr>
                <w:b w:val="0"/>
              </w:rPr>
              <w:t>-0.11</w:t>
            </w:r>
          </w:p>
        </w:tc>
        <w:tc>
          <w:tcPr>
            <w:tcW w:type="dxa" w:w="960"/>
          </w:tcPr>
          <w:p>
            <w:r/>
            <w:r>
              <w:rPr>
                <w:b w:val="0"/>
              </w:rPr>
              <w:t>-0.33–0.10</w:t>
            </w:r>
          </w:p>
        </w:tc>
        <w:tc>
          <w:tcPr>
            <w:tcW w:type="dxa" w:w="960"/>
          </w:tcPr>
          <w:p>
            <w:r/>
            <w:r>
              <w:rPr>
                <w:b w:val="0"/>
              </w:rPr>
              <w:t>0.07</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Ridge-Cox</w:t>
            </w:r>
          </w:p>
        </w:tc>
        <w:tc>
          <w:tcPr>
            <w:tcW w:type="dxa" w:w="960"/>
          </w:tcPr>
          <w:p>
            <w:r/>
            <w:r>
              <w:rPr>
                <w:b w:val="0"/>
              </w:rPr>
              <w:t>327</w:t>
            </w:r>
          </w:p>
        </w:tc>
        <w:tc>
          <w:tcPr>
            <w:tcW w:type="dxa" w:w="960"/>
          </w:tcPr>
          <w:p>
            <w:r/>
            <w:r>
              <w:rPr>
                <w:b w:val="0"/>
              </w:rPr>
              <w:t>83</w:t>
            </w:r>
          </w:p>
        </w:tc>
        <w:tc>
          <w:tcPr>
            <w:tcW w:type="dxa" w:w="960"/>
          </w:tcPr>
          <w:p>
            <w:r/>
            <w:r>
              <w:rPr>
                <w:b w:val="0"/>
              </w:rPr>
              <w:t>0.68</w:t>
            </w:r>
          </w:p>
        </w:tc>
        <w:tc>
          <w:tcPr>
            <w:tcW w:type="dxa" w:w="960"/>
          </w:tcPr>
          <w:p>
            <w:r/>
            <w:r>
              <w:rPr>
                <w:b w:val="0"/>
              </w:rPr>
              <w:t>0.46–0.89</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Path-AGNN-Cox</w:t>
            </w:r>
          </w:p>
        </w:tc>
        <w:tc>
          <w:tcPr>
            <w:tcW w:type="dxa" w:w="960"/>
          </w:tcPr>
          <w:p>
            <w:r/>
            <w:r>
              <w:rPr>
                <w:b w:val="0"/>
              </w:rPr>
              <w:t>248</w:t>
            </w:r>
          </w:p>
        </w:tc>
        <w:tc>
          <w:tcPr>
            <w:tcW w:type="dxa" w:w="960"/>
          </w:tcPr>
          <w:p>
            <w:r/>
            <w:r>
              <w:rPr>
                <w:b w:val="0"/>
              </w:rPr>
              <w:t>79</w:t>
            </w:r>
          </w:p>
        </w:tc>
        <w:tc>
          <w:tcPr>
            <w:tcW w:type="dxa" w:w="960"/>
          </w:tcPr>
          <w:p>
            <w:r/>
            <w:r>
              <w:rPr>
                <w:b w:val="0"/>
              </w:rPr>
              <w:t>-0.05</w:t>
            </w:r>
          </w:p>
        </w:tc>
        <w:tc>
          <w:tcPr>
            <w:tcW w:type="dxa" w:w="960"/>
          </w:tcPr>
          <w:p>
            <w:r/>
            <w:r>
              <w:rPr>
                <w:b w:val="0"/>
              </w:rPr>
              <w:t>-0.27–0.18</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Ridge-Cox</w:t>
            </w:r>
          </w:p>
        </w:tc>
        <w:tc>
          <w:tcPr>
            <w:tcW w:type="dxa" w:w="960"/>
          </w:tcPr>
          <w:p>
            <w:r/>
            <w:r>
              <w:rPr>
                <w:b w:val="0"/>
              </w:rPr>
              <w:t>248</w:t>
            </w:r>
          </w:p>
        </w:tc>
        <w:tc>
          <w:tcPr>
            <w:tcW w:type="dxa" w:w="960"/>
          </w:tcPr>
          <w:p>
            <w:r/>
            <w:r>
              <w:rPr>
                <w:b w:val="0"/>
              </w:rPr>
              <w:t>79</w:t>
            </w:r>
          </w:p>
        </w:tc>
        <w:tc>
          <w:tcPr>
            <w:tcW w:type="dxa" w:w="960"/>
          </w:tcPr>
          <w:p>
            <w:r/>
            <w:r>
              <w:rPr>
                <w:b w:val="0"/>
              </w:rPr>
              <w:t>0.46</w:t>
            </w:r>
          </w:p>
        </w:tc>
        <w:tc>
          <w:tcPr>
            <w:tcW w:type="dxa" w:w="960"/>
          </w:tcPr>
          <w:p>
            <w:r/>
            <w:r>
              <w:rPr>
                <w:b w:val="0"/>
              </w:rPr>
              <w:t>0.25–0.66</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Path-AGNN-Cox</w:t>
            </w:r>
          </w:p>
        </w:tc>
        <w:tc>
          <w:tcPr>
            <w:tcW w:type="dxa" w:w="960"/>
          </w:tcPr>
          <w:p>
            <w:r/>
            <w:r>
              <w:rPr>
                <w:b w:val="0"/>
              </w:rPr>
              <w:t>198</w:t>
            </w:r>
          </w:p>
        </w:tc>
        <w:tc>
          <w:tcPr>
            <w:tcW w:type="dxa" w:w="960"/>
          </w:tcPr>
          <w:p>
            <w:r/>
            <w:r>
              <w:rPr>
                <w:b w:val="0"/>
              </w:rPr>
              <w:t>56</w:t>
            </w:r>
          </w:p>
        </w:tc>
        <w:tc>
          <w:tcPr>
            <w:tcW w:type="dxa" w:w="960"/>
          </w:tcPr>
          <w:p>
            <w:r/>
            <w:r>
              <w:rPr>
                <w:b w:val="0"/>
              </w:rPr>
              <w:t>0.20</w:t>
            </w:r>
          </w:p>
        </w:tc>
        <w:tc>
          <w:tcPr>
            <w:tcW w:type="dxa" w:w="960"/>
          </w:tcPr>
          <w:p>
            <w:r/>
            <w:r>
              <w:rPr>
                <w:b w:val="0"/>
              </w:rPr>
              <w:t>-0.06–0.45</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Ridge-Cox</w:t>
            </w:r>
          </w:p>
        </w:tc>
        <w:tc>
          <w:tcPr>
            <w:tcW w:type="dxa" w:w="960"/>
          </w:tcPr>
          <w:p>
            <w:r/>
            <w:r>
              <w:rPr>
                <w:b w:val="0"/>
              </w:rPr>
              <w:t>198</w:t>
            </w:r>
          </w:p>
        </w:tc>
        <w:tc>
          <w:tcPr>
            <w:tcW w:type="dxa" w:w="960"/>
          </w:tcPr>
          <w:p>
            <w:r/>
            <w:r>
              <w:rPr>
                <w:b w:val="0"/>
              </w:rPr>
              <w:t>56</w:t>
            </w:r>
          </w:p>
        </w:tc>
        <w:tc>
          <w:tcPr>
            <w:tcW w:type="dxa" w:w="960"/>
          </w:tcPr>
          <w:p>
            <w:r/>
            <w:r>
              <w:rPr>
                <w:b w:val="0"/>
              </w:rPr>
              <w:t>0.43</w:t>
            </w:r>
          </w:p>
        </w:tc>
        <w:tc>
          <w:tcPr>
            <w:tcW w:type="dxa" w:w="960"/>
          </w:tcPr>
          <w:p>
            <w:r/>
            <w:r>
              <w:rPr>
                <w:b w:val="0"/>
              </w:rPr>
              <w:t>0.18–0.68</w:t>
            </w:r>
          </w:p>
        </w:tc>
        <w:tc>
          <w:tcPr>
            <w:tcW w:type="dxa" w:w="960"/>
          </w:tcPr>
          <w:p>
            <w:r/>
            <w:r>
              <w:rPr>
                <w:b w:val="0"/>
              </w:rPr>
              <w:t>0.04</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and BRCA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distribution of the null percentiles of real pathways for the edge-matched and density-matched nulls in LUAD and BRCA, with the 50th percentile (chance) marked.</w:t>
      </w:r>
    </w:p>
    <w:p>
      <w:r>
        <w:rPr>
          <w:b/>
        </w:rPr>
        <w:t>3.4.1. Between-stratum rewiring exceeds label-permutation chance but is not globally pathway-selective.</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and 2 in LUAD remained significant; the two LUAD pathways were Homologous recombination (d = 0.35, 95% CI 0.18–0.53) and DNA replication (d = 0.35, 95% CI 0.18–0.52) (Table 6). At the cohort level, the number of pathways with BH-FDR q&lt;0.05 on the pathway-level test exceeded the 1,000-permutation label-permutation null in both cancers (LUAD: 3 observed vs. null mean 0.16, maximum 34, permutation P=0.014; BRCA: 43 observed vs. null mean 0.19, maximum 19, permutation P&lt;0.001, the resolution limit of the 1,000-permutation null). The between-stratum differences therefore reflect risk-associated structure in the attention weights rather than the risk stratification itself.</w:t>
      </w:r>
    </w:p>
    <w:p>
      <w:r>
        <w:rPr>
          <w:b w:val="0"/>
        </w:rPr>
        <w:t>Pathway identity, however, was not globally selective. Under matched random gene-set controls preserving gene-set size and either internal edge count or graph density, the real pathways were not enriched above the matched nulls: the median percentile of the real pathways was 0.67 in LUAD, with 3 of 53 pathways above the 95th percentile (expected 2.65), and 0.09 in BRCA, with 0 of 53 (expected 2.65); the density-matched control gave median percentiles of 0.69 and 0.20, respectively. Known-pathway enrichment of the top-20 pathways ranked by permutation P was not significant in LUAD (5 hits, P=0.689). The two LUAD pathways that survived the permutation-calibrated test exceeded 94%–96% of the density-matched null sets, whereas no BRCA pathway exceeded the 95th percentile of that null; these observations are hypothesis-generating rather than evidence of global pathway-specific rewiring. The pathway partition therefore supplies interpretable labels for the rewiring output, but canonical pathway identity is not statistically required to produce it.</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consistent with the matched gene-set controls of Section 3.4.1: between-stratum attention differences are not unique to canonical pathway structure, and the pathway partition supplies biologically interpretable labels rather than being statistically necessary.</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6. Framework validation of patient-specific pathway rewiring in LUAD and BRCA.</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val="0"/>
              </w:rPr>
              <w:t>Check</w:t>
            </w:r>
          </w:p>
        </w:tc>
        <w:tc>
          <w:tcPr>
            <w:tcW w:type="dxa" w:w="2880"/>
          </w:tcPr>
          <w:p>
            <w:r/>
            <w:r>
              <w:rPr>
                <w:b w:val="0"/>
              </w:rPr>
              <w:t>LUAD</w:t>
            </w:r>
          </w:p>
        </w:tc>
        <w:tc>
          <w:tcPr>
            <w:tcW w:type="dxa" w:w="2880"/>
          </w:tcPr>
          <w:p>
            <w:r/>
            <w:r>
              <w:rPr>
                <w:b w:val="0"/>
              </w:rPr>
              <w:t>BRCA</w:t>
            </w:r>
          </w:p>
        </w:tc>
      </w:tr>
      <w:tr>
        <w:tc>
          <w:tcPr>
            <w:tcW w:type="dxa" w:w="2880"/>
          </w:tcPr>
          <w:p>
            <w:r/>
            <w:r>
              <w:rPr>
                <w:b w:val="0"/>
              </w:rPr>
              <w:t>Pathways tested</w:t>
            </w:r>
          </w:p>
        </w:tc>
        <w:tc>
          <w:tcPr>
            <w:tcW w:type="dxa" w:w="2880"/>
          </w:tcPr>
          <w:p>
            <w:r/>
            <w:r>
              <w:rPr>
                <w:b w:val="0"/>
              </w:rPr>
              <w:t>53</w:t>
            </w:r>
          </w:p>
        </w:tc>
        <w:tc>
          <w:tcPr>
            <w:tcW w:type="dxa" w:w="2880"/>
          </w:tcPr>
          <w:p>
            <w:r/>
            <w:r>
              <w:rPr>
                <w:b w:val="0"/>
              </w:rPr>
              <w:t>53</w:t>
            </w:r>
          </w:p>
        </w:tc>
      </w:tr>
      <w:tr>
        <w:tc>
          <w:tcPr>
            <w:tcW w:type="dxa" w:w="2880"/>
          </w:tcPr>
          <w:p>
            <w:r/>
            <w:r>
              <w:rPr>
                <w:b w:val="0"/>
              </w:rPr>
              <w:t>Significant pathways, BH-FDR on the unadjusted test</w:t>
            </w:r>
          </w:p>
        </w:tc>
        <w:tc>
          <w:tcPr>
            <w:tcW w:type="dxa" w:w="2880"/>
          </w:tcPr>
          <w:p>
            <w:r/>
            <w:r>
              <w:rPr>
                <w:b w:val="0"/>
              </w:rPr>
              <w:t>3</w:t>
            </w:r>
          </w:p>
        </w:tc>
        <w:tc>
          <w:tcPr>
            <w:tcW w:type="dxa" w:w="2880"/>
          </w:tcPr>
          <w:p>
            <w:r/>
            <w:r>
              <w:rPr>
                <w:b w:val="0"/>
              </w:rPr>
              <w:t>43</w:t>
            </w:r>
          </w:p>
        </w:tc>
      </w:tr>
      <w:tr>
        <w:tc>
          <w:tcPr>
            <w:tcW w:type="dxa" w:w="2880"/>
          </w:tcPr>
          <w:p>
            <w:r/>
            <w:r>
              <w:rPr>
                <w:b w:val="0"/>
              </w:rPr>
              <w:t>Per-pathway permutation-calibrated pathways (FDR q&lt;0.05)</w:t>
            </w:r>
          </w:p>
        </w:tc>
        <w:tc>
          <w:tcPr>
            <w:tcW w:type="dxa" w:w="2880"/>
          </w:tcPr>
          <w:p>
            <w:r/>
            <w:r>
              <w:rPr>
                <w:b w:val="0"/>
              </w:rPr>
              <w:t>2</w:t>
            </w:r>
          </w:p>
        </w:tc>
        <w:tc>
          <w:tcPr>
            <w:tcW w:type="dxa" w:w="2880"/>
          </w:tcPr>
          <w:p>
            <w:r/>
            <w:r>
              <w:rPr>
                <w:b w:val="0"/>
              </w:rPr>
              <w:t>43</w:t>
            </w:r>
          </w:p>
        </w:tc>
      </w:tr>
      <w:tr>
        <w:tc>
          <w:tcPr>
            <w:tcW w:type="dxa" w:w="2880"/>
          </w:tcPr>
          <w:p>
            <w:r/>
            <w:r>
              <w:rPr>
                <w:b w:val="0"/>
              </w:rPr>
              <w:t>Cohort-level label-permutation null, mean</w:t>
            </w:r>
          </w:p>
        </w:tc>
        <w:tc>
          <w:tcPr>
            <w:tcW w:type="dxa" w:w="2880"/>
          </w:tcPr>
          <w:p>
            <w:r/>
            <w:r>
              <w:rPr>
                <w:b w:val="0"/>
              </w:rPr>
              <w:t>0.16</w:t>
            </w:r>
          </w:p>
        </w:tc>
        <w:tc>
          <w:tcPr>
            <w:tcW w:type="dxa" w:w="2880"/>
          </w:tcPr>
          <w:p>
            <w:r/>
            <w:r>
              <w:rPr>
                <w:b w:val="0"/>
              </w:rPr>
              <w:t>0.19</w:t>
            </w:r>
          </w:p>
        </w:tc>
      </w:tr>
      <w:tr>
        <w:tc>
          <w:tcPr>
            <w:tcW w:type="dxa" w:w="2880"/>
          </w:tcPr>
          <w:p>
            <w:r/>
            <w:r>
              <w:rPr>
                <w:b w:val="0"/>
              </w:rPr>
              <w:t>Cohort-level label-permutation null, maximum</w:t>
            </w:r>
          </w:p>
        </w:tc>
        <w:tc>
          <w:tcPr>
            <w:tcW w:type="dxa" w:w="2880"/>
          </w:tcPr>
          <w:p>
            <w:r/>
            <w:r>
              <w:rPr>
                <w:b w:val="0"/>
              </w:rPr>
              <w:t>34</w:t>
            </w:r>
          </w:p>
        </w:tc>
        <w:tc>
          <w:tcPr>
            <w:tcW w:type="dxa" w:w="2880"/>
          </w:tcPr>
          <w:p>
            <w:r/>
            <w:r>
              <w:rPr>
                <w:b w:val="0"/>
              </w:rPr>
              <w:t>19</w:t>
            </w:r>
          </w:p>
        </w:tc>
      </w:tr>
      <w:tr>
        <w:tc>
          <w:tcPr>
            <w:tcW w:type="dxa" w:w="2880"/>
          </w:tcPr>
          <w:p>
            <w:r/>
            <w:r>
              <w:rPr>
                <w:b w:val="0"/>
              </w:rPr>
              <w:t>Cohort-level permutation P</w:t>
            </w:r>
          </w:p>
        </w:tc>
        <w:tc>
          <w:tcPr>
            <w:tcW w:type="dxa" w:w="2880"/>
          </w:tcPr>
          <w:p>
            <w:r/>
            <w:r>
              <w:rPr>
                <w:b w:val="0"/>
              </w:rPr>
              <w:t>P=0.014</w:t>
            </w:r>
          </w:p>
        </w:tc>
        <w:tc>
          <w:tcPr>
            <w:tcW w:type="dxa" w:w="2880"/>
          </w:tcPr>
          <w:p>
            <w:r/>
            <w:r>
              <w:rPr>
                <w:b w:val="0"/>
              </w:rPr>
              <w:t>P&lt;0.001</w:t>
            </w:r>
          </w:p>
        </w:tc>
      </w:tr>
      <w:tr>
        <w:tc>
          <w:tcPr>
            <w:tcW w:type="dxa" w:w="2880"/>
          </w:tcPr>
          <w:p>
            <w:r/>
            <w:r>
              <w:rPr>
                <w:b w:val="0"/>
              </w:rPr>
              <w:t>Median percentile of real pathways, edge-matched null</w:t>
            </w:r>
          </w:p>
        </w:tc>
        <w:tc>
          <w:tcPr>
            <w:tcW w:type="dxa" w:w="2880"/>
          </w:tcPr>
          <w:p>
            <w:r/>
            <w:r>
              <w:rPr>
                <w:b w:val="0"/>
              </w:rPr>
              <w:t>0.67</w:t>
            </w:r>
          </w:p>
        </w:tc>
        <w:tc>
          <w:tcPr>
            <w:tcW w:type="dxa" w:w="2880"/>
          </w:tcPr>
          <w:p>
            <w:r/>
            <w:r>
              <w:rPr>
                <w:b w:val="0"/>
              </w:rPr>
              <w:t>0.09</w:t>
            </w:r>
          </w:p>
        </w:tc>
      </w:tr>
      <w:tr>
        <w:tc>
          <w:tcPr>
            <w:tcW w:type="dxa" w:w="2880"/>
          </w:tcPr>
          <w:p>
            <w:r/>
            <w:r>
              <w:rPr>
                <w:b w:val="0"/>
              </w:rPr>
              <w:t>Pathways above the 95th percentile, edge-matched null</w:t>
            </w:r>
          </w:p>
        </w:tc>
        <w:tc>
          <w:tcPr>
            <w:tcW w:type="dxa" w:w="2880"/>
          </w:tcPr>
          <w:p>
            <w:r/>
            <w:r>
              <w:rPr>
                <w:b w:val="0"/>
              </w:rPr>
              <w:t>3</w:t>
            </w:r>
          </w:p>
        </w:tc>
        <w:tc>
          <w:tcPr>
            <w:tcW w:type="dxa" w:w="2880"/>
          </w:tcPr>
          <w:p>
            <w:r/>
            <w:r>
              <w:rPr>
                <w:b w:val="0"/>
              </w:rPr>
              <w:t>0</w:t>
            </w:r>
          </w:p>
        </w:tc>
      </w:tr>
      <w:tr>
        <w:tc>
          <w:tcPr>
            <w:tcW w:type="dxa" w:w="2880"/>
          </w:tcPr>
          <w:p>
            <w:r/>
            <w:r>
              <w:rPr>
                <w:b w:val="0"/>
              </w:rPr>
              <w:t>Median percentile of real pathways, density-matched null</w:t>
            </w:r>
          </w:p>
        </w:tc>
        <w:tc>
          <w:tcPr>
            <w:tcW w:type="dxa" w:w="2880"/>
          </w:tcPr>
          <w:p>
            <w:r/>
            <w:r>
              <w:rPr>
                <w:b w:val="0"/>
              </w:rPr>
              <w:t>0.69</w:t>
            </w:r>
          </w:p>
        </w:tc>
        <w:tc>
          <w:tcPr>
            <w:tcW w:type="dxa" w:w="2880"/>
          </w:tcPr>
          <w:p>
            <w:r/>
            <w:r>
              <w:rPr>
                <w:b w:val="0"/>
              </w:rPr>
              <w:t>0.20</w:t>
            </w:r>
          </w:p>
        </w:tc>
      </w:tr>
      <w:tr>
        <w:tc>
          <w:tcPr>
            <w:tcW w:type="dxa" w:w="2880"/>
          </w:tcPr>
          <w:p>
            <w:r/>
            <w:r>
              <w:rPr>
                <w:b w:val="0"/>
              </w:rPr>
              <w:t>Pathways above the 95th percentile, density-matched null</w:t>
            </w:r>
          </w:p>
        </w:tc>
        <w:tc>
          <w:tcPr>
            <w:tcW w:type="dxa" w:w="2880"/>
          </w:tcPr>
          <w:p>
            <w:r/>
            <w:r>
              <w:rPr>
                <w:b w:val="0"/>
              </w:rPr>
              <w:t>3</w:t>
            </w:r>
          </w:p>
        </w:tc>
        <w:tc>
          <w:tcPr>
            <w:tcW w:type="dxa" w:w="2880"/>
          </w:tcPr>
          <w:p>
            <w:r/>
            <w:r>
              <w:rPr>
                <w:b w:val="0"/>
              </w:rPr>
              <w:t>1</w:t>
            </w:r>
          </w:p>
        </w:tc>
      </w:tr>
      <w:tr>
        <w:tc>
          <w:tcPr>
            <w:tcW w:type="dxa" w:w="2880"/>
          </w:tcPr>
          <w:p>
            <w:r/>
            <w:r>
              <w:rPr>
                <w:b w:val="0"/>
              </w:rPr>
              <w:t>Expected above the 95th percentile by chance</w:t>
            </w:r>
          </w:p>
        </w:tc>
        <w:tc>
          <w:tcPr>
            <w:tcW w:type="dxa" w:w="2880"/>
          </w:tcPr>
          <w:p>
            <w:r/>
            <w:r>
              <w:rPr>
                <w:b w:val="0"/>
              </w:rPr>
              <w:t>2.65</w:t>
            </w:r>
          </w:p>
        </w:tc>
        <w:tc>
          <w:tcPr>
            <w:tcW w:type="dxa" w:w="2880"/>
          </w:tcPr>
          <w:p>
            <w:r/>
            <w:r>
              <w:rPr>
                <w:b w:val="0"/>
              </w:rPr>
              <w:t>2.65</w:t>
            </w:r>
          </w:p>
        </w:tc>
      </w:tr>
      <w:tr>
        <w:tc>
          <w:tcPr>
            <w:tcW w:type="dxa" w:w="2880"/>
          </w:tcPr>
          <w:p>
            <w:r/>
            <w:r>
              <w:rPr>
                <w:b w:val="0"/>
              </w:rPr>
              <w:t>Known-pathway enrichment, top-20 by permutation P</w:t>
            </w:r>
          </w:p>
        </w:tc>
        <w:tc>
          <w:tcPr>
            <w:tcW w:type="dxa" w:w="2880"/>
          </w:tcPr>
          <w:p>
            <w:r/>
            <w:r>
              <w:rPr>
                <w:b w:val="0"/>
              </w:rPr>
              <w:t>5 hits, P=0.689</w:t>
            </w:r>
          </w:p>
        </w:tc>
        <w:tc>
          <w:tcPr>
            <w:tcW w:type="dxa" w:w="2880"/>
          </w:tcPr>
          <w:p>
            <w:r/>
            <w:r>
              <w:rPr>
                <w:b w:val="0"/>
              </w:rPr>
              <w:t>n.a.</w:t>
            </w:r>
          </w:p>
        </w:tc>
      </w:tr>
      <w:tr>
        <w:tc>
          <w:tcPr>
            <w:tcW w:type="dxa" w:w="2880"/>
          </w:tcPr>
          <w:p>
            <w:r/>
            <w:r>
              <w:rPr>
                <w:b w:val="0"/>
              </w:rPr>
              <w:t>Static-model total edge variance</w:t>
            </w:r>
          </w:p>
        </w:tc>
        <w:tc>
          <w:tcPr>
            <w:tcW w:type="dxa" w:w="2880"/>
          </w:tcPr>
          <w:p>
            <w:r/>
            <w:r>
              <w:rPr>
                <w:b w:val="0"/>
              </w:rPr>
              <w:t>3.48e-13</w:t>
            </w:r>
          </w:p>
        </w:tc>
        <w:tc>
          <w:tcPr>
            <w:tcW w:type="dxa" w:w="2880"/>
          </w:tcPr>
          <w:p>
            <w:r/>
            <w:r>
              <w:rPr>
                <w:b w:val="0"/>
              </w:rPr>
              <w:t>2.81e-13</w:t>
            </w:r>
          </w:p>
        </w:tc>
      </w:tr>
      <w:tr>
        <w:tc>
          <w:tcPr>
            <w:tcW w:type="dxa" w:w="2880"/>
          </w:tcPr>
          <w:p>
            <w:r/>
            <w:r>
              <w:rPr>
                <w:b w:val="0"/>
              </w:rPr>
              <w:t>Adaptive-model total edge variance</w:t>
            </w:r>
          </w:p>
        </w:tc>
        <w:tc>
          <w:tcPr>
            <w:tcW w:type="dxa" w:w="2880"/>
          </w:tcPr>
          <w:p>
            <w:r/>
            <w:r>
              <w:rPr>
                <w:b w:val="0"/>
              </w:rPr>
              <w:t>1.92e+01</w:t>
            </w:r>
          </w:p>
        </w:tc>
        <w:tc>
          <w:tcPr>
            <w:tcW w:type="dxa" w:w="2880"/>
          </w:tcPr>
          <w:p>
            <w:r/>
            <w:r>
              <w:rPr>
                <w:b w:val="0"/>
              </w:rPr>
              <w:t>8.41e-02</w:t>
            </w:r>
          </w:p>
        </w:tc>
      </w:tr>
      <w:tr>
        <w:tc>
          <w:tcPr>
            <w:tcW w:type="dxa" w:w="2880"/>
          </w:tcPr>
          <w:p>
            <w:r/>
            <w:r>
              <w:rPr>
                <w:b w:val="0"/>
              </w:rPr>
              <w:t>Randomized-partition control, significant pathways (3 seeds)</w:t>
            </w:r>
          </w:p>
        </w:tc>
        <w:tc>
          <w:tcPr>
            <w:tcW w:type="dxa" w:w="2880"/>
          </w:tcPr>
          <w:p>
            <w:r/>
            <w:r>
              <w:rPr>
                <w:b w:val="0"/>
              </w:rPr>
              <w:t>26–48</w:t>
            </w:r>
          </w:p>
        </w:tc>
        <w:tc>
          <w:tcPr>
            <w:tcW w:type="dxa" w:w="2880"/>
          </w:tcPr>
          <w:p>
            <w:r/>
            <w:r>
              <w:rPr>
                <w:b w:val="0"/>
              </w:rPr>
              <w:t>n.a.</w:t>
            </w:r>
          </w:p>
        </w:tc>
      </w:tr>
    </w:tbl>
    <w:p>
      <w:r>
        <w:rPr>
          <w:b w:val="0"/>
        </w:rPr>
        <w:t>Hypothesis-generating pathways that exceeded the per-pathway permutation null and the density-matched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w:t>
            </w:r>
          </w:p>
        </w:tc>
        <w:tc>
          <w:tcPr>
            <w:tcW w:type="dxa" w:w="1728"/>
          </w:tcPr>
          <w:p>
            <w:r/>
            <w:r>
              <w:rPr>
                <w:b w:val="0"/>
              </w:rPr>
              <w:t>Pathway</w:t>
            </w:r>
          </w:p>
        </w:tc>
        <w:tc>
          <w:tcPr>
            <w:tcW w:type="dxa" w:w="1728"/>
          </w:tcPr>
          <w:p>
            <w:r/>
            <w:r>
              <w:rPr>
                <w:b w:val="0"/>
              </w:rPr>
              <w:t>Cohen's d (95% CI)</w:t>
            </w:r>
          </w:p>
        </w:tc>
        <w:tc>
          <w:tcPr>
            <w:tcW w:type="dxa" w:w="1728"/>
          </w:tcPr>
          <w:p>
            <w:r/>
            <w:r>
              <w:rPr>
                <w:b w:val="0"/>
              </w:rPr>
              <w:t>Permutation q</w:t>
            </w:r>
          </w:p>
        </w:tc>
        <w:tc>
          <w:tcPr>
            <w:tcW w:type="dxa" w:w="1728"/>
          </w:tcPr>
          <w:p>
            <w:r/>
            <w:r>
              <w:rPr>
                <w:b w:val="0"/>
              </w:rPr>
              <w:t>Density-matched percentile</w:t>
            </w:r>
          </w:p>
        </w:tc>
      </w:tr>
      <w:tr>
        <w:tc>
          <w:tcPr>
            <w:tcW w:type="dxa" w:w="1728"/>
          </w:tcPr>
          <w:p>
            <w:r/>
            <w:r>
              <w:rPr>
                <w:b w:val="0"/>
              </w:rPr>
              <w:t>LUAD</w:t>
            </w:r>
          </w:p>
        </w:tc>
        <w:tc>
          <w:tcPr>
            <w:tcW w:type="dxa" w:w="1728"/>
          </w:tcPr>
          <w:p>
            <w:r/>
            <w:r>
              <w:rPr>
                <w:b w:val="0"/>
              </w:rPr>
              <w:t>Homologous recombination</w:t>
            </w:r>
          </w:p>
        </w:tc>
        <w:tc>
          <w:tcPr>
            <w:tcW w:type="dxa" w:w="1728"/>
          </w:tcPr>
          <w:p>
            <w:r/>
            <w:r>
              <w:rPr>
                <w:b w:val="0"/>
              </w:rPr>
              <w:t>0.35 (0.18–0.53)</w:t>
            </w:r>
          </w:p>
        </w:tc>
        <w:tc>
          <w:tcPr>
            <w:tcW w:type="dxa" w:w="1728"/>
          </w:tcPr>
          <w:p>
            <w:r/>
            <w:r>
              <w:rPr>
                <w:b w:val="0"/>
              </w:rPr>
              <w:t>q=0.026</w:t>
            </w:r>
          </w:p>
        </w:tc>
        <w:tc>
          <w:tcPr>
            <w:tcW w:type="dxa" w:w="1728"/>
          </w:tcPr>
          <w:p>
            <w:r/>
            <w:r>
              <w:rPr>
                <w:b w:val="0"/>
              </w:rPr>
              <w:t>96.0</w:t>
            </w:r>
          </w:p>
        </w:tc>
      </w:tr>
      <w:tr>
        <w:tc>
          <w:tcPr>
            <w:tcW w:type="dxa" w:w="1728"/>
          </w:tcPr>
          <w:p>
            <w:r/>
            <w:r>
              <w:rPr>
                <w:b w:val="0"/>
              </w:rPr>
              <w:t>LUAD</w:t>
            </w:r>
          </w:p>
        </w:tc>
        <w:tc>
          <w:tcPr>
            <w:tcW w:type="dxa" w:w="1728"/>
          </w:tcPr>
          <w:p>
            <w:r/>
            <w:r>
              <w:rPr>
                <w:b w:val="0"/>
              </w:rPr>
              <w:t>DNA replication</w:t>
            </w:r>
          </w:p>
        </w:tc>
        <w:tc>
          <w:tcPr>
            <w:tcW w:type="dxa" w:w="1728"/>
          </w:tcPr>
          <w:p>
            <w:r/>
            <w:r>
              <w:rPr>
                <w:b w:val="0"/>
              </w:rPr>
              <w:t>0.35 (0.18–0.52)</w:t>
            </w:r>
          </w:p>
        </w:tc>
        <w:tc>
          <w:tcPr>
            <w:tcW w:type="dxa" w:w="1728"/>
          </w:tcPr>
          <w:p>
            <w:r/>
            <w:r>
              <w:rPr>
                <w:b w:val="0"/>
              </w:rPr>
              <w:t>q=0.026</w:t>
            </w:r>
          </w:p>
        </w:tc>
        <w:tc>
          <w:tcPr>
            <w:tcW w:type="dxa" w:w="1728"/>
          </w:tcPr>
          <w:p>
            <w:r/>
            <w:r>
              <w:rPr>
                <w:b w:val="0"/>
              </w:rPr>
              <w:t>94.0</w:t>
            </w:r>
          </w:p>
        </w:tc>
      </w:tr>
    </w:tbl>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6); the pathway-constrained model yielded more detectable between-stratum differences in BRCA and a comparable count in LUAD,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These associations are exploratory and were not corrected for multiple testing.</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7A).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7" name="Picture 7"/>
            <wp:cNvGraphicFramePr>
              <a:graphicFrameLocks noChangeAspect="1"/>
            </wp:cNvGraphicFramePr>
            <a:graphic>
              <a:graphicData uri="http://schemas.openxmlformats.org/drawingml/2006/picture">
                <pic:pic>
                  <pic:nvPicPr>
                    <pic:cNvPr id="0" name="Figure7_immunedrug.png"/>
                    <pic:cNvPicPr/>
                  </pic:nvPicPr>
                  <pic:blipFill>
                    <a:blip r:embed="rId15"/>
                    <a:stretch>
                      <a:fillRect/>
                    </a:stretch>
                  </pic:blipFill>
                  <pic:spPr>
                    <a:xfrm>
                      <a:off x="0" y="0"/>
                      <a:ext cx="5486400" cy="3244132"/>
                    </a:xfrm>
                    <a:prstGeom prst="rect"/>
                  </pic:spPr>
                </pic:pic>
              </a:graphicData>
            </a:graphic>
          </wp:inline>
        </w:drawing>
      </w:r>
    </w:p>
    <w:p>
      <w:pPr>
        <w:spacing w:after="200"/>
      </w:pPr>
      <w:r>
        <w:rPr>
          <w:b/>
        </w:rPr>
        <w:t xml:space="preserve">Figure 7.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7B, Table 7).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7.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(5 hits, P=0.689); an equivalent test was not performed for BRCA because no matched curated driver-pathway list was available. Fourth, matched random gene-set controls did not show global selectivity of canonical pathway identity for the between-stratum differences, and the few pathways that exceeded both permutation and matched-set nulls remain hypothesis-generating; the pathway prior is retained as an interpretable organizing principle rather than as evidence of specific pathway activation. Fifth, attention weights provide hypothesis-generating, not causal, evidence, and all cohorts are retrospective; prospective validation is required. Sixth, the pan-cancer benchmark used a single seed; a three-seed sensitivity analysis on LUAD and BRCA, the cohorts used for the rewiring analyses, showed stable C-index values of 0.50 ± 0.04 in LUAD and 0.59 ± 0.04 in BRCA, but seed variance was not propagated to all cohorts.</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