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</w:rPr>
        <w:t>Dear Editors,</w:t>
      </w:r>
    </w:p>
    <w:p>
      <w:r>
        <w:rPr>
          <w:b w:val="0"/>
        </w:rPr>
      </w:r>
    </w:p>
    <w:p>
      <w:r>
        <w:rPr>
          <w:b w:val="0"/>
        </w:rPr>
        <w:t>We are pleased to submit our manuscript, “Path-AGNN-Cox: a reproducible statistical framework for testing patient-specific pathway rewiring in cancer survival analysis”, for consideration.</w:t>
      </w:r>
    </w:p>
    <w:p>
      <w:r>
        <w:rPr>
          <w:b w:val="0"/>
        </w:rPr>
      </w:r>
    </w:p>
    <w:p>
      <w:r>
        <w:rPr>
          <w:b/>
        </w:rPr>
        <w:t>What the manuscript contributes.</w:t>
      </w:r>
    </w:p>
    <w:p>
      <w:r>
        <w:rPr>
          <w:b w:val="0"/>
        </w:rPr>
        <w:t>Transcriptomic survival models based on graph neural networks (GNNs) typically treat the underlying gene interaction topology as fixed and identical across patients. Path-AGNN-Cox constrains message passing to KEGG pathway subgraphs and learns per-patient pathway graphs; we additionally provide a statistical framework for formally testing patient-specific pathway rewiring, with edge- and pathway-level tests under false-discovery-rate control, label-permutation nulls, a static-model negative control, and a standard-GAT architectural control.</w:t>
      </w:r>
    </w:p>
    <w:p>
      <w:r>
        <w:rPr>
          <w:b w:val="0"/>
        </w:rPr>
      </w:r>
    </w:p>
    <w:p>
      <w:r>
        <w:rPr>
          <w:b/>
        </w:rPr>
        <w:t>Key points.</w:t>
      </w:r>
    </w:p>
    <w:p>
      <w:r>
        <w:rPr>
          <w:b w:val="0"/>
        </w:rPr>
        <w:t>1. A model that produces patient-specific pathway graphs, coupled to a Cox survival objective with dual regularization.</w:t>
      </w:r>
    </w:p>
    <w:p>
      <w:r>
        <w:rPr>
          <w:b w:val="0"/>
        </w:rPr>
        <w:t>2. A statistical testing framework for pathway rewiring, benchmarked across 11 TCGA cancer types and 25 independent GEO cohorts, with three ablations and multiple controls.</w:t>
      </w:r>
    </w:p>
    <w:p>
      <w:r>
        <w:rPr>
          <w:b w:val="0"/>
        </w:rPr>
        <w:t>3. Clinical and external anchoring: rewiring magnitude correlates with Ki-67 in two independent cohorts and with tumor mutational burden in LUAD, and is absent by construction in static pathway models.</w:t>
      </w:r>
    </w:p>
    <w:p>
      <w:r>
        <w:rPr>
          <w:b w:val="0"/>
        </w:rPr>
      </w:r>
    </w:p>
    <w:p>
      <w:r>
        <w:rPr>
          <w:b/>
        </w:rPr>
        <w:t>Reproducibility.</w:t>
      </w:r>
    </w:p>
    <w:p>
      <w:r>
        <w:rPr>
          <w:b w:val="0"/>
        </w:rPr>
        <w:t>All code is released as an open-source Python package with a pip-installable distribution, example notebooks, and reproducible pipelines covering every table and figure. No patient-level data are redistributed; aggregate outputs required for reproduction are provided.</w:t>
      </w:r>
    </w:p>
    <w:p>
      <w:r>
        <w:rPr>
          <w:b w:val="0"/>
        </w:rPr>
      </w:r>
    </w:p>
    <w:p>
      <w:r>
        <w:rPr>
          <w:b w:val="0"/>
        </w:rPr>
        <w:t>All authors have read and approved the manuscript, and none of the authors has a competing interest. This study was approved by the Ethics Committee of Zhongda Hospital Affiliated with Southeast University. The manuscript is not under consideration elsewhere.</w:t>
      </w:r>
    </w:p>
    <w:p>
      <w:r>
        <w:rPr>
          <w:b w:val="0"/>
        </w:rPr>
      </w:r>
    </w:p>
    <w:p>
      <w:r>
        <w:rPr>
          <w:b w:val="0"/>
        </w:rPr>
        <w:t>Thank you for your consideration.</w:t>
      </w:r>
    </w:p>
    <w:p>
      <w:r>
        <w:rPr>
          <w:b w:val="0"/>
        </w:rPr>
      </w:r>
    </w:p>
    <w:p>
      <w:r>
        <w:rPr>
          <w:b w:val="0"/>
        </w:rPr>
        <w:t>Sincerely,</w:t>
      </w:r>
    </w:p>
    <w:p>
      <w:r>
        <w:rPr>
          <w:b w:val="0"/>
        </w:rPr>
        <w:t>Zhipeng Wang[1,*], Luning Wang[2,*], Changsong Wang[1,†], Pengli Zhai[3], Zejun Liu[1], Hui Feng[1], Hongmei Liu[1], Qian Hou[1], Ming Guo[1]</w:t>
      </w:r>
    </w:p>
    <w:p>
      <w:r>
        <w:rPr>
          <w:b w:val="0"/>
        </w:rPr>
        <w:t>1 Department of TCM, Zhongda Hospital, Southeast University, China</w:t>
      </w:r>
    </w:p>
    <w:p>
      <w:r>
        <w:rPr>
          <w:b w:val="0"/>
        </w:rPr>
        <w:t>2 Department of Rehabilitation Medicine, Zhongda Hospital, Southeast University, China</w:t>
      </w:r>
    </w:p>
    <w:p>
      <w:r>
        <w:rPr>
          <w:b w:val="0"/>
        </w:rPr>
        <w:t>3 Jiangbei Campus, Jiangsu Provincial Traditional Chinese Medicine Hospital, China</w:t>
      </w:r>
    </w:p>
    <w:p>
      <w:r>
        <w:rPr>
          <w:b w:val="0"/>
        </w:rPr>
        <w:t>* These authors contributed equally to this work and are co-first authors.</w:t>
      </w:r>
    </w:p>
    <w:p>
      <w:r>
        <w:rPr>
          <w:b w:val="0"/>
        </w:rPr>
        <w:t>† Corresponding author: Changsong Wang, Department of TCM, Zhongda Hospital, Southeast University, China. Email: 101005664@seu.edu.cn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