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Data Availability Statement</w:t>
      </w:r>
    </w:p>
    <w:p>
      <w:r>
        <w:rPr>
          <w:b w:val="0"/>
        </w:rPr>
        <w:t>All data used in this study are publicly available from their original sources. TCGA RNA-seq and clinical annotations were obtained from UCSC Xena and GDC; GEO series matrices and platform annotations were obtained from NCBI GEO; IMvigor210 data are available from the original publication (Mariathasan et al., Nature, 2018). Accession numbers are listed in Table 1 of the manuscript.</w:t>
      </w:r>
    </w:p>
    <w:p>
      <w:r>
        <w:rPr>
          <w:b w:val="0"/>
        </w:rPr>
      </w:r>
    </w:p>
    <w:p>
      <w:r>
        <w:rPr>
          <w:b w:val="0"/>
        </w:rPr>
        <w:t>To protect patient privacy, per-patient expression matrices, clinical records, and per-patient model outputs are not redistributed. Aggregate results required to reproduce every table and figure are provided in the repository, together with the complete analysis pipelines.</w:t>
      </w:r>
    </w:p>
    <w:p>
      <w:r>
        <w:rPr>
          <w:b w:val="0"/>
        </w:rPr>
      </w:r>
    </w:p>
    <w:p>
      <w:r>
        <w:rPr>
          <w:b w:val="0"/>
        </w:rPr>
        <w:t>No new biological data were generated in this study.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