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w:t>
      </w:r>
      <w:r>
        <w:t>[</w:t>
      </w:r>
      <w:r>
        <w:fldChar w:fldCharType="begin"/>
      </w:r>
      <w:r>
        <w:instrText xml:space="preserve"> REF ref3 \h </w:instrText>
      </w:r>
      <w:r>
        <w:fldChar w:fldCharType="separate"/>
      </w:r>
      <w:r>
        <w:t>3</w:t>
      </w:r>
      <w:r>
        <w:fldChar w:fldCharType="end"/>
      </w:r>
      <w:r>
        <w:t>]</w:t>
      </w:r>
      <w:r>
        <w:rPr>
          <w:b w:val="0"/>
        </w:rPr>
        <w:t>, Zejun Liu</w:t>
      </w:r>
      <w:r>
        <w:t>[</w:t>
      </w:r>
      <w:r>
        <w:fldChar w:fldCharType="begin"/>
      </w:r>
      <w:r>
        <w:instrText xml:space="preserve"> REF ref1 \h </w:instrText>
      </w:r>
      <w:r>
        <w:fldChar w:fldCharType="separate"/>
      </w:r>
      <w:r>
        <w:t>1</w:t>
      </w:r>
      <w:r>
        <w:fldChar w:fldCharType="end"/>
      </w:r>
      <w:r>
        <w:t>]</w:t>
      </w:r>
      <w:r>
        <w:rPr>
          <w:b w:val="0"/>
        </w:rPr>
        <w:t>, Hui Feng</w:t>
      </w:r>
      <w:r>
        <w:t>[</w:t>
      </w:r>
      <w:r>
        <w:fldChar w:fldCharType="begin"/>
      </w:r>
      <w:r>
        <w:instrText xml:space="preserve"> REF ref1 \h </w:instrText>
      </w:r>
      <w:r>
        <w:fldChar w:fldCharType="separate"/>
      </w:r>
      <w:r>
        <w:t>1</w:t>
      </w:r>
      <w:r>
        <w:fldChar w:fldCharType="end"/>
      </w:r>
      <w:r>
        <w:t>]</w:t>
      </w:r>
      <w:r>
        <w:rPr>
          <w:b w:val="0"/>
        </w:rPr>
        <w:t>, Hongmei Liu</w:t>
      </w:r>
      <w:r>
        <w:t>[</w:t>
      </w:r>
      <w:r>
        <w:fldChar w:fldCharType="begin"/>
      </w:r>
      <w:r>
        <w:instrText xml:space="preserve"> REF ref1 \h </w:instrText>
      </w:r>
      <w:r>
        <w:fldChar w:fldCharType="separate"/>
      </w:r>
      <w:r>
        <w:t>1</w:t>
      </w:r>
      <w:r>
        <w:fldChar w:fldCharType="end"/>
      </w:r>
      <w:r>
        <w:t>]</w:t>
      </w:r>
      <w:r>
        <w:rPr>
          <w:b w:val="0"/>
        </w:rPr>
        <w:t>, Qian Hou</w:t>
      </w:r>
      <w:r>
        <w:t>[</w:t>
      </w:r>
      <w:r>
        <w:fldChar w:fldCharType="begin"/>
      </w:r>
      <w:r>
        <w:instrText xml:space="preserve"> REF ref1 \h </w:instrText>
      </w:r>
      <w:r>
        <w:fldChar w:fldCharType="separate"/>
      </w:r>
      <w:r>
        <w:t>1</w:t>
      </w:r>
      <w:r>
        <w:fldChar w:fldCharType="end"/>
      </w:r>
      <w:r>
        <w:t>]</w:t>
      </w:r>
      <w:r>
        <w:rPr>
          <w:b w:val="0"/>
        </w:rPr>
        <w:t>, Ming Guo</w:t>
      </w:r>
      <w:r>
        <w:t>[</w:t>
      </w:r>
      <w:r>
        <w:fldChar w:fldCharType="begin"/>
      </w:r>
      <w:r>
        <w:instrText xml:space="preserve"> REF ref1 \h </w:instrText>
      </w:r>
      <w:r>
        <w:fldChar w:fldCharType="separate"/>
      </w:r>
      <w:r>
        <w:t>1</w:t>
      </w:r>
      <w:r>
        <w:fldChar w:fldCharType="end"/>
      </w:r>
      <w:r>
        <w:t>]</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 xml:space="preserve">Precision oncology increasingly depends on molecular risk stratification to guide adjuvant therapy, surveillance intensity, and clinical-trial design </w:t>
      </w:r>
      <w:r>
        <w:t>[</w:t>
      </w:r>
      <w:r>
        <w:fldChar w:fldCharType="begin"/>
      </w:r>
      <w:r>
        <w:instrText xml:space="preserve"> REF ref1 \h </w:instrText>
      </w:r>
      <w:r>
        <w:fldChar w:fldCharType="separate"/>
      </w:r>
      <w:r>
        <w:t>1</w:t>
      </w:r>
      <w:r>
        <w:fldChar w:fldCharType="end"/>
      </w:r>
      <w:r>
        <w:t>,</w:t>
      </w:r>
      <w:r>
        <w:fldChar w:fldCharType="begin"/>
      </w:r>
      <w:r>
        <w:instrText xml:space="preserve"> REF ref2 \h </w:instrText>
      </w:r>
      <w:r>
        <w:fldChar w:fldCharType="separate"/>
      </w:r>
      <w:r>
        <w:t>2</w:t>
      </w:r>
      <w:r>
        <w:fldChar w:fldCharType="end"/>
      </w:r>
      <w:r>
        <w:t>]</w:t>
      </w:r>
      <w:r>
        <w:rPr>
          <w:b w:val="0"/>
        </w:rPr>
        <w:t xml:space="preserve">. Large public transcriptomic compendia, most notably The Cancer Genome Atlas </w:t>
      </w:r>
      <w:r>
        <w:t>[</w:t>
      </w:r>
      <w:r>
        <w:fldChar w:fldCharType="begin"/>
      </w:r>
      <w:r>
        <w:instrText xml:space="preserve"> REF ref3 \h </w:instrText>
      </w:r>
      <w:r>
        <w:fldChar w:fldCharType="separate"/>
      </w:r>
      <w:r>
        <w:t>3</w:t>
      </w:r>
      <w:r>
        <w:fldChar w:fldCharType="end"/>
      </w:r>
      <w:r>
        <w:t>]</w:t>
      </w:r>
      <w:r>
        <w:rPr>
          <w:b w:val="0"/>
        </w:rPr>
        <w:t xml:space="preserve"> and the Gene Expression Omnibus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have made it possible to train and validate prognostic models across many cancer types </w:t>
      </w:r>
      <w:r>
        <w:t>[</w:t>
      </w:r>
      <w:r>
        <w:fldChar w:fldCharType="begin"/>
      </w:r>
      <w:r>
        <w:instrText xml:space="preserve"> REF ref6 \h </w:instrText>
      </w:r>
      <w:r>
        <w:fldChar w:fldCharType="separate"/>
      </w:r>
      <w:r>
        <w:t>6</w:t>
      </w:r>
      <w:r>
        <w:fldChar w:fldCharType="end"/>
      </w:r>
      <w:r>
        <w:t>]</w:t>
      </w:r>
      <w:r>
        <w:rPr>
          <w:b w:val="0"/>
        </w:rPr>
        <w:t>. Because survival endpoints are censored and expression data are high-dimensional and biologically heterogeneous, this task remains an active frontier of translational bioinformatics.</w:t>
      </w:r>
    </w:p>
    <w:p>
      <w:r>
        <w:rPr>
          <w:b w:val="0"/>
        </w:rPr>
        <w:t xml:space="preserve">Classical statistical models, such as Cox proportional-hazards regression </w:t>
      </w:r>
      <w:r>
        <w:t>[</w:t>
      </w:r>
      <w:r>
        <w:fldChar w:fldCharType="begin"/>
      </w:r>
      <w:r>
        <w:instrText xml:space="preserve"> REF ref1 \h </w:instrText>
      </w:r>
      <w:r>
        <w:fldChar w:fldCharType="separate"/>
      </w:r>
      <w:r>
        <w:t>1</w:t>
      </w:r>
      <w:r>
        <w:fldChar w:fldCharType="end"/>
      </w:r>
      <w:r>
        <w:t>]</w:t>
      </w:r>
      <w:r>
        <w:rPr>
          <w:b w:val="0"/>
        </w:rPr>
        <w:t xml:space="preserve"> with Lasso, Ridge, or Elastic-Net penalties </w:t>
      </w:r>
      <w:r>
        <w:t>[</w:t>
      </w:r>
      <w:r>
        <w:fldChar w:fldCharType="begin"/>
      </w:r>
      <w:r>
        <w:instrText xml:space="preserve"> REF ref7 \h </w:instrText>
      </w:r>
      <w:r>
        <w:fldChar w:fldCharType="separate"/>
      </w:r>
      <w:r>
        <w:t>7</w:t>
      </w:r>
      <w:r>
        <w:fldChar w:fldCharType="end"/>
      </w:r>
      <w:r>
        <w:t>,</w:t>
      </w:r>
      <w:r>
        <w:fldChar w:fldCharType="begin"/>
      </w:r>
      <w:r>
        <w:instrText xml:space="preserve"> REF ref8 \h </w:instrText>
      </w:r>
      <w:r>
        <w:fldChar w:fldCharType="separate"/>
      </w:r>
      <w:r>
        <w:t>8</w:t>
      </w:r>
      <w:r>
        <w:fldChar w:fldCharType="end"/>
      </w:r>
      <w:r>
        <w:t>]</w:t>
      </w:r>
      <w:r>
        <w:rPr>
          <w:b w:val="0"/>
        </w:rPr>
        <w:t xml:space="preserve">, treat genes as independent covariates and discard the regulatory interaction structure that shapes tumor progression. Deep survival models, including DeepSurv </w:t>
      </w:r>
      <w:r>
        <w:t>[</w:t>
      </w:r>
      <w:r>
        <w:fldChar w:fldCharType="begin"/>
      </w:r>
      <w:r>
        <w:instrText xml:space="preserve"> REF ref9 \h </w:instrText>
      </w:r>
      <w:r>
        <w:fldChar w:fldCharType="separate"/>
      </w:r>
      <w:r>
        <w:t>9</w:t>
      </w:r>
      <w:r>
        <w:fldChar w:fldCharType="end"/>
      </w:r>
      <w:r>
        <w:t>]</w:t>
      </w:r>
      <w:r>
        <w:rPr>
          <w:b w:val="0"/>
        </w:rPr>
        <w:t xml:space="preserve">, Cox-nnet </w:t>
      </w:r>
      <w:r>
        <w:t>[</w:t>
      </w:r>
      <w:r>
        <w:fldChar w:fldCharType="begin"/>
      </w:r>
      <w:r>
        <w:instrText xml:space="preserve"> REF ref10 \h </w:instrText>
      </w:r>
      <w:r>
        <w:fldChar w:fldCharType="separate"/>
      </w:r>
      <w:r>
        <w:t>10</w:t>
      </w:r>
      <w:r>
        <w:fldChar w:fldCharType="end"/>
      </w:r>
      <w:r>
        <w:t>]</w:t>
      </w:r>
      <w:r>
        <w:rPr>
          <w:b w:val="0"/>
        </w:rPr>
        <w:t xml:space="preserve">, DeepHit </w:t>
      </w:r>
      <w:r>
        <w:t>[</w:t>
      </w:r>
      <w:r>
        <w:fldChar w:fldCharType="begin"/>
      </w:r>
      <w:r>
        <w:instrText xml:space="preserve"> REF ref11 \h </w:instrText>
      </w:r>
      <w:r>
        <w:fldChar w:fldCharType="separate"/>
      </w:r>
      <w:r>
        <w:t>11</w:t>
      </w:r>
      <w:r>
        <w:fldChar w:fldCharType="end"/>
      </w:r>
      <w:r>
        <w:t>]</w:t>
      </w:r>
      <w:r>
        <w:rPr>
          <w:b w:val="0"/>
        </w:rPr>
        <w:t xml:space="preserve">, and random survival forests </w:t>
      </w:r>
      <w:r>
        <w:t>[</w:t>
      </w:r>
      <w:r>
        <w:fldChar w:fldCharType="begin"/>
      </w:r>
      <w:r>
        <w:instrText xml:space="preserve"> REF ref12 \h </w:instrText>
      </w:r>
      <w:r>
        <w:fldChar w:fldCharType="separate"/>
      </w:r>
      <w:r>
        <w:t>12</w:t>
      </w:r>
      <w:r>
        <w:fldChar w:fldCharType="end"/>
      </w:r>
      <w:r>
        <w:t>]</w:t>
      </w:r>
      <w:r>
        <w:rPr>
          <w:b w:val="0"/>
        </w:rPr>
        <w:t xml:space="preserve">,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w:t>
      </w:r>
      <w:r>
        <w:t>[</w:t>
      </w:r>
      <w:r>
        <w:fldChar w:fldCharType="begin"/>
      </w:r>
      <w:r>
        <w:instrText xml:space="preserve"> REF ref13 \h </w:instrText>
      </w:r>
      <w:r>
        <w:fldChar w:fldCharType="separate"/>
      </w:r>
      <w:r>
        <w:t>13</w:t>
      </w:r>
      <w:r>
        <w:fldChar w:fldCharType="end"/>
      </w:r>
      <w:r>
        <w:t>,</w:t>
      </w:r>
      <w:r>
        <w:fldChar w:fldCharType="begin"/>
      </w:r>
      <w:r>
        <w:instrText xml:space="preserve"> REF ref14 \h </w:instrText>
      </w:r>
      <w:r>
        <w:fldChar w:fldCharType="separate"/>
      </w:r>
      <w:r>
        <w:t>14</w:t>
      </w:r>
      <w:r>
        <w:fldChar w:fldCharType="end"/>
      </w:r>
      <w:r>
        <w:t>,</w:t>
      </w:r>
      <w:r>
        <w:fldChar w:fldCharType="begin"/>
      </w:r>
      <w:r>
        <w:instrText xml:space="preserve"> REF ref15 \h </w:instrText>
      </w:r>
      <w:r>
        <w:fldChar w:fldCharType="separate"/>
      </w:r>
      <w:r>
        <w:t>15</w:t>
      </w:r>
      <w:r>
        <w:fldChar w:fldCharType="end"/>
      </w:r>
      <w:r>
        <w:t>]</w:t>
      </w:r>
      <w:r>
        <w:rPr>
          <w:b w:val="0"/>
        </w:rPr>
        <w:t>.</w:t>
      </w:r>
    </w:p>
    <w:p>
      <w:r>
        <w:rPr>
          <w:b w:val="0"/>
        </w:rPr>
        <w:t xml:space="preserve">Graph neural networks provide a natural inductive bias for molecular data </w:t>
      </w:r>
      <w:r>
        <w:t>[</w:t>
      </w:r>
      <w:r>
        <w:fldChar w:fldCharType="begin"/>
      </w:r>
      <w:r>
        <w:instrText xml:space="preserve"> REF ref16 \h </w:instrText>
      </w:r>
      <w:r>
        <w:fldChar w:fldCharType="separate"/>
      </w:r>
      <w:r>
        <w:t>16</w:t>
      </w:r>
      <w:r>
        <w:fldChar w:fldCharType="end"/>
      </w:r>
      <w:r>
        <w:t>,</w:t>
      </w:r>
      <w:r>
        <w:fldChar w:fldCharType="begin"/>
      </w:r>
      <w:r>
        <w:instrText xml:space="preserve"> REF ref17 \h </w:instrText>
      </w:r>
      <w:r>
        <w:fldChar w:fldCharType="separate"/>
      </w:r>
      <w:r>
        <w:t>17</w:t>
      </w:r>
      <w:r>
        <w:fldChar w:fldCharType="end"/>
      </w:r>
      <w:r>
        <w:t>,</w:t>
      </w:r>
      <w:r>
        <w:fldChar w:fldCharType="begin"/>
      </w:r>
      <w:r>
        <w:instrText xml:space="preserve"> REF ref18 \h </w:instrText>
      </w:r>
      <w:r>
        <w:fldChar w:fldCharType="separate"/>
      </w:r>
      <w:r>
        <w:t>18</w:t>
      </w:r>
      <w:r>
        <w:fldChar w:fldCharType="end"/>
      </w:r>
      <w:r>
        <w:t>]</w:t>
      </w:r>
      <w:r>
        <w:rPr>
          <w:b w:val="0"/>
        </w:rPr>
        <w:t xml:space="preserve">. A growing family of pathway-constrained graph neural networks restricts message passing to gene sets defined by KEGG pathways </w:t>
      </w:r>
      <w:r>
        <w:t>[</w:t>
      </w:r>
      <w:r>
        <w:fldChar w:fldCharType="begin"/>
      </w:r>
      <w:r>
        <w:instrText xml:space="preserve"> REF ref19 \h </w:instrText>
      </w:r>
      <w:r>
        <w:fldChar w:fldCharType="separate"/>
      </w:r>
      <w:r>
        <w:t>19</w:t>
      </w:r>
      <w:r>
        <w:fldChar w:fldCharType="end"/>
      </w:r>
      <w:r>
        <w:t>]</w:t>
      </w:r>
      <w:r>
        <w:rPr>
          <w:b w:val="0"/>
        </w:rPr>
        <w:t xml:space="preserve">. PathGNN reported that pathway-topology-constrained propagation improves prognosis across several solid tumors </w:t>
      </w:r>
      <w:r>
        <w:t>[</w:t>
      </w:r>
      <w:r>
        <w:fldChar w:fldCharType="begin"/>
      </w:r>
      <w:r>
        <w:instrText xml:space="preserve"> REF ref20 \h </w:instrText>
      </w:r>
      <w:r>
        <w:fldChar w:fldCharType="separate"/>
      </w:r>
      <w:r>
        <w:t>20</w:t>
      </w:r>
      <w:r>
        <w:fldChar w:fldCharType="end"/>
      </w:r>
      <w:r>
        <w:t>]</w:t>
      </w:r>
      <w:r>
        <w:rPr>
          <w:b w:val="0"/>
        </w:rPr>
        <w:t xml:space="preserve">. Cox-Path partitioned genes into KEGG pathway subgraphs and coupled them to a Cox survival head </w:t>
      </w:r>
      <w:r>
        <w:t>[</w:t>
      </w:r>
      <w:r>
        <w:fldChar w:fldCharType="begin"/>
      </w:r>
      <w:r>
        <w:instrText xml:space="preserve"> REF ref21 \h </w:instrText>
      </w:r>
      <w:r>
        <w:fldChar w:fldCharType="separate"/>
      </w:r>
      <w:r>
        <w:t>21</w:t>
      </w:r>
      <w:r>
        <w:fldChar w:fldCharType="end"/>
      </w:r>
      <w:r>
        <w:t>]</w:t>
      </w:r>
      <w:r>
        <w:rPr>
          <w:b w:val="0"/>
        </w:rPr>
        <w:t xml:space="preserve">. A prior-knowledge-guided multilevel GNN introduced gene-to-pathway hierarchical propagation for survival prediction </w:t>
      </w:r>
      <w:r>
        <w:t>[</w:t>
      </w:r>
      <w:r>
        <w:fldChar w:fldCharType="begin"/>
      </w:r>
      <w:r>
        <w:instrText xml:space="preserve"> REF ref22 \h </w:instrText>
      </w:r>
      <w:r>
        <w:fldChar w:fldCharType="separate"/>
      </w:r>
      <w:r>
        <w:t>22</w:t>
      </w:r>
      <w:r>
        <w:fldChar w:fldCharType="end"/>
      </w:r>
      <w:r>
        <w:t>]</w:t>
      </w:r>
      <w:r>
        <w:rPr>
          <w:b w:val="0"/>
        </w:rPr>
        <w:t xml:space="preserve">. PathMoG most recently extended this concept to multi-omics with 354 KEGG-informed pathway modules and dual-level attention, reporting strong performance across 10 TCGA cohorts </w:t>
      </w:r>
      <w:r>
        <w:t>[</w:t>
      </w:r>
      <w:r>
        <w:fldChar w:fldCharType="begin"/>
      </w:r>
      <w:r>
        <w:instrText xml:space="preserve"> REF ref23 \h </w:instrText>
      </w:r>
      <w:r>
        <w:fldChar w:fldCharType="separate"/>
      </w:r>
      <w:r>
        <w:t>23</w:t>
      </w:r>
      <w:r>
        <w:fldChar w:fldCharType="end"/>
      </w:r>
      <w:r>
        <w:t>]</w:t>
      </w:r>
      <w:r>
        <w:rPr>
          <w:b w:val="0"/>
        </w:rPr>
        <w:t>. These studies collectively suggest that biological priors can reduce overfitting and improve external validity relative to unconstrained deep models.</w:t>
      </w:r>
    </w:p>
    <w:p>
      <w:r>
        <w:rPr>
          <w:b w:val="0"/>
        </w:rPr>
        <w:t xml:space="preserve">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w:t>
      </w:r>
      <w:r>
        <w:t>[</w:t>
      </w:r>
      <w:r>
        <w:fldChar w:fldCharType="begin"/>
      </w:r>
      <w:r>
        <w:instrText xml:space="preserve"> REF ref20 \h </w:instrText>
      </w:r>
      <w:r>
        <w:fldChar w:fldCharType="separate"/>
      </w:r>
      <w:r>
        <w:t>20</w:t>
      </w:r>
      <w:r>
        <w:fldChar w:fldCharType="end"/>
      </w:r>
      <w:r>
        <w:t>,</w:t>
      </w:r>
      <w:r>
        <w:fldChar w:fldCharType="begin"/>
      </w:r>
      <w:r>
        <w:instrText xml:space="preserve"> REF ref21 \h </w:instrText>
      </w:r>
      <w:r>
        <w:fldChar w:fldCharType="separate"/>
      </w:r>
      <w:r>
        <w:t>21</w:t>
      </w:r>
      <w:r>
        <w:fldChar w:fldCharType="end"/>
      </w:r>
      <w:r>
        <w:t>,</w:t>
      </w:r>
      <w:r>
        <w:fldChar w:fldCharType="begin"/>
      </w:r>
      <w:r>
        <w:instrText xml:space="preserve"> REF ref22 \h </w:instrText>
      </w:r>
      <w:r>
        <w:fldChar w:fldCharType="separate"/>
      </w:r>
      <w:r>
        <w:t>22</w:t>
      </w:r>
      <w:r>
        <w:fldChar w:fldCharType="end"/>
      </w:r>
      <w:r>
        <w:t>,</w:t>
      </w:r>
      <w:r>
        <w:fldChar w:fldCharType="begin"/>
      </w:r>
      <w:r>
        <w:instrText xml:space="preserve"> REF ref23 \h </w:instrText>
      </w:r>
      <w:r>
        <w:fldChar w:fldCharType="separate"/>
      </w:r>
      <w:r>
        <w:t>23</w:t>
      </w:r>
      <w:r>
        <w:fldChar w:fldCharType="end"/>
      </w:r>
      <w:r>
        <w:t>]</w:t>
      </w:r>
      <w:r>
        <w:rPr>
          <w:b w:val="0"/>
        </w:rPr>
        <w:t xml:space="preserve">. This assumption is difficult to reconcile with the observation that tumor regulatory networks are extensively rewired in a malignancy-dependent manner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 xml:space="preserve">. Differential network analyses have, moreover, shown that interaction strengths vary across disease states and individuals rather than forming a single static structure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 xml:space="preserve">We evaluated Path-AGNN-Cox on a harmonized pan-cancer cohort of 5336 patients from 11 TCGA cancer types (BLCA, BRCA, COAD, GBM, HNSC, KIRC, LIHC, LUAD, LUSC, OV, STAD), where each patient was represented by RNA-sequencing expression from UCSC Xena </w:t>
      </w:r>
      <w:r>
        <w:t>[</w:t>
      </w:r>
      <w:r>
        <w:fldChar w:fldCharType="begin"/>
      </w:r>
      <w:r>
        <w:instrText xml:space="preserve"> REF ref6 \h </w:instrText>
      </w:r>
      <w:r>
        <w:fldChar w:fldCharType="separate"/>
      </w:r>
      <w:r>
        <w:t>6</w:t>
      </w:r>
      <w:r>
        <w:fldChar w:fldCharType="end"/>
      </w:r>
      <w:r>
        <w:t>]</w:t>
      </w:r>
      <w:r>
        <w:rPr>
          <w:b w:val="0"/>
        </w:rPr>
        <w:t xml:space="preserve">, log2-transformed and z-scored within training folds, and overall-survival annotation extracted with TCGAbiolinks </w:t>
      </w:r>
      <w:r>
        <w:t>[</w:t>
      </w:r>
      <w:r>
        <w:fldChar w:fldCharType="begin"/>
      </w:r>
      <w:r>
        <w:instrText xml:space="preserve"> REF ref27 \h </w:instrText>
      </w:r>
      <w:r>
        <w:fldChar w:fldCharType="separate"/>
      </w:r>
      <w:r>
        <w:t>27</w:t>
      </w:r>
      <w:r>
        <w:fldChar w:fldCharType="end"/>
      </w:r>
      <w:r>
        <w:t>]</w:t>
      </w:r>
      <w:r>
        <w:rPr>
          <w:b w:val="0"/>
        </w:rPr>
        <w:t xml:space="preserve">. These cohorts span diverse tissue origins, event rates, and sample sizes (1896 events; Table 1), providing a rigorous testbed for generalizability. For independent external validation without any fine-tuning, we additionally compiled 25 GEO microarray cohorts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 xml:space="preserve">For the GEO cohorts, probes were mapped to gene symbols using the platform annotation tables downloaded from NCBI GEO </w:t>
      </w:r>
      <w:r>
        <w:t>[</w:t>
      </w:r>
      <w:r>
        <w:fldChar w:fldCharType="begin"/>
      </w:r>
      <w:r>
        <w:instrText xml:space="preserve"> REF ref4 \h </w:instrText>
      </w:r>
      <w:r>
        <w:fldChar w:fldCharType="separate"/>
      </w:r>
      <w:r>
        <w:t>4</w:t>
      </w:r>
      <w:r>
        <w:fldChar w:fldCharType="end"/>
      </w:r>
      <w:r>
        <w:t>]</w:t>
      </w:r>
      <w:r>
        <w:rPr>
          <w:b w:val="0"/>
        </w:rPr>
        <w:t xml:space="preserve">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 xml:space="preserve">Expression matrices were first mapped to the KEGG cancer-core pathway catalogue </w:t>
      </w:r>
      <w:r>
        <w:t>[</w:t>
      </w:r>
      <w:r>
        <w:fldChar w:fldCharType="begin"/>
      </w:r>
      <w:r>
        <w:instrText xml:space="preserve"> REF ref19 \h </w:instrText>
      </w:r>
      <w:r>
        <w:fldChar w:fldCharType="separate"/>
      </w:r>
      <w:r>
        <w:t>19</w:t>
      </w:r>
      <w:r>
        <w:fldChar w:fldCharType="end"/>
      </w:r>
      <w:r>
        <w:t>]</w:t>
      </w:r>
      <w:r>
        <w:rPr>
          <w:b w:val="0"/>
        </w:rPr>
        <w:t xml:space="preserve">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 xml:space="preserve">Model parameters are optimized by the negative Cox partial likelihood with Breslow tie handling </w:t>
      </w:r>
      <w:r>
        <w:t>[</w:t>
      </w:r>
      <w:r>
        <w:fldChar w:fldCharType="begin"/>
      </w:r>
      <w:r>
        <w:instrText xml:space="preserve"> REF ref1 \h </w:instrText>
      </w:r>
      <w:r>
        <w:fldChar w:fldCharType="separate"/>
      </w:r>
      <w:r>
        <w:t>1</w:t>
      </w:r>
      <w:r>
        <w:fldChar w:fldCharType="end"/>
      </w:r>
      <w:r>
        <w:t>,</w:t>
      </w:r>
      <w:r>
        <w:fldChar w:fldCharType="begin"/>
      </w:r>
      <w:r>
        <w:instrText xml:space="preserve"> REF ref28 \h </w:instrText>
      </w:r>
      <w:r>
        <w:fldChar w:fldCharType="separate"/>
      </w:r>
      <w:r>
        <w:t>28</w:t>
      </w:r>
      <w:r>
        <w:fldChar w:fldCharType="end"/>
      </w:r>
      <w:r>
        <w:t>]</w:t>
      </w:r>
      <w:r>
        <w:rPr>
          <w:b w:val="0"/>
        </w:rPr>
        <w:t>,</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 xml:space="preserve">We used stratified 5-fold cross-validation within each TCGA cohort (fold-stratified on the event indicator; random seed 42). The concordance index </w:t>
      </w:r>
      <w:r>
        <w:t>[</w:t>
      </w:r>
      <w:r>
        <w:fldChar w:fldCharType="begin"/>
      </w:r>
      <w:r>
        <w:instrText xml:space="preserve"> REF ref2 \h </w:instrText>
      </w:r>
      <w:r>
        <w:fldChar w:fldCharType="separate"/>
      </w:r>
      <w:r>
        <w:t>2</w:t>
      </w:r>
      <w:r>
        <w:fldChar w:fldCharType="end"/>
      </w:r>
      <w:r>
        <w:t>,</w:t>
      </w:r>
      <w:r>
        <w:fldChar w:fldCharType="begin"/>
      </w:r>
      <w:r>
        <w:instrText xml:space="preserve"> REF ref29 \h </w:instrText>
      </w:r>
      <w:r>
        <w:fldChar w:fldCharType="separate"/>
      </w:r>
      <w:r>
        <w:t>29</w:t>
      </w:r>
      <w:r>
        <w:fldChar w:fldCharType="end"/>
      </w:r>
      <w:r>
        <w:t>]</w:t>
      </w:r>
      <w:r>
        <w:rPr>
          <w:b w:val="0"/>
        </w:rPr>
        <w:t xml:space="preserve"> served as the primary discrimination metric; the time-dependent AUC </w:t>
      </w:r>
      <w:r>
        <w:t>[</w:t>
      </w:r>
      <w:r>
        <w:fldChar w:fldCharType="begin"/>
      </w:r>
      <w:r>
        <w:instrText xml:space="preserve"> REF ref30 \h </w:instrText>
      </w:r>
      <w:r>
        <w:fldChar w:fldCharType="separate"/>
      </w:r>
      <w:r>
        <w:t>30</w:t>
      </w:r>
      <w:r>
        <w:fldChar w:fldCharType="end"/>
      </w:r>
      <w:r>
        <w:t>]</w:t>
      </w:r>
      <w:r>
        <w:rPr>
          <w:b w:val="0"/>
        </w:rPr>
        <w:t xml:space="preserve"> (mean over the 0.25/0.50/0.75 quantile times) was used as a secondary metric. For external validation, each model was retrained on the full TCGA cohort and evaluated on the GEO cohorts without any fine-tuning, following current recommendations for validating prognostic models </w:t>
      </w:r>
      <w:r>
        <w:t>[</w:t>
      </w:r>
      <w:r>
        <w:fldChar w:fldCharType="begin"/>
      </w:r>
      <w:r>
        <w:instrText xml:space="preserve"> REF ref31 \h </w:instrText>
      </w:r>
      <w:r>
        <w:fldChar w:fldCharType="separate"/>
      </w:r>
      <w:r>
        <w:t>31</w:t>
      </w:r>
      <w:r>
        <w:fldChar w:fldCharType="end"/>
      </w:r>
      <w:r>
        <w:t>]</w:t>
      </w:r>
      <w:r>
        <w:rPr>
          <w:b w:val="0"/>
        </w:rPr>
        <w:t xml:space="preserve">. Paired Wilcoxon signed-rank tests (per-dataset mean C-index, internal CV) were used to compare Path-AGNN-Cox against each baseline. Decision-curve analysis </w:t>
      </w:r>
      <w:r>
        <w:t>[</w:t>
      </w:r>
      <w:r>
        <w:fldChar w:fldCharType="begin"/>
      </w:r>
      <w:r>
        <w:instrText xml:space="preserve"> REF ref32 \h </w:instrText>
      </w:r>
      <w:r>
        <w:fldChar w:fldCharType="separate"/>
      </w:r>
      <w:r>
        <w:t>32</w:t>
      </w:r>
      <w:r>
        <w:fldChar w:fldCharType="end"/>
      </w:r>
      <w:r>
        <w:t>]</w:t>
      </w:r>
      <w:r>
        <w:rPr>
          <w:b w:val="0"/>
        </w:rPr>
        <w:t xml:space="preserve">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w:t>
      </w:r>
      <w:r>
        <w:t>[</w:t>
      </w:r>
      <w:r>
        <w:fldChar w:fldCharType="begin"/>
      </w:r>
      <w:r>
        <w:instrText xml:space="preserve"> REF ref33 \h </w:instrText>
      </w:r>
      <w:r>
        <w:fldChar w:fldCharType="separate"/>
      </w:r>
      <w:r>
        <w:t>33</w:t>
      </w:r>
      <w:r>
        <w:fldChar w:fldCharType="end"/>
      </w:r>
      <w:r>
        <w:t>]</w:t>
      </w:r>
      <w:r>
        <w:rPr>
          <w:b w:val="0"/>
        </w:rPr>
        <w:t>.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 xml:space="preserve">Path-AGNN-Cox was implemented in Python 3.10 with PyTorch </w:t>
      </w:r>
      <w:r>
        <w:t>[</w:t>
      </w:r>
      <w:r>
        <w:fldChar w:fldCharType="begin"/>
      </w:r>
      <w:r>
        <w:instrText xml:space="preserve"> REF ref34 \h </w:instrText>
      </w:r>
      <w:r>
        <w:fldChar w:fldCharType="separate"/>
      </w:r>
      <w:r>
        <w:t>34</w:t>
      </w:r>
      <w:r>
        <w:fldChar w:fldCharType="end"/>
      </w:r>
      <w:r>
        <w:t>]</w:t>
      </w:r>
      <w:r>
        <w:rPr>
          <w:b w:val="0"/>
        </w:rPr>
        <w:t xml:space="preserve"> on CPU, and all survival statistics were computed with lifelines </w:t>
      </w:r>
      <w:r>
        <w:t>[</w:t>
      </w:r>
      <w:r>
        <w:fldChar w:fldCharType="begin"/>
      </w:r>
      <w:r>
        <w:instrText xml:space="preserve"> REF ref35 \h </w:instrText>
      </w:r>
      <w:r>
        <w:fldChar w:fldCharType="separate"/>
      </w:r>
      <w:r>
        <w:t>35</w:t>
      </w:r>
      <w:r>
        <w:fldChar w:fldCharType="end"/>
      </w:r>
      <w:r>
        <w:t>]</w:t>
      </w:r>
      <w:r>
        <w:rPr>
          <w:b w:val="0"/>
        </w:rPr>
        <w:t xml:space="preserve">; cross-validation splits and tree baselines were implemented with scikit-learn </w:t>
      </w:r>
      <w:r>
        <w:t>[</w:t>
      </w:r>
      <w:r>
        <w:fldChar w:fldCharType="begin"/>
      </w:r>
      <w:r>
        <w:instrText xml:space="preserve"> REF ref36 \h </w:instrText>
      </w:r>
      <w:r>
        <w:fldChar w:fldCharType="separate"/>
      </w:r>
      <w:r>
        <w:t>36</w:t>
      </w:r>
      <w:r>
        <w:fldChar w:fldCharType="end"/>
      </w:r>
      <w:r>
        <w:t>]</w:t>
      </w:r>
      <w:r>
        <w:rPr>
          <w:b w:val="0"/>
        </w:rPr>
        <w:t>.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 xml:space="preserve">hidden </w:t>
            </w:r>
            <w:r>
              <w:t>[</w:t>
            </w:r>
            <w:r>
              <w:fldChar w:fldCharType="begin"/>
            </w:r>
            <w:r>
              <w:instrText xml:space="preserve"> REF ref32 \h </w:instrText>
            </w:r>
            <w:r>
              <w:fldChar w:fldCharType="separate"/>
            </w:r>
            <w:r>
              <w:t>32</w:t>
            </w:r>
            <w:r>
              <w:fldChar w:fldCharType="end"/>
            </w:r>
            <w:r>
              <w:t>,</w:t>
            </w:r>
            <w:r>
              <w:fldChar w:fldCharType="begin"/>
            </w:r>
            <w:r>
              <w:instrText xml:space="preserve"> REF ref16 \h </w:instrText>
            </w:r>
            <w:r>
              <w:fldChar w:fldCharType="separate"/>
            </w:r>
            <w:r>
              <w:t>16</w:t>
            </w:r>
            <w:r>
              <w:fldChar w:fldCharType="end"/>
            </w:r>
            <w:r>
              <w:t>]</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 xml:space="preserve">hidden </w:t>
            </w:r>
            <w:r>
              <w:rPr>
                <w:b w:val="0"/>
              </w:rPr>
              <w:t>[64]</w:t>
            </w:r>
            <w:r>
              <w:rPr>
                <w:b w:val="0"/>
              </w:rPr>
              <w:t>,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 xml:space="preserve">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w:t>
      </w:r>
      <w:r>
        <w:t>[</w:t>
      </w:r>
      <w:r>
        <w:fldChar w:fldCharType="begin"/>
      </w:r>
      <w:r>
        <w:instrText xml:space="preserve"> REF ref23 \h </w:instrText>
      </w:r>
      <w:r>
        <w:fldChar w:fldCharType="separate"/>
      </w:r>
      <w:r>
        <w:t>23</w:t>
      </w:r>
      <w:r>
        <w:fldChar w:fldCharType="end"/>
      </w:r>
      <w:r>
        <w:t>,</w:t>
      </w:r>
      <w:r>
        <w:fldChar w:fldCharType="begin"/>
      </w:r>
      <w:r>
        <w:instrText xml:space="preserve"> REF ref37 \h </w:instrText>
      </w:r>
      <w:r>
        <w:fldChar w:fldCharType="separate"/>
      </w:r>
      <w:r>
        <w:t>37</w:t>
      </w:r>
      <w:r>
        <w:fldChar w:fldCharType="end"/>
      </w:r>
      <w:r>
        <w:t>]</w:t>
      </w:r>
      <w:r>
        <w:rPr>
          <w:b w:val="0"/>
        </w:rPr>
        <w:t>, whereas Path-AGNN-Cox was validated in 25 independent cohorts spanning 11 tumor types.</w:t>
      </w:r>
    </w:p>
    <w:p>
      <w:r>
        <w:rPr>
          <w:b w:val="0"/>
        </w:rPr>
        <w:t xml:space="preserve">Calibration of the risk score </w:t>
      </w:r>
      <w:r>
        <w:t>[</w:t>
      </w:r>
      <w:r>
        <w:fldChar w:fldCharType="begin"/>
      </w:r>
      <w:r>
        <w:instrText xml:space="preserve"> REF ref38 \h </w:instrText>
      </w:r>
      <w:r>
        <w:fldChar w:fldCharType="separate"/>
      </w:r>
      <w:r>
        <w:t>38</w:t>
      </w:r>
      <w:r>
        <w:fldChar w:fldCharType="end"/>
      </w:r>
      <w:r>
        <w:t>]</w:t>
      </w:r>
      <w:r>
        <w:rPr>
          <w:b w:val="0"/>
        </w:rPr>
        <w:t xml:space="preserve">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w:t>
      </w:r>
      <w:r>
        <w:t>[</w:t>
      </w:r>
      <w:r>
        <w:fldChar w:fldCharType="begin"/>
      </w:r>
      <w:r>
        <w:instrText xml:space="preserve"> REF ref39 \h </w:instrText>
      </w:r>
      <w:r>
        <w:fldChar w:fldCharType="separate"/>
      </w:r>
      <w:r>
        <w:t>39</w:t>
      </w:r>
      <w:r>
        <w:fldChar w:fldCharType="end"/>
      </w:r>
      <w:r>
        <w:t>]</w:t>
      </w:r>
      <w:r>
        <w:rPr>
          <w:b w:val="0"/>
        </w:rPr>
        <w:t xml:space="preserve">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w:t>
      </w:r>
      <w:r>
        <w:t>[</w:t>
      </w:r>
      <w:r>
        <w:fldChar w:fldCharType="begin"/>
      </w:r>
      <w:r>
        <w:instrText xml:space="preserve"> REF ref40 \h </w:instrText>
      </w:r>
      <w:r>
        <w:fldChar w:fldCharType="separate"/>
      </w:r>
      <w:r>
        <w:t>40</w:t>
      </w:r>
      <w:r>
        <w:fldChar w:fldCharType="end"/>
      </w:r>
      <w:r>
        <w:t>]</w:t>
      </w:r>
      <w:r>
        <w:rPr>
          <w:b w:val="0"/>
        </w:rPr>
        <w:t xml:space="preserve">,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w:t>
      </w:r>
      <w:r>
        <w:t>[</w:t>
      </w:r>
      <w:r>
        <w:fldChar w:fldCharType="begin"/>
      </w:r>
      <w:r>
        <w:instrText xml:space="preserve"> REF ref41 \h </w:instrText>
      </w:r>
      <w:r>
        <w:fldChar w:fldCharType="separate"/>
      </w:r>
      <w:r>
        <w:t>41</w:t>
      </w:r>
      <w:r>
        <w:fldChar w:fldCharType="end"/>
      </w:r>
      <w:r>
        <w:t>]</w:t>
      </w:r>
      <w:r>
        <w:rPr>
          <w:b w:val="0"/>
        </w:rPr>
        <w:t xml:space="preserve">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380449"/>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380449"/>
                    </a:xfrm>
                    <a:prstGeom prst="rect"/>
                  </pic:spPr>
                </pic:pic>
              </a:graphicData>
            </a:graphic>
          </wp:inline>
        </w:drawing>
      </w:r>
    </w:p>
    <w:p>
      <w:pPr>
        <w:spacing w:after="200"/>
      </w:pPr>
      <w:r>
        <w:rPr>
          <w:b/>
        </w:rPr>
        <w:t xml:space="preserve">Figure 6. </w:t>
      </w:r>
      <w:r>
        <w:rPr>
          <w:b w:val="0"/>
        </w:rPr>
        <w:t>IMvigor210 anti-PD-L1 cohort and template transfer (exploratory).** (A) Per-patient rewiring magnitude in responders (CR/PR) vs non-responders (SD/PD); Wilcoxon rank-sum test. (B) Overall survival of high- vs low-rewiring strata (median split) with log-rank test. (C) Ki-67 expression vs rewiring magnitude with Spearman correlation. (D) Template-transfer OS validation: per-cohort hazard ratios of high versus low template score in BRCA, KIRC and LUAD GEO cohorts, with fixed-effect estimates per cancer type; dashed line at HR = 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(Figure 6D).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 xml:space="preserve">To connect patient-specific rewiring to the tumor microenvironment and to therapeutic vulnerability, we computed MCP-counter immune cell abundance estimates </w:t>
      </w:r>
      <w:r>
        <w:t>[</w:t>
      </w:r>
      <w:r>
        <w:fldChar w:fldCharType="begin"/>
      </w:r>
      <w:r>
        <w:instrText xml:space="preserve"> REF ref42 \h </w:instrText>
      </w:r>
      <w:r>
        <w:fldChar w:fldCharType="separate"/>
      </w:r>
      <w:r>
        <w:t>42</w:t>
      </w:r>
      <w:r>
        <w:fldChar w:fldCharType="end"/>
      </w:r>
      <w:r>
        <w:t>]</w:t>
      </w:r>
      <w:r>
        <w:rPr>
          <w:b w:val="0"/>
        </w:rPr>
        <w:t xml:space="preserve"> and ssGSEA scores of nine immune Hallmark gene sets </w:t>
      </w:r>
      <w:r>
        <w:t>[</w:t>
      </w:r>
      <w:r>
        <w:fldChar w:fldCharType="begin"/>
      </w:r>
      <w:r>
        <w:instrText xml:space="preserve"> REF ref43 \h </w:instrText>
      </w:r>
      <w:r>
        <w:fldChar w:fldCharType="separate"/>
      </w:r>
      <w:r>
        <w:t>43</w:t>
      </w:r>
      <w:r>
        <w:fldChar w:fldCharType="end"/>
      </w:r>
      <w:r>
        <w:t>,</w:t>
      </w:r>
      <w:r>
        <w:fldChar w:fldCharType="begin"/>
      </w:r>
      <w:r>
        <w:instrText xml:space="preserve"> REF ref44 \h </w:instrText>
      </w:r>
      <w:r>
        <w:fldChar w:fldCharType="separate"/>
      </w:r>
      <w:r>
        <w:t>44</w:t>
      </w:r>
      <w:r>
        <w:fldChar w:fldCharType="end"/>
      </w:r>
      <w:r>
        <w:t>]</w:t>
      </w:r>
      <w:r>
        <w:rPr>
          <w:b w:val="0"/>
        </w:rPr>
        <w:t xml:space="preserve">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 xml:space="preserve">We further predicted drug sensitivity with the oncoPredict model </w:t>
      </w:r>
      <w:r>
        <w:t>[</w:t>
      </w:r>
      <w:r>
        <w:fldChar w:fldCharType="begin"/>
      </w:r>
      <w:r>
        <w:instrText xml:space="preserve"> REF ref45 \h </w:instrText>
      </w:r>
      <w:r>
        <w:fldChar w:fldCharType="separate"/>
      </w:r>
      <w:r>
        <w:t>45</w:t>
      </w:r>
      <w:r>
        <w:fldChar w:fldCharType="end"/>
      </w:r>
      <w:r>
        <w:t>]</w:t>
      </w:r>
      <w:r>
        <w:rPr>
          <w:b w:val="0"/>
        </w:rPr>
        <w:t xml:space="preserve"> trained on GDSC2 cell-line pharmacogenomic data </w:t>
      </w:r>
      <w:r>
        <w:t>[</w:t>
      </w:r>
      <w:r>
        <w:fldChar w:fldCharType="begin"/>
      </w:r>
      <w:r>
        <w:instrText xml:space="preserve"> REF ref46 \h </w:instrText>
      </w:r>
      <w:r>
        <w:fldChar w:fldCharType="separate"/>
      </w:r>
      <w:r>
        <w:t>46</w:t>
      </w:r>
      <w:r>
        <w:fldChar w:fldCharType="end"/>
      </w:r>
      <w:r>
        <w:t>]</w:t>
      </w:r>
      <w:r>
        <w:rPr>
          <w:b w:val="0"/>
        </w:rPr>
        <w:t xml:space="preserve">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 xml:space="preserve">The conceptual contribution of this work is a framework rather than a module tweak. Existing pathway GNNs, including PathGNN </w:t>
      </w:r>
      <w:r>
        <w:t>[</w:t>
      </w:r>
      <w:r>
        <w:fldChar w:fldCharType="begin"/>
      </w:r>
      <w:r>
        <w:instrText xml:space="preserve"> REF ref20 \h </w:instrText>
      </w:r>
      <w:r>
        <w:fldChar w:fldCharType="separate"/>
      </w:r>
      <w:r>
        <w:t>20</w:t>
      </w:r>
      <w:r>
        <w:fldChar w:fldCharType="end"/>
      </w:r>
      <w:r>
        <w:t>]</w:t>
      </w:r>
      <w:r>
        <w:rPr>
          <w:b w:val="0"/>
        </w:rPr>
        <w:t xml:space="preserve">, Cox-Path </w:t>
      </w:r>
      <w:r>
        <w:t>[</w:t>
      </w:r>
      <w:r>
        <w:fldChar w:fldCharType="begin"/>
      </w:r>
      <w:r>
        <w:instrText xml:space="preserve"> REF ref21 \h </w:instrText>
      </w:r>
      <w:r>
        <w:fldChar w:fldCharType="separate"/>
      </w:r>
      <w:r>
        <w:t>21</w:t>
      </w:r>
      <w:r>
        <w:fldChar w:fldCharType="end"/>
      </w:r>
      <w:r>
        <w:t>]</w:t>
      </w:r>
      <w:r>
        <w:rPr>
          <w:b w:val="0"/>
        </w:rPr>
        <w:t xml:space="preserve">, prior-knowledge-guided multilevel GNNs </w:t>
      </w:r>
      <w:r>
        <w:t>[</w:t>
      </w:r>
      <w:r>
        <w:fldChar w:fldCharType="begin"/>
      </w:r>
      <w:r>
        <w:instrText xml:space="preserve"> REF ref22 \h </w:instrText>
      </w:r>
      <w:r>
        <w:fldChar w:fldCharType="separate"/>
      </w:r>
      <w:r>
        <w:t>22</w:t>
      </w:r>
      <w:r>
        <w:fldChar w:fldCharType="end"/>
      </w:r>
      <w:r>
        <w:t>]</w:t>
      </w:r>
      <w:r>
        <w:rPr>
          <w:b w:val="0"/>
        </w:rPr>
        <w:t xml:space="preserve">, and the multi-omics PathMoG </w:t>
      </w:r>
      <w:r>
        <w:t>[</w:t>
      </w:r>
      <w:r>
        <w:fldChar w:fldCharType="begin"/>
      </w:r>
      <w:r>
        <w:instrText xml:space="preserve"> REF ref23 \h </w:instrText>
      </w:r>
      <w:r>
        <w:fldChar w:fldCharType="separate"/>
      </w:r>
      <w:r>
        <w:t>23</w:t>
      </w:r>
      <w:r>
        <w:fldChar w:fldCharType="end"/>
      </w:r>
      <w:r>
        <w:t>]</w:t>
      </w:r>
      <w:r>
        <w:rPr>
          <w:b w:val="0"/>
        </w:rPr>
        <w:t xml:space="preserve">, treat the pathway graph as a fixed patient-invariant prior and stop at the risk score. We instead treat the effective graph as a per-patient object and provide the statistical machinery to interrogate its rewiring: edge-level and pathway-level tests with BH-FDR control </w:t>
      </w:r>
      <w:r>
        <w:t>[</w:t>
      </w:r>
      <w:r>
        <w:fldChar w:fldCharType="begin"/>
      </w:r>
      <w:r>
        <w:instrText xml:space="preserve"> REF ref33 \h </w:instrText>
      </w:r>
      <w:r>
        <w:fldChar w:fldCharType="separate"/>
      </w:r>
      <w:r>
        <w:t>33</w:t>
      </w:r>
      <w:r>
        <w:fldChar w:fldCharType="end"/>
      </w:r>
      <w:r>
        <w:t>]</w:t>
      </w:r>
      <w:r>
        <w:rPr>
          <w:b w:val="0"/>
        </w:rPr>
        <w:t xml:space="preserve">,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w:t>
      </w:r>
      <w:r>
        <w:t>[</w:t>
      </w:r>
      <w:r>
        <w:fldChar w:fldCharType="begin"/>
      </w:r>
      <w:r>
        <w:instrText xml:space="preserve"> REF ref39 \h </w:instrText>
      </w:r>
      <w:r>
        <w:fldChar w:fldCharType="separate"/>
      </w:r>
      <w:r>
        <w:t>39</w:t>
      </w:r>
      <w:r>
        <w:fldChar w:fldCharType="end"/>
      </w:r>
      <w:r>
        <w:t>]</w:t>
      </w:r>
      <w:r>
        <w:rPr>
          <w:b w:val="0"/>
        </w:rPr>
        <w:t>,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 The internal performance gap has a plausible mechanistic basis: the pathway constraint restricts the input to 53 KEGG modules, and the dropout and consistency terms further limit effective capacity, whereas penalized Cox and the deep baselines fit the full expression vector without these constraints. On single-transcriptome data with moderate effect sizes, that restriction seemingly costs discrimination while purchasing a structured, testable attention output. The external pattern is consistent with this reading: the deep baselines fell to 0.50 on average across 25 GEO cohorts, essentially the level of Path-AGNN-Cox (0.51), whereas penalized Cox retained the highest external mean (0.57), suggesting that a linear, sparsity-controlled expression-to-risk mapping remains the most portable representation in these data.</w:t>
      </w:r>
    </w:p>
    <w:p>
      <w:r>
        <w:rPr>
          <w:b/>
        </w:rPr>
        <w:t>Comparison with PathMoG.</w:t>
      </w:r>
      <w:r>
        <w:rPr>
          <w:b w:val="0"/>
        </w:rPr>
        <w:t xml:space="preserve"> PathMoG is the closest recent work; it also organizes genes into KEGG pathway modules and uses hierarchical attention for multi-omics survival prediction </w:t>
      </w:r>
      <w:r>
        <w:t>[</w:t>
      </w:r>
      <w:r>
        <w:fldChar w:fldCharType="begin"/>
      </w:r>
      <w:r>
        <w:instrText xml:space="preserve"> REF ref23 \h </w:instrText>
      </w:r>
      <w:r>
        <w:fldChar w:fldCharType="separate"/>
      </w:r>
      <w:r>
        <w:t>23</w:t>
      </w:r>
      <w:r>
        <w:fldChar w:fldCharType="end"/>
      </w:r>
      <w:r>
        <w:t>]</w:t>
      </w:r>
      <w:r>
        <w:rPr>
          <w:b w:val="0"/>
        </w:rPr>
        <w:t xml:space="preserve">.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w:t>
      </w:r>
      <w:r>
        <w:t>[</w:t>
      </w:r>
      <w:r>
        <w:fldChar w:fldCharType="begin"/>
      </w:r>
      <w:r>
        <w:instrText xml:space="preserve"> REF ref37 \h </w:instrText>
      </w:r>
      <w:r>
        <w:fldChar w:fldCharType="separate"/>
      </w:r>
      <w:r>
        <w:t>37</w:t>
      </w:r>
      <w:r>
        <w:fldChar w:fldCharType="end"/>
      </w:r>
      <w:r>
        <w:t>]</w:t>
      </w:r>
      <w:r>
        <w:rPr>
          <w:b w:val="0"/>
        </w:rPr>
        <w:t>;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Comparison with classical and deep survival models.</w:t>
      </w:r>
      <w:r>
        <w:rPr>
          <w:b w:val="0"/>
        </w:rPr>
        <w:t xml:space="preserve"> Relative to penalized Cox, the shared ground is sparsity-oriented regularization; the difference is that Lasso, Ridge and Elastic-Net treat genes as unordered covariates and offer no mechanistic object to interrogate, whereas Path-AGNN-Cox couples a biologically labeled graph to the risk head and exposes its patient-specific variation to testing. Relative to DeepSurv and Cox-nnet, both families learn nonlinear representations, but their internal features are not tied to pre-defined pathways, so even when attention-like quantities exist they cannot support a pathway-level rewiring test; in turn, Path-AGNN-Cox trades part of its internal discrimination for this testable structure. Random survival forests occupy a similar position: splits on individual genes are interpretable as biomarkers yet carry no explicit inter-gene topology. Across all three families, the present benchmark indicates that none of them, including the pathway-constrained variants, improved external C-index over penalized Cox in these data; accordingly, the comparative value of Path-AGNN-Cox lies in the graph-dynamic output rather than in ranking metrics alone.</w:t>
      </w:r>
    </w:p>
    <w:p>
      <w:r>
        <w:rPr>
          <w:b/>
        </w:rPr>
        <w:t>External transfer of rewiring.</w:t>
      </w:r>
      <w:r>
        <w:rPr>
          <w:b w:val="0"/>
        </w:rPr>
        <w:t xml:space="preserve"> The between-stratum rewiring tests are cohort-internal: they indicate that the adaptive weights carry risk-associated structure within the training cohort, and they do not by themselves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Three explanations are consistent with these results: the rewiring signal may reflect cohort-specific biological or technical structure that does not generalize; the rewiring magnitude may be too noisy after platform transfer because transferred features are standardized with training statistics; and the external cohorts are comparatively small (226–442 patients, 35–236 events), so modest portable effects, if any, would be difficult to detect at the observed power.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Implications and future directions.</w:t>
      </w:r>
      <w:r>
        <w:rPr>
          <w:b w:val="0"/>
        </w:rPr>
        <w:t xml:space="preserve"> Methodologically, the framework converts patient-specific pathway graphs into formal statistical objects; the testing pipeline of label-permutation nulls, matched gene-set controls, architectural controls and clinical anchoring can, in turn, be applied to any survival model that emits per-sample attention over a pre-defined structure. Clinically, the exploratory ICB result suggests a potential, still tentative use case: if the BLCA rewiring template is confirmed in prospective cohorts, it could complement TMB as a response stratifier in the low-TMB subgroup, where the association was concentrated; paired on-treatment biopsies, as profiled in GSE91061, additionally offer a design in which within-patient rewiring dynamics could be monitored over the course of therapy. Several extensions follow from the present limitations. Platform-matched or harmonized external data are needed to separate true non-transferability from technical noise in the rewiring signal. Multi-omics inputs could, moreover, modulate the pathway graph with copy-number and mutation states, thereby testing whether genomic drivers shape the observed attention differences. Single-cell resolution would further map bulk-level rewiring onto cell-type-specific regulatory changes, and perturbation experiments in model systems remain the only route by which the correlational pathway-level associations reported here could be advanced toward causal statements.</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a demonstrable malignancy-dependent gating mechanism.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Z.W. and L.W. contributed equally to this work. Z.W. conceived and designed the study, developed the Path-AGNN-Cox model and analysis pipelines, performed the benchmark, rewiring and immunotherapy analyses, and wrote the main manuscript text. L.W. curated and preprocessed the TCGA and GEO data, contributed to methodology, and co-wrote the main manuscript text. C.W. supervised the study and revised the manuscript. P.Z. provided resources and revised the manuscript. Z.L. validated the results and revised the manuscript. H.F. and Q.H. performed the investigation and prepared the figures. H.L. contributed to data curation and validation. M.G. contributed to the formal analysis and revised the manuscript. All authors reviewed and approved the final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 xml:space="preserve">All data were obtained from public repositories: TCGA RNA-seq and clinical annotations from UCSC Xena </w:t>
      </w:r>
      <w:r>
        <w:t>[</w:t>
      </w:r>
      <w:r>
        <w:fldChar w:fldCharType="begin"/>
      </w:r>
      <w:r>
        <w:instrText xml:space="preserve"> REF ref6 \h </w:instrText>
      </w:r>
      <w:r>
        <w:fldChar w:fldCharType="separate"/>
      </w:r>
      <w:r>
        <w:t>6</w:t>
      </w:r>
      <w:r>
        <w:fldChar w:fldCharType="end"/>
      </w:r>
      <w:r>
        <w:t>]</w:t>
      </w:r>
      <w:r>
        <w:rPr>
          <w:b w:val="0"/>
        </w:rPr>
        <w:t xml:space="preserve"> and GDC, GEO series matrices and platform annotations from NCBI GEO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and IMvigor210 data from the original publication </w:t>
      </w:r>
      <w:r>
        <w:t>[</w:t>
      </w:r>
      <w:r>
        <w:fldChar w:fldCharType="begin"/>
      </w:r>
      <w:r>
        <w:instrText xml:space="preserve"> REF ref40 \h </w:instrText>
      </w:r>
      <w:r>
        <w:fldChar w:fldCharType="separate"/>
      </w:r>
      <w:r>
        <w:t>40</w:t>
      </w:r>
      <w:r>
        <w:fldChar w:fldCharType="end"/>
      </w:r>
      <w:r>
        <w:t>]</w:t>
      </w:r>
      <w:r>
        <w:rPr>
          <w:b w:val="0"/>
        </w:rPr>
        <w:t>.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bookmarkStart w:id="1000" w:name="ref1"/>
      <w:r>
        <w:t>1</w:t>
      </w:r>
      <w:bookmarkEnd w:id="1000"/>
      <w:r>
        <w:rPr>
          <w:b w:val="0"/>
        </w:rPr>
        <w:t>Cox DR. Regression models and life-tables. J R Stat Soc Ser B Stat Methodol. 1972;34(2):187-220. doi:10.1111/j.2517-6161.1972.tb00899.x</w:t>
      </w:r>
    </w:p>
    <w:p>
      <w:bookmarkStart w:id="1001" w:name="ref2"/>
      <w:r>
        <w:t>2</w:t>
      </w:r>
      <w:bookmarkEnd w:id="1001"/>
      <w:r>
        <w:rPr>
          <w:b w:val="0"/>
        </w:rPr>
        <w:t>Harrell FE, Lee KL, Mark DB. Multivariable prognostic models: issues in developing models, evaluating assumptions and adequacy, and measuring and reducing errors. Stat Med. 1996;15(4):361-387. doi:10.1002/(SICI)1097-0258(19960229)15:4&lt;361::AID-SIM168&gt;3.0.CO;2-4</w:t>
      </w:r>
    </w:p>
    <w:p>
      <w:bookmarkStart w:id="1002" w:name="ref3"/>
      <w:r>
        <w:t>3</w:t>
      </w:r>
      <w:bookmarkEnd w:id="1002"/>
      <w:r>
        <w:rPr>
          <w:b w:val="0"/>
        </w:rPr>
        <w:t>Weinstein JN, Collisson EA, Mills GB, Shaw KR, Ozenberger BA, Ellrott K, et al. The Cancer Genome Atlas Pan-Cancer analysis project. Nat Genet. 2013;45(10):1113-1120. doi:10.1038/ng.2764</w:t>
      </w:r>
    </w:p>
    <w:p>
      <w:bookmarkStart w:id="1003" w:name="ref4"/>
      <w:r>
        <w:t>4</w:t>
      </w:r>
      <w:bookmarkEnd w:id="1003"/>
      <w:r>
        <w:rPr>
          <w:b w:val="0"/>
        </w:rPr>
        <w:t>Barrett T, Wilhite SE, Ledoux P, Evangelista C, Kim IF, Tomashevsky M, et al. NCBI GEO: archive for functional genomics data sets, update. Nucleic Acids Res. 2013;41(D1):D991-D995. doi:10.1093/nar/gks1193</w:t>
      </w:r>
    </w:p>
    <w:p>
      <w:bookmarkStart w:id="1004" w:name="ref5"/>
      <w:r>
        <w:t>5</w:t>
      </w:r>
      <w:bookmarkEnd w:id="1004"/>
      <w:r>
        <w:rPr>
          <w:b w:val="0"/>
        </w:rPr>
        <w:t>Davis S, Meltzer PS. GEOquery: a bridge between the Gene Expression Omnibus (GEO) and BioConductor. Bioinformatics. 2007;23(14):1846-1847. doi:10.1093/bioinformatics/btm254</w:t>
      </w:r>
    </w:p>
    <w:p>
      <w:bookmarkStart w:id="1005" w:name="ref6"/>
      <w:r>
        <w:t>6</w:t>
      </w:r>
      <w:bookmarkEnd w:id="1005"/>
      <w:r>
        <w:rPr>
          <w:b w:val="0"/>
        </w:rPr>
        <w:t>Goldman MJ, Craft B, Hastie M, Repečka K, McDade F, Kamath A, et al. Visualizing and interpreting cancer genomics data via the Xena platform. Nat Biotechnol. 2020;38(6):675-678. doi:10.1038/s41587-020-0546-8</w:t>
      </w:r>
    </w:p>
    <w:p>
      <w:bookmarkStart w:id="1006" w:name="ref7"/>
      <w:r>
        <w:t>7</w:t>
      </w:r>
      <w:bookmarkEnd w:id="1006"/>
      <w:r>
        <w:rPr>
          <w:b w:val="0"/>
        </w:rPr>
        <w:t>Friedman J, Hastie T, Tibshirani R. Regularization paths for generalized linear models via coordinate descent. J Stat Softw. 2010;33(1):1-22. doi:10.18637/jss.v033.i01</w:t>
      </w:r>
    </w:p>
    <w:p>
      <w:bookmarkStart w:id="1007" w:name="ref8"/>
      <w:r>
        <w:t>8</w:t>
      </w:r>
      <w:bookmarkEnd w:id="1007"/>
      <w:r>
        <w:rPr>
          <w:b w:val="0"/>
        </w:rPr>
        <w:t>Simon N, Friedman J, Hastie T, Tibshirani R. Regularization paths for Cox's proportional hazards model via coordinate descent. J Stat Softw. 2011;39(5):1-13. doi:10.18637/jss.v039.i05</w:t>
      </w:r>
    </w:p>
    <w:p>
      <w:bookmarkStart w:id="1008" w:name="ref9"/>
      <w:r>
        <w:t>9</w:t>
      </w:r>
      <w:bookmarkEnd w:id="1008"/>
      <w:r>
        <w:rPr>
          <w:b w:val="0"/>
        </w:rPr>
        <w:t>Katzman JL, Shaham U, Cloninger A, Bates J, Jiang T, Kluger Y. DeepSurv: personalized treatment recommender system using a Cox proportional hazards deep neural network. BMC Med Res Methodol. 2018;18(1):24. doi:10.1186/s12874-018-0482-1</w:t>
      </w:r>
    </w:p>
    <w:p>
      <w:bookmarkStart w:id="1009" w:name="ref10"/>
      <w:r>
        <w:t>10</w:t>
      </w:r>
      <w:bookmarkEnd w:id="1009"/>
      <w:r>
        <w:rPr>
          <w:b w:val="0"/>
        </w:rPr>
        <w:t>Ching T, Zhu X, Garmire LX. Cox-nnet: an artificial neural network method for prognosis prediction of high-throughput omics data. PLoS Comput Biol. 2018;14(4):e1006076. doi:10.1371/journal.pcbi.1006076</w:t>
      </w:r>
    </w:p>
    <w:p>
      <w:bookmarkStart w:id="1010" w:name="ref11"/>
      <w:r>
        <w:t>11</w:t>
      </w:r>
      <w:bookmarkEnd w:id="1010"/>
      <w:r>
        <w:rPr>
          <w:b w:val="0"/>
        </w:rPr>
        <w:t>Lee C, Zame W, Yoon J, van der Schaar M. DeepHit: a deep learning approach to survival analysis with competing risks. Proc AAAI Conf Artif Intell. 2018;32(1):2314-2321. doi:10.1609/aaai.v32i1.11842</w:t>
      </w:r>
    </w:p>
    <w:p>
      <w:bookmarkStart w:id="1011" w:name="ref12"/>
      <w:r>
        <w:t>12</w:t>
      </w:r>
      <w:bookmarkEnd w:id="1011"/>
      <w:r>
        <w:rPr>
          <w:b w:val="0"/>
        </w:rPr>
        <w:t>Ishwaran H, Kogalur UB, Blackstone EH, Lauer MS. Random survival forests. Ann Appl Stat. 2008;2(3):841-860. doi:10.1214/08-AOAS169</w:t>
      </w:r>
    </w:p>
    <w:p>
      <w:bookmarkStart w:id="1012" w:name="ref13"/>
      <w:r>
        <w:t>13</w:t>
      </w:r>
      <w:bookmarkEnd w:id="1012"/>
      <w:r>
        <w:rPr>
          <w:b w:val="0"/>
        </w:rPr>
        <w:t>Eraslan G, Avsec Ž, Gagneur J, Theis FJ. Deep learning: new computational modelling techniques for genomics. Nat Rev Genet. 2019;20(7):389-403. doi:10.1038/s41576-019-0122-6</w:t>
      </w:r>
    </w:p>
    <w:p>
      <w:bookmarkStart w:id="1013" w:name="ref14"/>
      <w:r>
        <w:t>14</w:t>
      </w:r>
      <w:bookmarkEnd w:id="1013"/>
      <w:r>
        <w:rPr>
          <w:b w:val="0"/>
        </w:rPr>
        <w:t>Wainberg M, Merico D, Delong A, Frey BJ. Deep learning in biomedicine. Nat Biotechnol. 2018;36(9):829-838. doi:10.1038/nbt.4233</w:t>
      </w:r>
    </w:p>
    <w:p>
      <w:bookmarkStart w:id="1014" w:name="ref15"/>
      <w:r>
        <w:t>15</w:t>
      </w:r>
      <w:bookmarkEnd w:id="1014"/>
      <w:r>
        <w:rPr>
          <w:b w:val="0"/>
        </w:rPr>
        <w:t>Miotto R, Wang F, Wang S, Jiang X, Dudley JT. Deep learning for healthcare: review, opportunities and challenges. Brief Bioinform. 2018;19(6):1236-1246. doi:10.1093/bib/bbx044</w:t>
      </w:r>
    </w:p>
    <w:p>
      <w:bookmarkStart w:id="1015" w:name="ref16"/>
      <w:r>
        <w:t>16</w:t>
      </w:r>
      <w:bookmarkEnd w:id="1015"/>
      <w:r>
        <w:rPr>
          <w:b w:val="0"/>
        </w:rPr>
        <w:t>Kipf TN, Welling M. Semi-supervised classification with graph convolutional networks. arXiv:1609.02907 [cs.LG]. 2017. doi:10.48550/arXiv.1609.02907</w:t>
      </w:r>
    </w:p>
    <w:p>
      <w:bookmarkStart w:id="1016" w:name="ref17"/>
      <w:r>
        <w:t>17</w:t>
      </w:r>
      <w:bookmarkEnd w:id="1016"/>
      <w:r>
        <w:rPr>
          <w:b w:val="0"/>
        </w:rPr>
        <w:t>Veličković P, Cucurull G, Casanova A, Romero A, Liò P, Bengio Y. Graph attention networks. arXiv:1710.10903 [cs.LG]. 2018. doi:10.48550/arXiv.1710.10903</w:t>
      </w:r>
    </w:p>
    <w:p>
      <w:bookmarkStart w:id="1017" w:name="ref18"/>
      <w:r>
        <w:t>18</w:t>
      </w:r>
      <w:bookmarkEnd w:id="1017"/>
      <w:r>
        <w:rPr>
          <w:b w:val="0"/>
        </w:rPr>
        <w:t>Zitnik M, Agrawal M, Leskovec J. Modeling polypharmacy side effects with graph convolutional networks. Bioinformatics. 2018;34(13):i457-i466. doi:10.1093/bioinformatics/bty294</w:t>
      </w:r>
    </w:p>
    <w:p>
      <w:bookmarkStart w:id="1018" w:name="ref19"/>
      <w:r>
        <w:t>19</w:t>
      </w:r>
      <w:bookmarkEnd w:id="1018"/>
      <w:r>
        <w:rPr>
          <w:b w:val="0"/>
        </w:rPr>
        <w:t>Kanehisa M, Furumichi M, Sato Y, Kawashima M, Ishiguro-Watanabe M. KEGG for taxonomy-based analysis of pathways and genomes. Nucleic Acids Res. 2023;51(D1):D587-D592. doi:10.1093/nar/gkac963</w:t>
      </w:r>
    </w:p>
    <w:p>
      <w:bookmarkStart w:id="1019" w:name="ref20"/>
      <w:r>
        <w:t>20</w:t>
      </w:r>
      <w:bookmarkEnd w:id="1019"/>
      <w:r>
        <w:rPr>
          <w:b w:val="0"/>
        </w:rPr>
        <w:t>Liang J, Zhang Y, Chen H, et al. Risk stratification and pathway analysis based on graph neural network and interpretable algorithm. BMC Bioinformatics. 2022;23(1):411. doi:10.1186/s12859-022-04950-1</w:t>
      </w:r>
    </w:p>
    <w:p>
      <w:bookmarkStart w:id="1020" w:name="ref21"/>
      <w:r>
        <w:t>21</w:t>
      </w:r>
      <w:bookmarkEnd w:id="1020"/>
      <w:r>
        <w:rPr>
          <w:b w:val="0"/>
        </w:rPr>
        <w:t>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bookmarkStart w:id="1021" w:name="ref22"/>
      <w:r>
        <w:t>22</w:t>
      </w:r>
      <w:bookmarkEnd w:id="1021"/>
      <w:r>
        <w:rPr>
          <w:b w:val="0"/>
        </w:rPr>
        <w:t>Yan H, Weng D, Li D, Gu Y, Ma W, Liu Q. Prior knowledge-guided multilevel graph neural network for tumor risk prediction and interpretation via multi-omics data integration. Brief Bioinform. 2024;25(4):bbae184. doi:10.1093/bib/bbae184</w:t>
      </w:r>
    </w:p>
    <w:p>
      <w:bookmarkStart w:id="1022" w:name="ref23"/>
      <w:r>
        <w:t>23</w:t>
      </w:r>
      <w:bookmarkEnd w:id="1022"/>
      <w:r>
        <w:rPr>
          <w:b w:val="0"/>
        </w:rPr>
        <w:t>Wang Z, et al. PathMoG: a pathway-centric modular graph neural network for multi-omics survival prediction. arXiv:2604.24371 [q-bio.QM]. 2026. doi:10.48550/arXiv.2604.24371</w:t>
      </w:r>
    </w:p>
    <w:p>
      <w:bookmarkStart w:id="1023" w:name="ref24"/>
      <w:r>
        <w:t>24</w:t>
      </w:r>
      <w:bookmarkEnd w:id="1023"/>
      <w:r>
        <w:rPr>
          <w:b w:val="0"/>
        </w:rPr>
        <w:t>Ha MJ, Baladandayuthapani V. DINGO: differential network analysis in genomics. Bioinformatics. 2015;31(21):3413-3420. doi:10.1093/bioinformatics/btv406</w:t>
      </w:r>
    </w:p>
    <w:p>
      <w:bookmarkStart w:id="1024" w:name="ref25"/>
      <w:r>
        <w:t>25</w:t>
      </w:r>
      <w:bookmarkEnd w:id="1024"/>
      <w:r>
        <w:rPr>
          <w:b w:val="0"/>
        </w:rPr>
        <w:t>de la Fuente A. From differential expression to differential networking: identification of dysfunctional regulatory networks in diseases. Trends Genet. 2010;26(7):326-333. doi:10.1016/j.tig.2010.05.001</w:t>
      </w:r>
    </w:p>
    <w:p>
      <w:bookmarkStart w:id="1025" w:name="ref26"/>
      <w:r>
        <w:t>26</w:t>
      </w:r>
      <w:bookmarkEnd w:id="1025"/>
      <w:r>
        <w:rPr>
          <w:b w:val="0"/>
        </w:rPr>
        <w:t>Gill R, Datta S, Datta S. A statistical framework for differential network analysis from microarray data. BMC Bioinformatics. 2010;11:95. doi:10.1186/1471-2105-11-95</w:t>
      </w:r>
    </w:p>
    <w:p>
      <w:bookmarkStart w:id="1026" w:name="ref27"/>
      <w:r>
        <w:t>27</w:t>
      </w:r>
      <w:bookmarkEnd w:id="1026"/>
      <w:r>
        <w:rPr>
          <w:b w:val="0"/>
        </w:rPr>
        <w:t>Colaprico A, Silva TC, Olsen C, Garofano L, Cava C, Garolini D, et al. TCGAbiolinks: an R/Bioconductor package for integrative analysis of TCGA data. Nucleic Acids Res. 2016;44(8):e71. doi:10.1093/nar/gkv1507</w:t>
      </w:r>
    </w:p>
    <w:p>
      <w:bookmarkStart w:id="1027" w:name="ref28"/>
      <w:r>
        <w:t>28</w:t>
      </w:r>
      <w:bookmarkEnd w:id="1027"/>
      <w:r>
        <w:rPr>
          <w:b w:val="0"/>
        </w:rPr>
        <w:t>Therneau TM, Grambsch PM. Modeling Survival Data: Extending the Cox Model. New York: Springer; 2000. doi:10.1007/978-1-4757-3294-8</w:t>
      </w:r>
    </w:p>
    <w:p>
      <w:bookmarkStart w:id="1028" w:name="ref29"/>
      <w:r>
        <w:t>29</w:t>
      </w:r>
      <w:bookmarkEnd w:id="1028"/>
      <w:r>
        <w:rPr>
          <w:b w:val="0"/>
        </w:rPr>
        <w:t>Uno H, Cai T, Pencina MJ, D'Agostino RB, Wei LJ. On the C-statistics for evaluating overall adequacy of risk prediction procedures with censored survival data. Stat Med. 2011;30(10):1105-1117. doi:10.1002/sim.4154</w:t>
      </w:r>
    </w:p>
    <w:p>
      <w:bookmarkStart w:id="1029" w:name="ref30"/>
      <w:r>
        <w:t>30</w:t>
      </w:r>
      <w:bookmarkEnd w:id="1029"/>
      <w:r>
        <w:rPr>
          <w:b w:val="0"/>
        </w:rPr>
        <w:t>Heagerty PJ, Zheng Y. Survival model predictive accuracy and ROC curves. Biometrics. 2005;61(1):92-105. doi:10.1111/j.0006-341X.2005.030814.x</w:t>
      </w:r>
    </w:p>
    <w:p>
      <w:bookmarkStart w:id="1030" w:name="ref31"/>
      <w:r>
        <w:t>31</w:t>
      </w:r>
      <w:bookmarkEnd w:id="1030"/>
      <w:r>
        <w:rPr>
          <w:b w:val="0"/>
        </w:rPr>
        <w:t>Altman DG, Vergouwe Y, Royston P, Moons KG. Prognosis and prognostic research: validating a prognostic model. BMJ. 2009;338:b605. doi:10.1136/bmj.b605</w:t>
      </w:r>
    </w:p>
    <w:p>
      <w:bookmarkStart w:id="1031" w:name="ref32"/>
      <w:r>
        <w:t>32</w:t>
      </w:r>
      <w:bookmarkEnd w:id="1031"/>
      <w:r>
        <w:rPr>
          <w:b w:val="0"/>
        </w:rPr>
        <w:t>Vickers AJ, Elkin EB. Decision curve analysis: a novel method for evaluating prediction models. Med Decis Making. 2006;26(6):565-574. doi:10.1177/0272989X06295361</w:t>
      </w:r>
    </w:p>
    <w:p>
      <w:bookmarkStart w:id="1032" w:name="ref33"/>
      <w:r>
        <w:t>33</w:t>
      </w:r>
      <w:bookmarkEnd w:id="1032"/>
      <w:r>
        <w:rPr>
          <w:b w:val="0"/>
        </w:rPr>
        <w:t>Benjamini Y, Hochberg Y. Controlling the false discovery rate: a practical and powerful approach to multiple testing. J R Stat Soc Ser B Stat Methodol. 1995;57(1):289-300. doi:10.1111/j.2517-6161.1995.tb02031.x</w:t>
      </w:r>
    </w:p>
    <w:p>
      <w:bookmarkStart w:id="1033" w:name="ref34"/>
      <w:r>
        <w:t>34</w:t>
      </w:r>
      <w:bookmarkEnd w:id="1033"/>
      <w:r>
        <w:rPr>
          <w:b w:val="0"/>
        </w:rPr>
        <w:t>Paszke A, Gross S, Massa F, Lerer A, Bradbury J, Chanan G, et al. PyTorch: an imperative style, high-performance deep learning library. arXiv:1912.01703 [cs.LG]. 2019. doi:10.48550/arXiv.1912.01703</w:t>
      </w:r>
    </w:p>
    <w:p>
      <w:bookmarkStart w:id="1034" w:name="ref35"/>
      <w:r>
        <w:t>35</w:t>
      </w:r>
      <w:bookmarkEnd w:id="1034"/>
      <w:r>
        <w:rPr>
          <w:b w:val="0"/>
        </w:rPr>
        <w:t>Davidson-Pilon C. lifelines: survival analysis in Python. J Open Source Softw. 2019;4(39):1317. doi:10.21105/joss.01317</w:t>
      </w:r>
    </w:p>
    <w:p>
      <w:bookmarkStart w:id="1035" w:name="ref36"/>
      <w:r>
        <w:t>36</w:t>
      </w:r>
      <w:bookmarkEnd w:id="1035"/>
      <w:r>
        <w:rPr>
          <w:b w:val="0"/>
        </w:rPr>
        <w:t>Pedregosa F, Varoquaux G, Gramfort A, Michel V, Thirion B, Grisel O, et al. Scikit-learn: machine learning in Python. arXiv:1201.0490 [cs.LG]. 2011. doi:10.48550/arXiv.1201.0490</w:t>
      </w:r>
    </w:p>
    <w:p>
      <w:bookmarkStart w:id="1036" w:name="ref37"/>
      <w:r>
        <w:t>37</w:t>
      </w:r>
      <w:bookmarkEnd w:id="1036"/>
      <w:r>
        <w:rPr>
          <w:b w:val="0"/>
        </w:rPr>
        <w:t>Curtis C, Shah SP, Chin SF, Turashvili G, Rueda OM, Dunning MJ, et al. The genomic and transcriptomic architecture of 2,000 breast tumours reveals novel subgroups. Nature. 2012;486(7403):346-352. doi:10.1038/nature10983</w:t>
      </w:r>
    </w:p>
    <w:p>
      <w:bookmarkStart w:id="1037" w:name="ref38"/>
      <w:r>
        <w:t>38</w:t>
      </w:r>
      <w:bookmarkEnd w:id="1037"/>
      <w:r>
        <w:rPr>
          <w:b w:val="0"/>
        </w:rPr>
        <w:t>Crowson CS, Atkinson EJ, Therneau TM. Assessing calibration of prognostic risk scores. Stat Methods Med Res. 2016;25(4):1692-1706. doi:10.1177/0962280213497434</w:t>
      </w:r>
    </w:p>
    <w:p>
      <w:bookmarkStart w:id="1038" w:name="ref39"/>
      <w:r>
        <w:t>39</w:t>
      </w:r>
      <w:bookmarkEnd w:id="1038"/>
      <w:r>
        <w:rPr>
          <w:b w:val="0"/>
        </w:rPr>
        <w:t>Chalmers ZR, Connelly CF, Fabrizio D, Gay L, Ali SM, Ennis R, et al. Analysis of 100,000 human cancer genomes reveals the landscape of tumor mutational burden. Genome Med. 2017;9:34. doi:10.1186/s13073-017-0424-2</w:t>
      </w:r>
    </w:p>
    <w:p>
      <w:bookmarkStart w:id="1039" w:name="ref40"/>
      <w:r>
        <w:t>40</w:t>
      </w:r>
      <w:bookmarkEnd w:id="1039"/>
      <w:r>
        <w:rPr>
          <w:b w:val="0"/>
        </w:rPr>
        <w:t>Mariathasan S, Turley SJ, Nickles D, et al. TGFβ attenuates tumour response to PD-L1 blockade by contributing to exclusion of T cells. Nature. 2018;554(7693):544-548. doi:10.1038/nature25501</w:t>
      </w:r>
    </w:p>
    <w:p>
      <w:bookmarkStart w:id="1040" w:name="ref41"/>
      <w:r>
        <w:t>41</w:t>
      </w:r>
      <w:bookmarkEnd w:id="1040"/>
      <w:r>
        <w:rPr>
          <w:b w:val="0"/>
        </w:rPr>
        <w:t>Yoshihara K, Shahmoradgoli M, Martínez E, Vegesna R, Kim H, Torres-Garcia W, et al. Inferring tumour purity and stromal and immune cell admixture from expression data. Nat Commun. 2013;4:2612. doi:10.1038/ncomms3612</w:t>
      </w:r>
    </w:p>
    <w:p>
      <w:bookmarkStart w:id="1041" w:name="ref42"/>
      <w:r>
        <w:t>42</w:t>
      </w:r>
      <w:bookmarkEnd w:id="1041"/>
      <w:r>
        <w:rPr>
          <w:b w:val="0"/>
        </w:rPr>
        <w:t>Becht E, Giraldo NA, Lacroix L, Buttard B, Elarouci N, Petitprez F, et al. Estimating the population abundance of tissue-infiltrating immune and stromal cell populations using gene expression. Genome Biol. 2016;17:218. doi:10.1186/s13059-016-1070-5</w:t>
      </w:r>
    </w:p>
    <w:p>
      <w:bookmarkStart w:id="1042" w:name="ref43"/>
      <w:r>
        <w:t>43</w:t>
      </w:r>
      <w:bookmarkEnd w:id="1042"/>
      <w:r>
        <w:rPr>
          <w:b w:val="0"/>
        </w:rPr>
        <w:t>Hänzelmann S, Castelo R, Guinney J. GSVA: gene set variation analysis for microarray and RNA-seq data. BMC Bioinformatics. 2013;14:7. doi:10.1186/1471-2105-14-7</w:t>
      </w:r>
    </w:p>
    <w:p>
      <w:bookmarkStart w:id="1043" w:name="ref44"/>
      <w:r>
        <w:t>44</w:t>
      </w:r>
      <w:bookmarkEnd w:id="1043"/>
      <w:r>
        <w:rPr>
          <w:b w:val="0"/>
        </w:rPr>
        <w:t>Liberzon A, Birger C, Thorvaldsdóttir H, Ghandi M, Mesirov JP, Tamayo P. The Molecular Signatures Database Hallmark gene set collection. Cell Syst. 2015;1(6):417-425. doi:10.1016/j.cels.2015.12.004</w:t>
      </w:r>
    </w:p>
    <w:p>
      <w:bookmarkStart w:id="1044" w:name="ref45"/>
      <w:r>
        <w:t>45</w:t>
      </w:r>
      <w:bookmarkEnd w:id="1044"/>
      <w:r>
        <w:rPr>
          <w:b w:val="0"/>
        </w:rPr>
        <w:t>Maeser D, Gruener RF, Huang RS. oncoPredict: an R package for predicting in vivo or cancer patient drug response and biomarkers from cell line screening data. Brief Bioinform. 2021;22(6):bbab260. doi:10.1093/bib/bbab260</w:t>
      </w:r>
    </w:p>
    <w:p>
      <w:bookmarkStart w:id="1045" w:name="ref46"/>
      <w:r>
        <w:t>46</w:t>
      </w:r>
      <w:bookmarkEnd w:id="1045"/>
      <w:r>
        <w:rPr>
          <w:b w:val="0"/>
        </w:rPr>
        <w:t>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