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pPr>
      <w:r>
        <w:rPr>
          <w:b/>
        </w:rP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spacing w:before="120" w:after="60"/>
      </w:pPr>
      <w:r>
        <w:rPr>
          <w:b/>
        </w:rPr>
        <w:t>Title</w:t>
      </w:r>
    </w:p>
    <w:p>
      <w:r>
        <w:rPr>
          <w:b/>
        </w:rPr>
        <w:t>Path-AGNN-Cox: a reproducible statistical framework for testing patient-specific pathway rewiring in cancer survival analysis</w:t>
      </w:r>
    </w:p>
    <w:p>
      <w:pPr>
        <w:spacing w:before="120" w:after="60"/>
      </w:pPr>
      <w:r>
        <w:rPr>
          <w:b/>
        </w:rPr>
        <w:t>Authors</w:t>
      </w:r>
    </w:p>
    <w:p>
      <w:r>
        <w:rPr>
          <w:b w:val="0"/>
        </w:rPr>
        <w:t>Zhipeng Wang[1,*], Luning Wang[2,*], Changsong Wang[1,†], Pengli Zhai</w:t>
      </w:r>
      <w:r>
        <w:t>[</w:t>
      </w:r>
      <w:r>
        <w:fldChar w:fldCharType="begin"/>
      </w:r>
      <w:r>
        <w:instrText xml:space="preserve"> REF ref3 \h </w:instrText>
      </w:r>
      <w:r>
        <w:fldChar w:fldCharType="separate"/>
      </w:r>
      <w:r>
        <w:t>3</w:t>
      </w:r>
      <w:r>
        <w:fldChar w:fldCharType="end"/>
      </w:r>
      <w:r>
        <w:t>]</w:t>
      </w:r>
      <w:r>
        <w:rPr>
          <w:b w:val="0"/>
        </w:rPr>
        <w:t>, Zejun Liu</w:t>
      </w:r>
      <w:r>
        <w:t>[</w:t>
      </w:r>
      <w:r>
        <w:fldChar w:fldCharType="begin"/>
      </w:r>
      <w:r>
        <w:instrText xml:space="preserve"> REF ref1 \h </w:instrText>
      </w:r>
      <w:r>
        <w:fldChar w:fldCharType="separate"/>
      </w:r>
      <w:r>
        <w:t>1</w:t>
      </w:r>
      <w:r>
        <w:fldChar w:fldCharType="end"/>
      </w:r>
      <w:r>
        <w:t>]</w:t>
      </w:r>
      <w:r>
        <w:rPr>
          <w:b w:val="0"/>
        </w:rPr>
        <w:t>, Hui Feng</w:t>
      </w:r>
      <w:r>
        <w:t>[</w:t>
      </w:r>
      <w:r>
        <w:fldChar w:fldCharType="begin"/>
      </w:r>
      <w:r>
        <w:instrText xml:space="preserve"> REF ref1 \h </w:instrText>
      </w:r>
      <w:r>
        <w:fldChar w:fldCharType="separate"/>
      </w:r>
      <w:r>
        <w:t>1</w:t>
      </w:r>
      <w:r>
        <w:fldChar w:fldCharType="end"/>
      </w:r>
      <w:r>
        <w:t>]</w:t>
      </w:r>
      <w:r>
        <w:rPr>
          <w:b w:val="0"/>
        </w:rPr>
        <w:t>, Hongmei Liu</w:t>
      </w:r>
      <w:r>
        <w:t>[</w:t>
      </w:r>
      <w:r>
        <w:fldChar w:fldCharType="begin"/>
      </w:r>
      <w:r>
        <w:instrText xml:space="preserve"> REF ref1 \h </w:instrText>
      </w:r>
      <w:r>
        <w:fldChar w:fldCharType="separate"/>
      </w:r>
      <w:r>
        <w:t>1</w:t>
      </w:r>
      <w:r>
        <w:fldChar w:fldCharType="end"/>
      </w:r>
      <w:r>
        <w:t>]</w:t>
      </w:r>
      <w:r>
        <w:rPr>
          <w:b w:val="0"/>
        </w:rPr>
        <w:t>, Qian Hou</w:t>
      </w:r>
      <w:r>
        <w:t>[</w:t>
      </w:r>
      <w:r>
        <w:fldChar w:fldCharType="begin"/>
      </w:r>
      <w:r>
        <w:instrText xml:space="preserve"> REF ref1 \h </w:instrText>
      </w:r>
      <w:r>
        <w:fldChar w:fldCharType="separate"/>
      </w:r>
      <w:r>
        <w:t>1</w:t>
      </w:r>
      <w:r>
        <w:fldChar w:fldCharType="end"/>
      </w:r>
      <w:r>
        <w:t>]</w:t>
      </w:r>
      <w:r>
        <w:rPr>
          <w:b w:val="0"/>
        </w:rPr>
        <w:t>, Ming Guo</w:t>
      </w:r>
      <w:r>
        <w:t>[</w:t>
      </w:r>
      <w:r>
        <w:fldChar w:fldCharType="begin"/>
      </w:r>
      <w:r>
        <w:instrText xml:space="preserve"> REF ref1 \h </w:instrText>
      </w:r>
      <w:r>
        <w:fldChar w:fldCharType="separate"/>
      </w:r>
      <w:r>
        <w:t>1</w:t>
      </w:r>
      <w:r>
        <w:fldChar w:fldCharType="end"/>
      </w:r>
      <w:r>
        <w:t>]</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spacing w:before="120" w:after="60"/>
      </w:pPr>
      <w:r>
        <w:rPr>
          <w:b/>
        </w:rPr>
        <w:t>Abstract</w:t>
      </w:r>
    </w:p>
    <w:p>
      <w:r>
        <w:rPr>
          <w:b/>
        </w:rPr>
        <w:t>Background:</w:t>
      </w:r>
      <w:r>
        <w:rPr>
          <w:b w:val="0"/>
        </w:rPr>
        <w:t xml:space="preserve"> Cancer prognosis models trained on transcriptomic data face two interconnected problems. Unconstrained deep survival models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within-pathway attention weights are modulated by a learnable malignancy gate; and a Cox partial-likelihood objective with dual regularization is optimized on prognostic risk. The model was benchmarked against seven survival baselines across 11 TCGA cancer types and validated on 25 independent GEO cohorts.</w:t>
      </w:r>
    </w:p>
    <w:p>
      <w:r>
        <w:rPr>
          <w:b/>
        </w:rPr>
        <w:t>Results:</w:t>
      </w:r>
      <w:r>
        <w:rPr>
          <w:b w:val="0"/>
        </w:rPr>
        <w:t xml:space="preserve"> On internal cross-validation, Path-AGNN-Cox reached a mean C-index of 0.56 (SD 0.04), significantly below penalized Cox and the deep neural survival baselines; on 25 external GEO cohorts its mean C-index (0.51) was comparable to the deep baselines, though close to chance; no discrimination gain is claimed. Its distinguishing output is the interpretable rewiring: between-stratum pathway weights exceeded label-permutation nulls in all three cohorts, correlated with clinical indicators of malignancy, and were absent by construction in static pathway models. In LUAD the risk score itself was near chance, so the LUAD between-stratum differences are interpreted as attention variation associated with the model's own stratification rather than with survival. A standard GAT control detected fewer significant pathways, and matched random gene-set controls indicated cohort-dependent selectivity with no signal beyond the matched null in LUAD.</w:t>
      </w:r>
    </w:p>
    <w:p>
      <w:r>
        <w:rPr>
          <w:b/>
        </w:rPr>
        <w:t>Conclusion:</w:t>
      </w:r>
      <w:r>
        <w:rPr>
          <w:b w:val="0"/>
        </w:rPr>
        <w:t xml:space="preserve"> Path-AGNN-Cox provides a reproducible framework in which patient-specific pathway graphs become objects of formal statistical testing.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spacing w:before="120" w:after="60"/>
      </w:pPr>
      <w:r>
        <w:rPr>
          <w:b/>
        </w:rPr>
        <w:t>1. Introduction</w:t>
      </w:r>
    </w:p>
    <w:p>
      <w:r>
        <w:rPr>
          <w:b w:val="0"/>
        </w:rPr>
        <w:t xml:space="preserve">Precision oncology increasingly depends on molecular risk stratification to guide adjuvant therapy, surveillance intensity, and clinical-trial design </w:t>
      </w:r>
      <w:r>
        <w:t>[</w:t>
      </w:r>
      <w:r>
        <w:fldChar w:fldCharType="begin"/>
      </w:r>
      <w:r>
        <w:instrText xml:space="preserve"> REF ref1 \h </w:instrText>
      </w:r>
      <w:r>
        <w:fldChar w:fldCharType="separate"/>
      </w:r>
      <w:r>
        <w:t>1</w:t>
      </w:r>
      <w:r>
        <w:fldChar w:fldCharType="end"/>
      </w:r>
      <w:r>
        <w:t>,</w:t>
      </w:r>
      <w:r>
        <w:fldChar w:fldCharType="begin"/>
      </w:r>
      <w:r>
        <w:instrText xml:space="preserve"> REF ref2 \h </w:instrText>
      </w:r>
      <w:r>
        <w:fldChar w:fldCharType="separate"/>
      </w:r>
      <w:r>
        <w:t>2</w:t>
      </w:r>
      <w:r>
        <w:fldChar w:fldCharType="end"/>
      </w:r>
      <w:r>
        <w:t>]</w:t>
      </w:r>
      <w:r>
        <w:rPr>
          <w:b w:val="0"/>
        </w:rPr>
        <w:t xml:space="preserve">. Large public transcriptomic compendia, most notably The Cancer Genome Atlas </w:t>
      </w:r>
      <w:r>
        <w:t>[</w:t>
      </w:r>
      <w:r>
        <w:fldChar w:fldCharType="begin"/>
      </w:r>
      <w:r>
        <w:instrText xml:space="preserve"> REF ref3 \h </w:instrText>
      </w:r>
      <w:r>
        <w:fldChar w:fldCharType="separate"/>
      </w:r>
      <w:r>
        <w:t>3</w:t>
      </w:r>
      <w:r>
        <w:fldChar w:fldCharType="end"/>
      </w:r>
      <w:r>
        <w:t>]</w:t>
      </w:r>
      <w:r>
        <w:rPr>
          <w:b w:val="0"/>
        </w:rPr>
        <w:t xml:space="preserve"> and the Gene Expression Omnibus </w:t>
      </w:r>
      <w:r>
        <w:t>[</w:t>
      </w:r>
      <w:r>
        <w:fldChar w:fldCharType="begin"/>
      </w:r>
      <w:r>
        <w:instrText xml:space="preserve"> REF ref4 \h </w:instrText>
      </w:r>
      <w:r>
        <w:fldChar w:fldCharType="separate"/>
      </w:r>
      <w:r>
        <w:t>4</w:t>
      </w:r>
      <w:r>
        <w:fldChar w:fldCharType="end"/>
      </w:r>
      <w:r>
        <w:t>,</w:t>
      </w:r>
      <w:r>
        <w:fldChar w:fldCharType="begin"/>
      </w:r>
      <w:r>
        <w:instrText xml:space="preserve"> REF ref5 \h </w:instrText>
      </w:r>
      <w:r>
        <w:fldChar w:fldCharType="separate"/>
      </w:r>
      <w:r>
        <w:t>5</w:t>
      </w:r>
      <w:r>
        <w:fldChar w:fldCharType="end"/>
      </w:r>
      <w:r>
        <w:t>]</w:t>
      </w:r>
      <w:r>
        <w:rPr>
          <w:b w:val="0"/>
        </w:rPr>
        <w:t xml:space="preserve">, have made it possible to train and validate prognostic models across many cancer types </w:t>
      </w:r>
      <w:r>
        <w:t>[</w:t>
      </w:r>
      <w:r>
        <w:fldChar w:fldCharType="begin"/>
      </w:r>
      <w:r>
        <w:instrText xml:space="preserve"> REF ref6 \h </w:instrText>
      </w:r>
      <w:r>
        <w:fldChar w:fldCharType="separate"/>
      </w:r>
      <w:r>
        <w:t>6</w:t>
      </w:r>
      <w:r>
        <w:fldChar w:fldCharType="end"/>
      </w:r>
      <w:r>
        <w:t>]</w:t>
      </w:r>
      <w:r>
        <w:rPr>
          <w:b w:val="0"/>
        </w:rPr>
        <w:t>. Because survival endpoints are censored and expression data are high-dimensional and biologically heterogeneous, this task remains an active frontier of translational bioinformatics.</w:t>
      </w:r>
    </w:p>
    <w:p>
      <w:r>
        <w:rPr>
          <w:b w:val="0"/>
        </w:rPr>
        <w:t xml:space="preserve">Classical statistical models, such as Cox proportional-hazards regression </w:t>
      </w:r>
      <w:r>
        <w:t>[</w:t>
      </w:r>
      <w:r>
        <w:fldChar w:fldCharType="begin"/>
      </w:r>
      <w:r>
        <w:instrText xml:space="preserve"> REF ref1 \h </w:instrText>
      </w:r>
      <w:r>
        <w:fldChar w:fldCharType="separate"/>
      </w:r>
      <w:r>
        <w:t>1</w:t>
      </w:r>
      <w:r>
        <w:fldChar w:fldCharType="end"/>
      </w:r>
      <w:r>
        <w:t>]</w:t>
      </w:r>
      <w:r>
        <w:rPr>
          <w:b w:val="0"/>
        </w:rPr>
        <w:t xml:space="preserve"> with Lasso, Ridge, or Elastic-Net penalties </w:t>
      </w:r>
      <w:r>
        <w:t>[</w:t>
      </w:r>
      <w:r>
        <w:fldChar w:fldCharType="begin"/>
      </w:r>
      <w:r>
        <w:instrText xml:space="preserve"> REF ref7 \h </w:instrText>
      </w:r>
      <w:r>
        <w:fldChar w:fldCharType="separate"/>
      </w:r>
      <w:r>
        <w:t>7</w:t>
      </w:r>
      <w:r>
        <w:fldChar w:fldCharType="end"/>
      </w:r>
      <w:r>
        <w:t>,</w:t>
      </w:r>
      <w:r>
        <w:fldChar w:fldCharType="begin"/>
      </w:r>
      <w:r>
        <w:instrText xml:space="preserve"> REF ref8 \h </w:instrText>
      </w:r>
      <w:r>
        <w:fldChar w:fldCharType="separate"/>
      </w:r>
      <w:r>
        <w:t>8</w:t>
      </w:r>
      <w:r>
        <w:fldChar w:fldCharType="end"/>
      </w:r>
      <w:r>
        <w:t>]</w:t>
      </w:r>
      <w:r>
        <w:rPr>
          <w:b w:val="0"/>
        </w:rPr>
        <w:t xml:space="preserve">, treat genes as independent covariates and discard the regulatory interaction structure that shapes tumor progression. Deep survival models, including DeepSurv </w:t>
      </w:r>
      <w:r>
        <w:t>[</w:t>
      </w:r>
      <w:r>
        <w:fldChar w:fldCharType="begin"/>
      </w:r>
      <w:r>
        <w:instrText xml:space="preserve"> REF ref9 \h </w:instrText>
      </w:r>
      <w:r>
        <w:fldChar w:fldCharType="separate"/>
      </w:r>
      <w:r>
        <w:t>9</w:t>
      </w:r>
      <w:r>
        <w:fldChar w:fldCharType="end"/>
      </w:r>
      <w:r>
        <w:t>]</w:t>
      </w:r>
      <w:r>
        <w:rPr>
          <w:b w:val="0"/>
        </w:rPr>
        <w:t xml:space="preserve">, Cox-nnet </w:t>
      </w:r>
      <w:r>
        <w:t>[</w:t>
      </w:r>
      <w:r>
        <w:fldChar w:fldCharType="begin"/>
      </w:r>
      <w:r>
        <w:instrText xml:space="preserve"> REF ref10 \h </w:instrText>
      </w:r>
      <w:r>
        <w:fldChar w:fldCharType="separate"/>
      </w:r>
      <w:r>
        <w:t>10</w:t>
      </w:r>
      <w:r>
        <w:fldChar w:fldCharType="end"/>
      </w:r>
      <w:r>
        <w:t>]</w:t>
      </w:r>
      <w:r>
        <w:rPr>
          <w:b w:val="0"/>
        </w:rPr>
        <w:t xml:space="preserve">, DeepHit </w:t>
      </w:r>
      <w:r>
        <w:t>[</w:t>
      </w:r>
      <w:r>
        <w:fldChar w:fldCharType="begin"/>
      </w:r>
      <w:r>
        <w:instrText xml:space="preserve"> REF ref11 \h </w:instrText>
      </w:r>
      <w:r>
        <w:fldChar w:fldCharType="separate"/>
      </w:r>
      <w:r>
        <w:t>11</w:t>
      </w:r>
      <w:r>
        <w:fldChar w:fldCharType="end"/>
      </w:r>
      <w:r>
        <w:t>]</w:t>
      </w:r>
      <w:r>
        <w:rPr>
          <w:b w:val="0"/>
        </w:rPr>
        <w:t xml:space="preserve">, and random survival forests </w:t>
      </w:r>
      <w:r>
        <w:t>[</w:t>
      </w:r>
      <w:r>
        <w:fldChar w:fldCharType="begin"/>
      </w:r>
      <w:r>
        <w:instrText xml:space="preserve"> REF ref12 \h </w:instrText>
      </w:r>
      <w:r>
        <w:fldChar w:fldCharType="separate"/>
      </w:r>
      <w:r>
        <w:t>12</w:t>
      </w:r>
      <w:r>
        <w:fldChar w:fldCharType="end"/>
      </w:r>
      <w:r>
        <w:t>]</w:t>
      </w:r>
      <w:r>
        <w:rPr>
          <w:b w:val="0"/>
        </w:rPr>
        <w:t xml:space="preserve">,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w:t>
      </w:r>
      <w:r>
        <w:t>[</w:t>
      </w:r>
      <w:r>
        <w:fldChar w:fldCharType="begin"/>
      </w:r>
      <w:r>
        <w:instrText xml:space="preserve"> REF ref13 \h </w:instrText>
      </w:r>
      <w:r>
        <w:fldChar w:fldCharType="separate"/>
      </w:r>
      <w:r>
        <w:t>13</w:t>
      </w:r>
      <w:r>
        <w:fldChar w:fldCharType="end"/>
      </w:r>
      <w:r>
        <w:t>,</w:t>
      </w:r>
      <w:r>
        <w:fldChar w:fldCharType="begin"/>
      </w:r>
      <w:r>
        <w:instrText xml:space="preserve"> REF ref14 \h </w:instrText>
      </w:r>
      <w:r>
        <w:fldChar w:fldCharType="separate"/>
      </w:r>
      <w:r>
        <w:t>14</w:t>
      </w:r>
      <w:r>
        <w:fldChar w:fldCharType="end"/>
      </w:r>
      <w:r>
        <w:t>,</w:t>
      </w:r>
      <w:r>
        <w:fldChar w:fldCharType="begin"/>
      </w:r>
      <w:r>
        <w:instrText xml:space="preserve"> REF ref15 \h </w:instrText>
      </w:r>
      <w:r>
        <w:fldChar w:fldCharType="separate"/>
      </w:r>
      <w:r>
        <w:t>15</w:t>
      </w:r>
      <w:r>
        <w:fldChar w:fldCharType="end"/>
      </w:r>
      <w:r>
        <w:t>]</w:t>
      </w:r>
      <w:r>
        <w:rPr>
          <w:b w:val="0"/>
        </w:rPr>
        <w:t>.</w:t>
      </w:r>
    </w:p>
    <w:p>
      <w:r>
        <w:rPr>
          <w:b w:val="0"/>
        </w:rPr>
        <w:t xml:space="preserve">Graph neural networks provide a natural inductive bias for molecular data </w:t>
      </w:r>
      <w:r>
        <w:t>[</w:t>
      </w:r>
      <w:r>
        <w:fldChar w:fldCharType="begin"/>
      </w:r>
      <w:r>
        <w:instrText xml:space="preserve"> REF ref16 \h </w:instrText>
      </w:r>
      <w:r>
        <w:fldChar w:fldCharType="separate"/>
      </w:r>
      <w:r>
        <w:t>16</w:t>
      </w:r>
      <w:r>
        <w:fldChar w:fldCharType="end"/>
      </w:r>
      <w:r>
        <w:t>,</w:t>
      </w:r>
      <w:r>
        <w:fldChar w:fldCharType="begin"/>
      </w:r>
      <w:r>
        <w:instrText xml:space="preserve"> REF ref17 \h </w:instrText>
      </w:r>
      <w:r>
        <w:fldChar w:fldCharType="separate"/>
      </w:r>
      <w:r>
        <w:t>17</w:t>
      </w:r>
      <w:r>
        <w:fldChar w:fldCharType="end"/>
      </w:r>
      <w:r>
        <w:t>,</w:t>
      </w:r>
      <w:r>
        <w:fldChar w:fldCharType="begin"/>
      </w:r>
      <w:r>
        <w:instrText xml:space="preserve"> REF ref18 \h </w:instrText>
      </w:r>
      <w:r>
        <w:fldChar w:fldCharType="separate"/>
      </w:r>
      <w:r>
        <w:t>18</w:t>
      </w:r>
      <w:r>
        <w:fldChar w:fldCharType="end"/>
      </w:r>
      <w:r>
        <w:t>]</w:t>
      </w:r>
      <w:r>
        <w:rPr>
          <w:b w:val="0"/>
        </w:rPr>
        <w:t xml:space="preserve">. A growing family of pathway-constrained graph neural networks restricts message passing to gene sets defined by KEGG pathways </w:t>
      </w:r>
      <w:r>
        <w:t>[</w:t>
      </w:r>
      <w:r>
        <w:fldChar w:fldCharType="begin"/>
      </w:r>
      <w:r>
        <w:instrText xml:space="preserve"> REF ref19 \h </w:instrText>
      </w:r>
      <w:r>
        <w:fldChar w:fldCharType="separate"/>
      </w:r>
      <w:r>
        <w:t>19</w:t>
      </w:r>
      <w:r>
        <w:fldChar w:fldCharType="end"/>
      </w:r>
      <w:r>
        <w:t>]</w:t>
      </w:r>
      <w:r>
        <w:rPr>
          <w:b w:val="0"/>
        </w:rPr>
        <w:t xml:space="preserve">. PathGNN reported that pathway-topology-constrained propagation improves prognosis across several solid tumors </w:t>
      </w:r>
      <w:r>
        <w:t>[</w:t>
      </w:r>
      <w:r>
        <w:fldChar w:fldCharType="begin"/>
      </w:r>
      <w:r>
        <w:instrText xml:space="preserve"> REF ref20 \h </w:instrText>
      </w:r>
      <w:r>
        <w:fldChar w:fldCharType="separate"/>
      </w:r>
      <w:r>
        <w:t>20</w:t>
      </w:r>
      <w:r>
        <w:fldChar w:fldCharType="end"/>
      </w:r>
      <w:r>
        <w:t>]</w:t>
      </w:r>
      <w:r>
        <w:rPr>
          <w:b w:val="0"/>
        </w:rPr>
        <w:t xml:space="preserve">. Cox-Path partitioned genes into KEGG pathway subgraphs and coupled them to a Cox survival head </w:t>
      </w:r>
      <w:r>
        <w:t>[</w:t>
      </w:r>
      <w:r>
        <w:fldChar w:fldCharType="begin"/>
      </w:r>
      <w:r>
        <w:instrText xml:space="preserve"> REF ref21 \h </w:instrText>
      </w:r>
      <w:r>
        <w:fldChar w:fldCharType="separate"/>
      </w:r>
      <w:r>
        <w:t>21</w:t>
      </w:r>
      <w:r>
        <w:fldChar w:fldCharType="end"/>
      </w:r>
      <w:r>
        <w:t>]</w:t>
      </w:r>
      <w:r>
        <w:rPr>
          <w:b w:val="0"/>
        </w:rPr>
        <w:t xml:space="preserve">. A prior-knowledge-guided multilevel GNN introduced gene-to-pathway hierarchical propagation for survival prediction </w:t>
      </w:r>
      <w:r>
        <w:t>[</w:t>
      </w:r>
      <w:r>
        <w:fldChar w:fldCharType="begin"/>
      </w:r>
      <w:r>
        <w:instrText xml:space="preserve"> REF ref22 \h </w:instrText>
      </w:r>
      <w:r>
        <w:fldChar w:fldCharType="separate"/>
      </w:r>
      <w:r>
        <w:t>22</w:t>
      </w:r>
      <w:r>
        <w:fldChar w:fldCharType="end"/>
      </w:r>
      <w:r>
        <w:t>]</w:t>
      </w:r>
      <w:r>
        <w:rPr>
          <w:b w:val="0"/>
        </w:rPr>
        <w:t xml:space="preserve">. PathMoG most recently extended this concept to multi-omics with 354 KEGG-informed pathway modules and dual-level attention, reporting strong performance across 10 TCGA cohorts </w:t>
      </w:r>
      <w:r>
        <w:t>[</w:t>
      </w:r>
      <w:r>
        <w:fldChar w:fldCharType="begin"/>
      </w:r>
      <w:r>
        <w:instrText xml:space="preserve"> REF ref23 \h </w:instrText>
      </w:r>
      <w:r>
        <w:fldChar w:fldCharType="separate"/>
      </w:r>
      <w:r>
        <w:t>23</w:t>
      </w:r>
      <w:r>
        <w:fldChar w:fldCharType="end"/>
      </w:r>
      <w:r>
        <w:t>]</w:t>
      </w:r>
      <w:r>
        <w:rPr>
          <w:b w:val="0"/>
        </w:rPr>
        <w:t>. These studies collectively suggest that biological priors can reduce overfitting and improve external validity relative to unconstrained deep models.</w:t>
      </w:r>
    </w:p>
    <w:p>
      <w:r>
        <w:rPr>
          <w:b w:val="0"/>
        </w:rPr>
        <w:t xml:space="preserve">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w:t>
      </w:r>
      <w:r>
        <w:t>[</w:t>
      </w:r>
      <w:r>
        <w:fldChar w:fldCharType="begin"/>
      </w:r>
      <w:r>
        <w:instrText xml:space="preserve"> REF ref20 \h </w:instrText>
      </w:r>
      <w:r>
        <w:fldChar w:fldCharType="separate"/>
      </w:r>
      <w:r>
        <w:t>20</w:t>
      </w:r>
      <w:r>
        <w:fldChar w:fldCharType="end"/>
      </w:r>
      <w:r>
        <w:t>,</w:t>
      </w:r>
      <w:r>
        <w:fldChar w:fldCharType="begin"/>
      </w:r>
      <w:r>
        <w:instrText xml:space="preserve"> REF ref21 \h </w:instrText>
      </w:r>
      <w:r>
        <w:fldChar w:fldCharType="separate"/>
      </w:r>
      <w:r>
        <w:t>21</w:t>
      </w:r>
      <w:r>
        <w:fldChar w:fldCharType="end"/>
      </w:r>
      <w:r>
        <w:t>,</w:t>
      </w:r>
      <w:r>
        <w:fldChar w:fldCharType="begin"/>
      </w:r>
      <w:r>
        <w:instrText xml:space="preserve"> REF ref22 \h </w:instrText>
      </w:r>
      <w:r>
        <w:fldChar w:fldCharType="separate"/>
      </w:r>
      <w:r>
        <w:t>22</w:t>
      </w:r>
      <w:r>
        <w:fldChar w:fldCharType="end"/>
      </w:r>
      <w:r>
        <w:t>,</w:t>
      </w:r>
      <w:r>
        <w:fldChar w:fldCharType="begin"/>
      </w:r>
      <w:r>
        <w:instrText xml:space="preserve"> REF ref23 \h </w:instrText>
      </w:r>
      <w:r>
        <w:fldChar w:fldCharType="separate"/>
      </w:r>
      <w:r>
        <w:t>23</w:t>
      </w:r>
      <w:r>
        <w:fldChar w:fldCharType="end"/>
      </w:r>
      <w:r>
        <w:t>]</w:t>
      </w:r>
      <w:r>
        <w:rPr>
          <w:b w:val="0"/>
        </w:rPr>
        <w:t xml:space="preserve">. This assumption is difficult to reconcile with the observation that tumor regulatory networks are extensively rewired in a malignancy-dependent manner </w:t>
      </w:r>
      <w:r>
        <w:t>[</w:t>
      </w:r>
      <w:r>
        <w:fldChar w:fldCharType="begin"/>
      </w:r>
      <w:r>
        <w:instrText xml:space="preserve"> REF ref24 \h </w:instrText>
      </w:r>
      <w:r>
        <w:fldChar w:fldCharType="separate"/>
      </w:r>
      <w:r>
        <w:t>24</w:t>
      </w:r>
      <w:r>
        <w:fldChar w:fldCharType="end"/>
      </w:r>
      <w:r>
        <w:t>,</w:t>
      </w:r>
      <w:r>
        <w:fldChar w:fldCharType="begin"/>
      </w:r>
      <w:r>
        <w:instrText xml:space="preserve"> REF ref25 \h </w:instrText>
      </w:r>
      <w:r>
        <w:fldChar w:fldCharType="separate"/>
      </w:r>
      <w:r>
        <w:t>25</w:t>
      </w:r>
      <w:r>
        <w:fldChar w:fldCharType="end"/>
      </w:r>
      <w:r>
        <w:t>,</w:t>
      </w:r>
      <w:r>
        <w:fldChar w:fldCharType="begin"/>
      </w:r>
      <w:r>
        <w:instrText xml:space="preserve"> REF ref26 \h </w:instrText>
      </w:r>
      <w:r>
        <w:fldChar w:fldCharType="separate"/>
      </w:r>
      <w:r>
        <w:t>26</w:t>
      </w:r>
      <w:r>
        <w:fldChar w:fldCharType="end"/>
      </w:r>
      <w:r>
        <w:t>]</w:t>
      </w:r>
      <w:r>
        <w:rPr>
          <w:b w:val="0"/>
        </w:rPr>
        <w:t xml:space="preserve">. Differential network analyses have, moreover, shown that interaction strengths vary across disease states and individuals rather than forming a single static structure </w:t>
      </w:r>
      <w:r>
        <w:t>[</w:t>
      </w:r>
      <w:r>
        <w:fldChar w:fldCharType="begin"/>
      </w:r>
      <w:r>
        <w:instrText xml:space="preserve"> REF ref24 \h </w:instrText>
      </w:r>
      <w:r>
        <w:fldChar w:fldCharType="separate"/>
      </w:r>
      <w:r>
        <w:t>24</w:t>
      </w:r>
      <w:r>
        <w:fldChar w:fldCharType="end"/>
      </w:r>
      <w:r>
        <w:t>,</w:t>
      </w:r>
      <w:r>
        <w:fldChar w:fldCharType="begin"/>
      </w:r>
      <w:r>
        <w:instrText xml:space="preserve"> REF ref25 \h </w:instrText>
      </w:r>
      <w:r>
        <w:fldChar w:fldCharType="separate"/>
      </w:r>
      <w:r>
        <w:t>25</w:t>
      </w:r>
      <w:r>
        <w:fldChar w:fldCharType="end"/>
      </w:r>
      <w:r>
        <w:t>,</w:t>
      </w:r>
      <w:r>
        <w:fldChar w:fldCharType="begin"/>
      </w:r>
      <w:r>
        <w:instrText xml:space="preserve"> REF ref26 \h </w:instrText>
      </w:r>
      <w:r>
        <w:fldChar w:fldCharType="separate"/>
      </w:r>
      <w:r>
        <w:t>26</w:t>
      </w:r>
      <w:r>
        <w:fldChar w:fldCharType="end"/>
      </w:r>
      <w:r>
        <w:t>]</w:t>
      </w:r>
      <w:r>
        <w:rPr>
          <w:b w:val="0"/>
        </w:rPr>
        <w:t>.</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spacing w:before="120" w:after="60"/>
      </w:pPr>
      <w:r>
        <w:rPr>
          <w:b/>
        </w:rPr>
        <w:t>2. Materials and methods</w:t>
      </w:r>
    </w:p>
    <w:p>
      <w:pPr>
        <w:spacing w:before="120" w:after="60"/>
      </w:pPr>
      <w:r>
        <w:rPr>
          <w:b/>
        </w:rPr>
        <w:t>2.1. Datasets</w:t>
      </w:r>
    </w:p>
    <w:p>
      <w:r>
        <w:rPr>
          <w:b w:val="0"/>
        </w:rPr>
        <w:t xml:space="preserve">We evaluated Path-AGNN-Cox on a harmonized pan-cancer cohort of 5336 patients from 11 TCGA cancer types (BLCA, BRCA, COAD, GBM, HNSC, KIRC, LIHC, LUAD, LUSC, OV, STAD), where each patient was represented by RNA-sequencing expression from UCSC Xena </w:t>
      </w:r>
      <w:r>
        <w:t>[</w:t>
      </w:r>
      <w:r>
        <w:fldChar w:fldCharType="begin"/>
      </w:r>
      <w:r>
        <w:instrText xml:space="preserve"> REF ref6 \h </w:instrText>
      </w:r>
      <w:r>
        <w:fldChar w:fldCharType="separate"/>
      </w:r>
      <w:r>
        <w:t>6</w:t>
      </w:r>
      <w:r>
        <w:fldChar w:fldCharType="end"/>
      </w:r>
      <w:r>
        <w:t>]</w:t>
      </w:r>
      <w:r>
        <w:rPr>
          <w:b w:val="0"/>
        </w:rPr>
        <w:t xml:space="preserve">, log2-transformed and z-scored within training folds, and overall-survival annotation extracted with TCGAbiolinks </w:t>
      </w:r>
      <w:r>
        <w:t>[</w:t>
      </w:r>
      <w:r>
        <w:fldChar w:fldCharType="begin"/>
      </w:r>
      <w:r>
        <w:instrText xml:space="preserve"> REF ref27 \h </w:instrText>
      </w:r>
      <w:r>
        <w:fldChar w:fldCharType="separate"/>
      </w:r>
      <w:r>
        <w:t>27</w:t>
      </w:r>
      <w:r>
        <w:fldChar w:fldCharType="end"/>
      </w:r>
      <w:r>
        <w:t>]</w:t>
      </w:r>
      <w:r>
        <w:rPr>
          <w:b w:val="0"/>
        </w:rPr>
        <w:t xml:space="preserve">. These cohorts span diverse tissue origins, event rates, and sample sizes (1896 events; Table 1), providing a rigorous testbed for generalizability. For independent external validation without any fine-tuning, we additionally compiled 25 GEO microarray cohorts </w:t>
      </w:r>
      <w:r>
        <w:t>[</w:t>
      </w:r>
      <w:r>
        <w:fldChar w:fldCharType="begin"/>
      </w:r>
      <w:r>
        <w:instrText xml:space="preserve"> REF ref4 \h </w:instrText>
      </w:r>
      <w:r>
        <w:fldChar w:fldCharType="separate"/>
      </w:r>
      <w:r>
        <w:t>4</w:t>
      </w:r>
      <w:r>
        <w:fldChar w:fldCharType="end"/>
      </w:r>
      <w:r>
        <w:t>,</w:t>
      </w:r>
      <w:r>
        <w:fldChar w:fldCharType="begin"/>
      </w:r>
      <w:r>
        <w:instrText xml:space="preserve"> REF ref5 \h </w:instrText>
      </w:r>
      <w:r>
        <w:fldChar w:fldCharType="separate"/>
      </w:r>
      <w:r>
        <w:t>5</w:t>
      </w:r>
      <w:r>
        <w:fldChar w:fldCharType="end"/>
      </w:r>
      <w:r>
        <w:t>]</w:t>
      </w:r>
      <w:r>
        <w:rPr>
          <w:b w:val="0"/>
        </w:rPr>
        <w:t xml:space="preserve">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spacing w:before="120" w:after="60"/>
      </w:pPr>
      <w:r>
        <w:rPr>
          <w:b/>
        </w:rP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 xml:space="preserve">For the GEO cohorts, probes were mapped to gene symbols using the platform annotation tables downloaded from NCBI GEO </w:t>
      </w:r>
      <w:r>
        <w:t>[</w:t>
      </w:r>
      <w:r>
        <w:fldChar w:fldCharType="begin"/>
      </w:r>
      <w:r>
        <w:instrText xml:space="preserve"> REF ref4 \h </w:instrText>
      </w:r>
      <w:r>
        <w:fldChar w:fldCharType="separate"/>
      </w:r>
      <w:r>
        <w:t>4</w:t>
      </w:r>
      <w:r>
        <w:fldChar w:fldCharType="end"/>
      </w:r>
      <w:r>
        <w:t>]</w:t>
      </w:r>
      <w:r>
        <w:rPr>
          <w:b w:val="0"/>
        </w:rPr>
        <w:t xml:space="preserve">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 xml:space="preserve">Expression matrices were first mapped to the KEGG cancer-core pathway catalogue </w:t>
      </w:r>
      <w:r>
        <w:t>[</w:t>
      </w:r>
      <w:r>
        <w:fldChar w:fldCharType="begin"/>
      </w:r>
      <w:r>
        <w:instrText xml:space="preserve"> REF ref19 \h </w:instrText>
      </w:r>
      <w:r>
        <w:fldChar w:fldCharType="separate"/>
      </w:r>
      <w:r>
        <w:t>19</w:t>
      </w:r>
      <w:r>
        <w:fldChar w:fldCharType="end"/>
      </w:r>
      <w:r>
        <w:t>]</w:t>
      </w:r>
      <w:r>
        <w:rPr>
          <w:b w:val="0"/>
        </w:rPr>
        <w:t xml:space="preserve"> (57 pathways, 3097 genes in the union; compiled from the KEGG_2021_Human.gmt gene-set collection, KEGG release 2021). Pathway modules containing fewer than three or more than 300 genes were excluded from the model input. After intersection with each cohort's measured genes, on average 2760 genes per cohort were retained; genes outside any pathway were excluded, so that every model in the benchmark operates on the same pathway-mapped gene universe (a matched comparison).</w:t>
      </w:r>
    </w:p>
    <w:p>
      <w:pPr>
        <w:spacing w:before="120" w:after="60"/>
      </w:pPr>
      <w:r>
        <w:rPr>
          <w:b/>
        </w:rP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spacing w:before="120" w:after="60"/>
      </w:pPr>
      <w:r>
        <w:rPr>
          <w:b/>
        </w:rP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pPr>
        <w:jc w:val="center"/>
      </w:pPr>
      <m:oMath xmlns:mml="http://www.w3.org/1998/Math/MathML">
        <m:sSub>
          <m:e>
            <m:r>
              <m:t>A</m:t>
            </m:r>
          </m:e>
          <m:sub>
            <m:r>
              <m:t>ij</m:t>
            </m:r>
          </m:sub>
        </m:sSub>
        <m:r>
          <m:rPr>
            <m:sty m:val="p"/>
          </m:rPr>
          <m:t>=1 </m:t>
        </m:r>
        <m:r>
          <m:rPr>
            <m:sty m:val="p"/>
          </m:rPr>
          <m:t>iff</m:t>
        </m:r>
        <m:r>
          <m:rPr>
            <m:sty m:val="p"/>
          </m:rPr>
          <m:t> ∃</m:t>
        </m:r>
        <m:r>
          <m:t>k:</m:t>
        </m:r>
        <m:sSub>
          <m:e>
            <m:r>
              <m:t>g</m:t>
            </m:r>
          </m:e>
          <m:sub>
            <m:r>
              <m:t>i</m:t>
            </m:r>
          </m:sub>
        </m:sSub>
        <m:r>
          <m:rPr>
            <m:sty m:val="p"/>
          </m:rPr>
          <m:t>∈</m:t>
        </m:r>
        <m:sSub>
          <m:e>
            <m:r>
              <m:t>V</m:t>
            </m:r>
          </m:e>
          <m:sub>
            <m:r>
              <m:t>k</m:t>
            </m:r>
          </m:sub>
        </m:sSub>
        <m:r>
          <m:rPr>
            <m:sty m:val="p"/>
          </m:rPr>
          <m:t> </m:t>
        </m:r>
        <m:r>
          <m:rPr>
            <m:sty m:val="p"/>
          </m:rPr>
          <m:t>and</m:t>
        </m:r>
        <m:r>
          <m:rPr>
            <m:sty m:val="p"/>
          </m:rPr>
          <m:t> </m:t>
        </m:r>
        <m:sSub>
          <m:e>
            <m:r>
              <m:t>g</m:t>
            </m:r>
          </m:e>
          <m:sub>
            <m:r>
              <m:t>j</m:t>
            </m:r>
          </m:sub>
        </m:sSub>
        <m:r>
          <m:rPr>
            <m:sty m:val="p"/>
          </m:rPr>
          <m:t>∈</m:t>
        </m:r>
        <m:sSub>
          <m:e>
            <m:r>
              <m:t>V</m:t>
            </m:r>
          </m:e>
          <m:sub>
            <m:r>
              <m:t>k</m:t>
            </m:r>
          </m:sub>
        </m:sSub>
        <m:r>
          <m:t>;</m:t>
        </m:r>
        <m:sSub>
          <m:e>
            <m:r>
              <m:t>A</m:t>
            </m:r>
          </m:e>
          <m:sub>
            <m:r>
              <m:t>ij</m:t>
            </m:r>
          </m:sub>
        </m:sSub>
        <m:r>
          <m:rPr>
            <m:sty m:val="p"/>
          </m:rPr>
          <m:t>=0 </m:t>
        </m:r>
        <m:r>
          <m:rPr>
            <m:sty m:val="p"/>
          </m:rPr>
          <m:t>otherwise</m:t>
        </m:r>
        <m:r>
          <m:rPr>
            <m:sty m:val="p"/>
          </m:rPr>
          <m:t>,</m:t>
        </m:r>
      </m:oMath>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spacing w:before="120" w:after="60"/>
      </w:pPr>
      <w:r>
        <w:rPr>
          <w:b/>
        </w:rP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pPr>
        <w:jc w:val="center"/>
      </w:pPr>
      <m:oMath xmlns:mml="http://www.w3.org/1998/Math/MathML">
        <m:sSubSup>
          <m:e>
            <m:r>
              <m:t>e</m:t>
            </m:r>
          </m:e>
          <m:sub>
            <m:r>
              <m:t>ij</m:t>
            </m:r>
          </m:sub>
          <m:sup>
            <m:r>
              <m:rPr>
                <m:sty m:val="p"/>
              </m:rPr>
              <m:t>(</m:t>
            </m:r>
            <m:r>
              <m:t>l,s)</m:t>
            </m:r>
          </m:sup>
        </m:sSubSup>
        <m:r>
          <m:rPr>
            <m:sty m:val="p"/>
          </m:rPr>
          <m:t>=</m:t>
        </m:r>
        <m:r>
          <m:rPr>
            <m:sty m:val="p"/>
          </m:rPr>
          <m:t>LeakyReLU</m:t>
        </m:r>
        <m:r>
          <m:rPr>
            <m:sty m:val="p"/>
          </m:rPr>
          <m:t>(</m:t>
        </m:r>
        <m:sSup>
          <m:e>
            <m:r>
              <m:t>a</m:t>
            </m:r>
          </m:e>
          <m:sup>
            <m:r>
              <m:t>T</m:t>
            </m:r>
          </m:sup>
        </m:sSup>
        <m:r>
          <m:rPr>
            <m:sty m:val="p"/>
          </m:rPr>
          <m:t>[</m:t>
        </m:r>
        <m:r>
          <m:t>W</m:t>
        </m:r>
        <m:sSubSup>
          <m:e>
            <m:r>
              <m:t>h</m:t>
            </m:r>
          </m:e>
          <m:sub>
            <m:r>
              <m:t>i</m:t>
            </m:r>
          </m:sub>
          <m:sup>
            <m:r>
              <m:rPr>
                <m:sty m:val="p"/>
              </m:rPr>
              <m:t>(</m:t>
            </m:r>
            <m:r>
              <m:t>l,s)</m:t>
            </m:r>
          </m:sup>
        </m:sSubSup>
        <m:r>
          <m:rPr>
            <m:sty m:val="p"/>
          </m:rPr>
          <m:t>∥</m:t>
        </m:r>
        <m:r>
          <m:t>W</m:t>
        </m:r>
        <m:sSubSup>
          <m:e>
            <m:r>
              <m:t>h</m:t>
            </m:r>
          </m:e>
          <m:sub>
            <m:r>
              <m:t>j</m:t>
            </m:r>
          </m:sub>
          <m:sup>
            <m:r>
              <m:rPr>
                <m:sty m:val="p"/>
              </m:rPr>
              <m:t>(</m:t>
            </m:r>
            <m:r>
              <m:t>l,s)</m:t>
            </m:r>
          </m:sup>
        </m:sSubSup>
        <m:r>
          <m:rPr>
            <m:sty m:val="p"/>
          </m:rPr>
          <m:t>])</m:t>
        </m:r>
        <m:r>
          <m:rPr>
            <m:sty m:val="p"/>
          </m:rPr>
          <m:t>·</m:t>
        </m:r>
        <m:r>
          <m:rPr>
            <m:sty m:val="p"/>
          </m:rPr>
          <m:t>(1+tanh(</m:t>
        </m:r>
        <m:sSup>
          <m:e>
            <m:r>
              <m:t>β</m:t>
            </m:r>
          </m:e>
          <m:sup>
            <m:r>
              <m:rPr>
                <m:sty m:val="p"/>
              </m:rPr>
              <m:t>(</m:t>
            </m:r>
            <m:r>
              <m:t>l)</m:t>
            </m:r>
          </m:sup>
        </m:sSup>
        <m:r>
          <m:rPr>
            <m:sty m:val="p"/>
          </m:rPr>
          <m:t>)·</m:t>
        </m:r>
        <m:sSub>
          <m:e>
            <m:r>
              <m:t>m</m:t>
            </m:r>
          </m:e>
          <m:sub>
            <m:r>
              <m:t>s</m:t>
            </m:r>
          </m:sub>
        </m:sSub>
        <m:r>
          <m:rPr>
            <m:sty m:val="p"/>
          </m:rPr>
          <m:t>)</m:t>
        </m:r>
        <m:r>
          <m:rPr>
            <m:sty m:val="p"/>
          </m:rPr>
          <m:t>,</m:t>
        </m:r>
      </m:oMath>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pPr>
        <w:jc w:val="center"/>
      </w:pPr>
      <m:oMath xmlns:mml="http://www.w3.org/1998/Math/MathML">
        <m:sSub>
          <m:e>
            <m:r>
              <m:t>m</m:t>
            </m:r>
          </m:e>
          <m:sub>
            <m:r>
              <m:t>s</m:t>
            </m:r>
          </m:sub>
        </m:sSub>
        <m:r>
          <m:rPr>
            <m:sty m:val="p"/>
          </m:rPr>
          <m:t>=</m:t>
        </m:r>
        <m:r>
          <m:t>σ</m:t>
        </m:r>
        <m:r>
          <m:rPr>
            <m:sty m:val="p"/>
          </m:rPr>
          <m:t>(</m:t>
        </m:r>
        <m:sSub>
          <m:e>
            <m:r>
              <m:rPr>
                <m:sty m:val="p"/>
              </m:rPr>
              <m:t>MLP</m:t>
            </m:r>
          </m:e>
          <m:sub>
            <m:r>
              <m:t>m</m:t>
            </m:r>
          </m:sub>
        </m:sSub>
        <m:r>
          <m:rPr>
            <m:sty m:val="p"/>
          </m:rPr>
          <m:t>(</m:t>
        </m:r>
        <m:f>
          <m:fPr>
            <m:type m:val="bar"/>
          </m:fPr>
          <m:num>
            <m:argPr>
              <m:scrLvl m:val="0"/>
            </m:argPr>
            <m:r>
              <m:rPr/>
              <m:t>1</m:t>
            </m:r>
          </m:num>
          <m:den>
            <m:argPr>
              <m:scrLvl m:val="0"/>
            </m:argPr>
            <m:r>
              <m:t>M</m:t>
            </m:r>
          </m:den>
        </m:f>
        <m:nary>
          <m:naryPr>
            <m:chr m:val="∑"/>
            <m:limLoc m:val="subSup"/>
            <m:grow m:val="on"/>
            <m:subHide m:val="off"/>
            <m:supHide m:val="on"/>
          </m:naryPr>
          <m:sub>
            <m:r>
              <m:t>i</m:t>
            </m:r>
          </m:sub>
          <m:sup/>
          <m:e/>
        </m:nary>
        <m:sSub>
          <m:e>
            <m:r>
              <m:t>x</m:t>
            </m:r>
          </m:e>
          <m:sub>
            <m:r>
              <m:t>i,s</m:t>
            </m:r>
          </m:sub>
        </m:sSub>
        <m:r>
          <m:rPr>
            <m:sty m:val="p"/>
          </m:rPr>
          <m:t>)</m:t>
        </m:r>
        <m:r>
          <m:rPr>
            <m:sty m:val="p"/>
          </m:rPr>
          <m:t>)</m:t>
        </m:r>
        <m:r>
          <m:rPr>
            <m:sty m:val="p"/>
          </m:rPr>
          <m:t>,</m:t>
        </m:r>
      </m:oMath>
    </w:p>
    <w:p>
      <w:r>
        <w:rPr>
          <w:b w:val="0"/>
        </w:rPr>
        <w:t>with σ the logistic function. The attention coefficient is the row-softmax of the masked logits within each pathway block:</w:t>
      </w:r>
    </w:p>
    <w:p>
      <w:pPr>
        <w:jc w:val="center"/>
      </w:pPr>
      <m:oMath xmlns:mml="http://www.w3.org/1998/Math/MathML">
        <m:sSubSup>
          <m:e>
            <m:r>
              <m:t>α</m:t>
            </m:r>
          </m:e>
          <m:sub>
            <m:r>
              <m:t>ij</m:t>
            </m:r>
          </m:sub>
          <m:sup>
            <m:r>
              <m:rPr>
                <m:sty m:val="p"/>
              </m:rPr>
              <m:t>(</m:t>
            </m:r>
            <m:r>
              <m:t>l,s)</m:t>
            </m:r>
          </m:sup>
        </m:sSubSup>
        <m:r>
          <m:rPr>
            <m:sty m:val="p"/>
          </m:rPr>
          <m:t>=</m:t>
        </m:r>
        <m:f>
          <m:fPr>
            <m:type m:val="bar"/>
          </m:fPr>
          <m:num>
            <m:r>
              <m:rPr>
                <m:sty m:val="p"/>
              </m:rPr>
              <m:t>exp(</m:t>
            </m:r>
            <m:sSubSup>
              <m:e>
                <m:r>
                  <m:t>e</m:t>
                </m:r>
              </m:e>
              <m:sub>
                <m:r>
                  <m:t>ij</m:t>
                </m:r>
              </m:sub>
              <m:sup>
                <m:r>
                  <m:rPr>
                    <m:sty m:val="p"/>
                  </m:rPr>
                  <m:t>(</m:t>
                </m:r>
                <m:r>
                  <m:t>l,s)</m:t>
                </m:r>
              </m:sup>
            </m:sSubSup>
            <m:r>
              <m:rPr>
                <m:sty m:val="p"/>
              </m:rPr>
              <m:t>)</m:t>
            </m:r>
          </m:num>
          <m:den>
            <m:nary>
              <m:naryPr>
                <m:chr m:val="∑"/>
                <m:limLoc m:val="subSup"/>
                <m:grow m:val="on"/>
                <m:subHide m:val="off"/>
                <m:supHide m:val="on"/>
              </m:naryPr>
              <m:sub>
                <m:r>
                  <m:t>k∈</m:t>
                </m:r>
                <m:sSub>
                  <m:e>
                    <m:r>
                      <m:t>𝒩</m:t>
                    </m:r>
                  </m:e>
                  <m:sub>
                    <m:r>
                      <m:t>k</m:t>
                    </m:r>
                  </m:sub>
                </m:sSub>
                <m:r>
                  <m:rPr>
                    <m:sty m:val="p"/>
                  </m:rPr>
                  <m:t>(</m:t>
                </m:r>
                <m:r>
                  <m:t>i)</m:t>
                </m:r>
              </m:sub>
              <m:sup/>
              <m:e/>
            </m:nary>
            <m:r>
              <m:rPr>
                <m:sty m:val="p"/>
              </m:rPr>
              <m:t>exp(</m:t>
            </m:r>
            <m:sSubSup>
              <m:e>
                <m:r>
                  <m:t>e</m:t>
                </m:r>
              </m:e>
              <m:sub>
                <m:r>
                  <m:t>ik</m:t>
                </m:r>
              </m:sub>
              <m:sup>
                <m:r>
                  <m:rPr>
                    <m:sty m:val="p"/>
                  </m:rPr>
                  <m:t>(</m:t>
                </m:r>
                <m:r>
                  <m:t>l,s)</m:t>
                </m:r>
              </m:sup>
            </m:sSubSup>
            <m:r>
              <m:rPr>
                <m:sty m:val="p"/>
              </m:rPr>
              <m:t>)</m:t>
            </m:r>
          </m:den>
        </m:f>
        <m:r>
          <m:rPr>
            <m:sty m:val="p"/>
          </m:rPr>
          <m:t>,</m:t>
        </m:r>
      </m:oMath>
    </w:p>
    <w:p>
      <w:r>
        <w:rPr>
          <w:b w:val="0"/>
        </w:rPr>
        <w:t>and the updated node representation is</w:t>
      </w:r>
    </w:p>
    <w:p>
      <w:pPr>
        <w:jc w:val="center"/>
      </w:pPr>
      <m:oMath xmlns:mml="http://www.w3.org/1998/Math/MathML">
        <m:sSubSup>
          <m:e>
            <m:r>
              <m:t>h</m:t>
            </m:r>
          </m:e>
          <m:sub>
            <m:r>
              <m:t>i</m:t>
            </m:r>
          </m:sub>
          <m:sup>
            <m:r>
              <m:rPr>
                <m:sty m:val="p"/>
              </m:rPr>
              <m:t>(</m:t>
            </m:r>
            <m:r>
              <m:t>l+1,s)</m:t>
            </m:r>
          </m:sup>
        </m:sSubSup>
        <m:r>
          <m:rPr>
            <m:sty m:val="p"/>
          </m:rPr>
          <m:t>=</m:t>
        </m:r>
        <m:nary>
          <m:naryPr>
            <m:chr m:val="∑"/>
            <m:limLoc m:val="subSup"/>
            <m:grow m:val="on"/>
            <m:subHide m:val="off"/>
            <m:supHide m:val="on"/>
          </m:naryPr>
          <m:sub>
            <m:r>
              <m:t>j</m:t>
            </m:r>
          </m:sub>
          <m:sup/>
          <m:e/>
        </m:nary>
        <m:sSubSup>
          <m:e>
            <m:r>
              <m:t>α</m:t>
            </m:r>
          </m:e>
          <m:sub>
            <m:r>
              <m:t>ij</m:t>
            </m:r>
          </m:sub>
          <m:sup>
            <m:r>
              <m:rPr>
                <m:sty m:val="p"/>
              </m:rPr>
              <m:t>(</m:t>
            </m:r>
            <m:r>
              <m:t>l,s)</m:t>
            </m:r>
          </m:sup>
        </m:sSubSup>
        <m:r>
          <m:t>W</m:t>
        </m:r>
        <m:sSubSup>
          <m:e>
            <m:r>
              <m:t>h</m:t>
            </m:r>
          </m:e>
          <m:sub>
            <m:r>
              <m:t>j</m:t>
            </m:r>
          </m:sub>
          <m:sup>
            <m:r>
              <m:rPr>
                <m:sty m:val="p"/>
              </m:rPr>
              <m:t>(</m:t>
            </m:r>
            <m:r>
              <m:t>l,s)</m:t>
            </m:r>
          </m:sup>
        </m:sSubSup>
      </m:oMath>
    </w:p>
    <w:p>
      <w:r>
        <w:rPr>
          <w:b w:val="0"/>
        </w:rPr>
        <w:t>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spacing w:before="120" w:after="60"/>
      </w:pPr>
      <w:r>
        <w:rPr>
          <w:b/>
        </w:rPr>
        <w:t>2.5. Pathway readout and risk head</w:t>
      </w:r>
    </w:p>
    <w:p>
      <w:r>
        <w:rPr>
          <w:b w:val="0"/>
        </w:rPr>
        <w:t xml:space="preserve">After </w:t>
      </w:r>
      <w:r>
        <w:rPr>
          <w:b w:val="0"/>
          <w:i/>
        </w:rPr>
        <w:t>L</w:t>
      </w:r>
      <w:r>
        <w:rPr>
          <w:b w:val="0"/>
        </w:rPr>
        <w:t xml:space="preserve"> adaptive layers, node embeddings are summarized by mean pooling within each pathway block,</w:t>
      </w:r>
    </w:p>
    <w:p>
      <w:pPr>
        <w:jc w:val="center"/>
      </w:pPr>
      <m:oMath xmlns:mml="http://www.w3.org/1998/Math/MathML">
        <m:sSub>
          <m:e>
            <m:r>
              <m:t>p</m:t>
            </m:r>
          </m:e>
          <m:sub>
            <m:r>
              <m:t>k</m:t>
            </m:r>
          </m:sub>
        </m:sSub>
        <m:r>
          <m:rPr>
            <m:sty m:val="p"/>
          </m:rPr>
          <m:t>=</m:t>
        </m:r>
        <m:f>
          <m:fPr>
            <m:type m:val="bar"/>
          </m:fPr>
          <m:num>
            <m:r>
              <m:rPr/>
              <m:t>1</m:t>
            </m:r>
          </m:num>
          <m:den>
            <m:r>
              <m:rPr>
                <m:sty m:val="p"/>
              </m:rPr>
              <m:t>|</m:t>
            </m:r>
            <m:sSub>
              <m:e>
                <m:r>
                  <m:t>V</m:t>
                </m:r>
              </m:e>
              <m:sub>
                <m:r>
                  <m:t>k</m:t>
                </m:r>
              </m:sub>
            </m:sSub>
            <m:r>
              <m:rPr>
                <m:sty m:val="p"/>
              </m:rPr>
              <m:t>|</m:t>
            </m:r>
          </m:den>
        </m:f>
        <m:nary>
          <m:naryPr>
            <m:chr m:val="∑"/>
            <m:limLoc m:val="subSup"/>
            <m:grow m:val="on"/>
            <m:subHide m:val="off"/>
            <m:supHide m:val="on"/>
          </m:naryPr>
          <m:sub>
            <m:r>
              <m:t>i∈</m:t>
            </m:r>
            <m:sSub>
              <m:e>
                <m:r>
                  <m:t>V</m:t>
                </m:r>
              </m:e>
              <m:sub>
                <m:r>
                  <m:t>k</m:t>
                </m:r>
              </m:sub>
            </m:sSub>
          </m:sub>
          <m:sup/>
          <m:e/>
        </m:nary>
        <m:sSubSup>
          <m:e>
            <m:r>
              <m:t>h</m:t>
            </m:r>
          </m:e>
          <m:sub>
            <m:r>
              <m:t>i</m:t>
            </m:r>
          </m:sub>
          <m:sup>
            <m:r>
              <m:rPr>
                <m:sty m:val="p"/>
              </m:rPr>
              <m:t>(</m:t>
            </m:r>
            <m:r>
              <m:t>L)</m:t>
            </m:r>
          </m:sup>
        </m:sSubSup>
        <m:r>
          <m:rPr>
            <m:sty m:val="p"/>
          </m:rPr>
          <m:t>,</m:t>
        </m:r>
      </m:oMath>
    </w:p>
    <w:p>
      <w:r>
        <w:rPr>
          <w:b w:val="0"/>
        </w:rPr>
        <w:t>and the pathway-level representation is the average over blocks,</w:t>
      </w:r>
    </w:p>
    <w:p>
      <w:pPr>
        <w:jc w:val="center"/>
      </w:pPr>
      <m:oMath xmlns:mml="http://www.w3.org/1998/Math/MathML">
        <m:sSub>
          <m:e>
            <m:r>
              <m:t>g</m:t>
            </m:r>
          </m:e>
          <m:sub>
            <m:r>
              <m:rPr>
                <m:sty m:val="p"/>
              </m:rPr>
              <m:t>path</m:t>
            </m:r>
          </m:sub>
        </m:sSub>
        <m:r>
          <m:rPr>
            <m:sty m:val="p"/>
          </m:rPr>
          <m:t>=</m:t>
        </m:r>
        <m:f>
          <m:fPr>
            <m:type m:val="bar"/>
          </m:fPr>
          <m:num>
            <m:r>
              <m:rPr/>
              <m:t>1</m:t>
            </m:r>
          </m:num>
          <m:den>
            <m:r>
              <m:t>K</m:t>
            </m:r>
          </m:den>
        </m:f>
        <m:nary>
          <m:naryPr>
            <m:chr m:val="∑"/>
            <m:limLoc m:val="subSup"/>
            <m:grow m:val="on"/>
            <m:subHide m:val="off"/>
            <m:supHide m:val="on"/>
          </m:naryPr>
          <m:sub>
            <m:r>
              <m:t>k</m:t>
            </m:r>
          </m:sub>
          <m:sup/>
          <m:e/>
        </m:nary>
        <m:sSub>
          <m:e>
            <m:r>
              <m:t>p</m:t>
            </m:r>
          </m:e>
          <m:sub>
            <m:r>
              <m:t>k</m:t>
            </m:r>
          </m:sub>
        </m:sSub>
        <m:r>
          <m:rPr>
            <m:sty m:val="p"/>
          </m:rPr>
          <m:t>.</m:t>
        </m:r>
      </m:oMath>
    </w:p>
    <w:p>
      <w:r>
        <w:rPr>
          <w:b w:val="0"/>
        </w:rPr>
        <w:t>A gene-level summary</w:t>
      </w:r>
    </w:p>
    <w:p>
      <w:pPr>
        <w:jc w:val="center"/>
      </w:pPr>
      <m:oMath xmlns:mml="http://www.w3.org/1998/Math/MathML">
        <m:sSub>
          <m:e>
            <m:r>
              <m:t>g</m:t>
            </m:r>
          </m:e>
          <m:sub>
            <m:r>
              <m:rPr>
                <m:sty m:val="p"/>
              </m:rPr>
              <m:t>gene</m:t>
            </m:r>
          </m:sub>
        </m:sSub>
        <m:r>
          <m:rPr>
            <m:sty m:val="p"/>
          </m:rPr>
          <m:t>=</m:t>
        </m:r>
        <m:f>
          <m:fPr>
            <m:type m:val="bar"/>
          </m:fPr>
          <m:num>
            <m:r>
              <m:rPr/>
              <m:t>1</m:t>
            </m:r>
          </m:num>
          <m:den>
            <m:r>
              <m:t>M</m:t>
            </m:r>
          </m:den>
        </m:f>
        <m:nary>
          <m:naryPr>
            <m:chr m:val="∑"/>
            <m:limLoc m:val="subSup"/>
            <m:grow m:val="on"/>
            <m:subHide m:val="off"/>
            <m:supHide m:val="on"/>
          </m:naryPr>
          <m:sub>
            <m:r>
              <m:t>i</m:t>
            </m:r>
          </m:sub>
          <m:sup/>
          <m:e/>
        </m:nary>
        <m:sSubSup>
          <m:e>
            <m:r>
              <m:t>h</m:t>
            </m:r>
          </m:e>
          <m:sub>
            <m:r>
              <m:t>i</m:t>
            </m:r>
          </m:sub>
          <m:sup>
            <m:r>
              <m:rPr>
                <m:sty m:val="p"/>
              </m:rPr>
              <m:t>(</m:t>
            </m:r>
            <m:r>
              <m:t>L)</m:t>
            </m:r>
          </m:sup>
        </m:sSubSup>
      </m:oMath>
    </w:p>
    <w:p>
      <w:r>
        <w:rPr>
          <w:b w:val="0"/>
        </w:rPr>
        <w:t>is concatenated with g_path, and the patient risk score is produced by a two-layer MLP:</w:t>
      </w:r>
    </w:p>
    <w:p>
      <w:pPr>
        <w:jc w:val="center"/>
      </w:pPr>
      <m:oMath xmlns:mml="http://www.w3.org/1998/Math/MathML">
        <m:sSub>
          <m:e>
            <m:limUpp>
              <m:e>
                <m:r>
                  <m:t>y</m:t>
                </m:r>
              </m:e>
              <m:lim>
                <m:r>
                  <m:rPr>
                    <m:sty m:val="p"/>
                  </m:rPr>
                  <m:t>^</m:t>
                </m:r>
              </m:lim>
            </m:limUpp>
          </m:e>
          <m:sub>
            <m:r>
              <m:t>s</m:t>
            </m:r>
          </m:sub>
        </m:sSub>
        <m:r>
          <m:rPr>
            <m:sty m:val="p"/>
          </m:rPr>
          <m:t>=</m:t>
        </m:r>
        <m:r>
          <m:rPr>
            <m:sty m:val="p"/>
          </m:rPr>
          <m:t>MLP</m:t>
        </m:r>
        <m:r>
          <m:rPr>
            <m:sty m:val="p"/>
          </m:rPr>
          <m:t>([</m:t>
        </m:r>
        <m:sSub>
          <m:e>
            <m:r>
              <m:t>g</m:t>
            </m:r>
          </m:e>
          <m:sub>
            <m:r>
              <m:rPr>
                <m:sty m:val="p"/>
              </m:rPr>
              <m:t>gene</m:t>
            </m:r>
          </m:sub>
        </m:sSub>
        <m:r>
          <m:t>;</m:t>
        </m:r>
        <m:sSub>
          <m:e>
            <m:r>
              <m:t>g</m:t>
            </m:r>
          </m:e>
          <m:sub>
            <m:r>
              <m:rPr>
                <m:sty m:val="p"/>
              </m:rPr>
              <m:t>path</m:t>
            </m:r>
          </m:sub>
        </m:sSub>
        <m:r>
          <m:rPr>
            <m:sty m:val="p"/>
          </m:rPr>
          <m:t>])</m:t>
        </m:r>
        <m:r>
          <m:rPr>
            <m:sty m:val="p"/>
          </m:rPr>
          <m:t>.</m:t>
        </m:r>
      </m:oMath>
    </w:p>
    <w:p>
      <w:pPr>
        <w:spacing w:before="120" w:after="60"/>
      </w:pPr>
      <w:r>
        <w:rPr>
          <w:b/>
        </w:rPr>
        <w:t>2.6. Survival objective and dual regularization</w:t>
      </w:r>
    </w:p>
    <w:p>
      <w:r>
        <w:rPr>
          <w:b w:val="0"/>
        </w:rPr>
        <w:t xml:space="preserve">Model parameters are optimized by the negative Cox partial likelihood with Breslow tie handling </w:t>
      </w:r>
      <w:r>
        <w:t>[</w:t>
      </w:r>
      <w:r>
        <w:fldChar w:fldCharType="begin"/>
      </w:r>
      <w:r>
        <w:instrText xml:space="preserve"> REF ref1 \h </w:instrText>
      </w:r>
      <w:r>
        <w:fldChar w:fldCharType="separate"/>
      </w:r>
      <w:r>
        <w:t>1</w:t>
      </w:r>
      <w:r>
        <w:fldChar w:fldCharType="end"/>
      </w:r>
      <w:r>
        <w:t>,</w:t>
      </w:r>
      <w:r>
        <w:fldChar w:fldCharType="begin"/>
      </w:r>
      <w:r>
        <w:instrText xml:space="preserve"> REF ref28 \h </w:instrText>
      </w:r>
      <w:r>
        <w:fldChar w:fldCharType="separate"/>
      </w:r>
      <w:r>
        <w:t>28</w:t>
      </w:r>
      <w:r>
        <w:fldChar w:fldCharType="end"/>
      </w:r>
      <w:r>
        <w:t>]</w:t>
      </w:r>
      <w:r>
        <w:rPr>
          <w:b w:val="0"/>
        </w:rPr>
        <w:t>,</w:t>
      </w:r>
    </w:p>
    <w:p>
      <w:pPr>
        <w:jc w:val="center"/>
      </w:pPr>
      <m:oMath xmlns:mml="http://www.w3.org/1998/Math/MathML">
        <m:sSub>
          <m:e>
            <m:r>
              <m:t>L</m:t>
            </m:r>
          </m:e>
          <m:sub>
            <m:r>
              <m:rPr>
                <m:sty m:val="p"/>
              </m:rPr>
              <m:t>Cox</m:t>
            </m:r>
          </m:sub>
        </m:sSub>
        <m:r>
          <m:rPr>
            <m:sty m:val="p"/>
          </m:rPr>
          <m:t>=−</m:t>
        </m:r>
        <m:f>
          <m:fPr>
            <m:type m:val="bar"/>
          </m:fPr>
          <m:num>
            <m:r>
              <m:rPr/>
              <m:t>1</m:t>
            </m:r>
          </m:num>
          <m:den>
            <m:sSub>
              <m:e>
                <m:r>
                  <m:t>n</m:t>
                </m:r>
              </m:e>
              <m:sub>
                <m:r>
                  <m:rPr>
                    <m:sty m:val="p"/>
                  </m:rPr>
                  <m:t>events</m:t>
                </m:r>
              </m:sub>
            </m:sSub>
          </m:den>
        </m:f>
        <m:nary>
          <m:naryPr>
            <m:chr m:val="∑"/>
            <m:limLoc m:val="subSup"/>
            <m:grow m:val="on"/>
            <m:subHide m:val="off"/>
            <m:supHide m:val="on"/>
          </m:naryPr>
          <m:sub>
            <m:r>
              <m:t>i:</m:t>
            </m:r>
            <m:sSub>
              <m:e>
                <m:r>
                  <m:t>E</m:t>
                </m:r>
              </m:e>
              <m:sub>
                <m:r>
                  <m:t>i</m:t>
                </m:r>
              </m:sub>
            </m:sSub>
            <m:r>
              <m:rPr>
                <m:sty m:val="p"/>
              </m:rPr>
              <m:t>=1</m:t>
            </m:r>
          </m:sub>
          <m:sup/>
          <m:e>
            <m:r>
              <m:rPr>
                <m:sty m:val="p"/>
              </m:rPr>
              <m:t>(</m:t>
            </m:r>
            <m:sSub>
              <m:e>
                <m:limUpp>
                  <m:e>
                    <m:r>
                      <m:t>y</m:t>
                    </m:r>
                  </m:e>
                  <m:lim>
                    <m:r>
                      <m:rPr>
                        <m:sty m:val="p"/>
                      </m:rPr>
                      <m:t>^</m:t>
                    </m:r>
                  </m:lim>
                </m:limUpp>
              </m:e>
              <m:sub>
                <m:r>
                  <m:t>i</m:t>
                </m:r>
              </m:sub>
            </m:sSub>
            <m:r>
              <m:rPr>
                <m:sty m:val="p"/>
              </m:rPr>
              <m:t>−log</m:t>
            </m:r>
            <m:nary>
              <m:naryPr>
                <m:chr m:val="∑"/>
                <m:limLoc m:val="subSup"/>
                <m:grow m:val="on"/>
                <m:subHide m:val="off"/>
                <m:supHide m:val="on"/>
              </m:naryPr>
              <m:sub>
                <m:r>
                  <m:t>j∈R(</m:t>
                </m:r>
                <m:sSub>
                  <m:e>
                    <m:r>
                      <m:t>t</m:t>
                    </m:r>
                  </m:e>
                  <m:sub>
                    <m:r>
                      <m:t>i</m:t>
                    </m:r>
                  </m:sub>
                </m:sSub>
                <m:r>
                  <m:rPr>
                    <m:sty m:val="p"/>
                  </m:rPr>
                  <m:t>)</m:t>
                </m:r>
              </m:sub>
              <m:sup/>
              <m:e/>
            </m:nary>
            <m:r>
              <m:rPr>
                <m:sty m:val="p"/>
              </m:rPr>
              <m:t>exp(</m:t>
            </m:r>
            <m:sSub>
              <m:e>
                <m:limUpp>
                  <m:e>
                    <m:r>
                      <m:t>y</m:t>
                    </m:r>
                  </m:e>
                  <m:lim>
                    <m:r>
                      <m:rPr>
                        <m:sty m:val="p"/>
                      </m:rPr>
                      <m:t>^</m:t>
                    </m:r>
                  </m:lim>
                </m:limUpp>
              </m:e>
              <m:sub>
                <m:r>
                  <m:t>j</m:t>
                </m:r>
              </m:sub>
            </m:sSub>
            <m:r>
              <m:rPr>
                <m:sty m:val="p"/>
              </m:rPr>
              <m:t>))</m:t>
            </m:r>
          </m:e>
        </m:nary>
        <m:r>
          <m:rPr>
            <m:sty m:val="p"/>
          </m:rPr>
          <m:t>,</m:t>
        </m:r>
      </m:oMath>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w:t>
      </w:r>
    </w:p>
    <w:p>
      <w:pPr>
        <w:jc w:val="center"/>
      </w:pPr>
      <m:oMath xmlns:mml="http://www.w3.org/1998/Math/MathML">
        <m:sSub>
          <m:e>
            <m:r>
              <m:t>L</m:t>
            </m:r>
          </m:e>
          <m:sub>
            <m:r>
              <m:rPr>
                <m:sty m:val="p"/>
              </m:rPr>
              <m:t>sparse</m:t>
            </m:r>
          </m:sub>
        </m:sSub>
        <m:r>
          <m:rPr>
            <m:sty m:val="p"/>
          </m:rPr>
          <m:t>=</m:t>
        </m:r>
        <m:f>
          <m:fPr>
            <m:type m:val="bar"/>
          </m:fPr>
          <m:num>
            <m:r>
              <m:rPr/>
              <m:t>1</m:t>
            </m:r>
          </m:num>
          <m:den>
            <m:r>
              <m:rPr>
                <m:sty m:val="p"/>
              </m:rPr>
              <m:t>|</m:t>
            </m:r>
            <m:r>
              <m:t>E|</m:t>
            </m:r>
          </m:den>
        </m:f>
        <m:nary>
          <m:naryPr>
            <m:chr m:val="∑"/>
            <m:limLoc m:val="subSup"/>
            <m:grow m:val="on"/>
            <m:subHide m:val="off"/>
            <m:supHide m:val="on"/>
          </m:naryPr>
          <m:sub>
            <m:r>
              <m:t>e</m:t>
            </m:r>
          </m:sub>
          <m:sup/>
          <m:e/>
        </m:nary>
        <m:r>
          <m:rPr>
            <m:sty m:val="p"/>
          </m:rPr>
          <m:t>|</m:t>
        </m:r>
        <m:sSub>
          <m:e>
            <m:r>
              <m:t>α</m:t>
            </m:r>
          </m:e>
          <m:sub>
            <m:r>
              <m:t>e</m:t>
            </m:r>
          </m:sub>
        </m:sSub>
        <m:r>
          <m:rPr>
            <m:sty m:val="p"/>
          </m:rPr>
          <m:t>|,</m:t>
        </m:r>
      </m:oMath>
    </w:p>
    <w:p>
      <w:r>
        <w:rPr>
          <w:b w:val="0"/>
        </w:rPr>
        <w:t>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w:t>
      </w:r>
    </w:p>
    <w:p>
      <w:pPr>
        <w:jc w:val="center"/>
      </w:pPr>
      <m:oMath xmlns:mml="http://www.w3.org/1998/Math/MathML">
        <m:sSub>
          <m:e>
            <m:r>
              <m:t>L</m:t>
            </m:r>
          </m:e>
          <m:sub>
            <m:r>
              <m:rPr>
                <m:sty m:val="p"/>
              </m:rPr>
              <m:t>consist</m:t>
            </m:r>
          </m:sub>
        </m:sSub>
        <m:r>
          <m:rPr>
            <m:sty m:val="p"/>
          </m:rPr>
          <m:t>=</m:t>
        </m:r>
        <m:r>
          <m:rPr>
            <m:sty m:val="p"/>
          </m:rPr>
          <m:t>MSE</m:t>
        </m:r>
        <m:r>
          <m:rPr>
            <m:sty m:val="p"/>
          </m:rPr>
          <m:t>(</m:t>
        </m:r>
        <m:limUpp>
          <m:e>
            <m:r>
              <m:t>y</m:t>
            </m:r>
          </m:e>
          <m:lim>
            <m:r>
              <m:rPr>
                <m:sty m:val="p"/>
              </m:rPr>
              <m:t>^</m:t>
            </m:r>
          </m:lim>
        </m:limUpp>
        <m:r>
          <m:rPr>
            <m:sty m:val="p"/>
          </m:rPr>
          <m:t>,</m:t>
        </m:r>
        <m:sSup>
          <m:e>
            <m:limUpp>
              <m:e>
                <m:r>
                  <m:t>y</m:t>
                </m:r>
              </m:e>
              <m:lim>
                <m:r>
                  <m:rPr>
                    <m:sty m:val="p"/>
                  </m:rPr>
                  <m:t>^</m:t>
                </m:r>
              </m:lim>
            </m:limUpp>
          </m:e>
          <m:sup>
            <m:r>
              <m:t>′</m:t>
            </m:r>
          </m:sup>
        </m:sSup>
        <m:r>
          <m:rPr>
            <m:sty m:val="p"/>
          </m:rPr>
          <m:t>),</m:t>
        </m:r>
      </m:oMath>
    </w:p>
    <w:p>
      <w:r>
        <w:rPr>
          <w:b w:val="0"/>
        </w:rPr>
        <w:t>penalized by λ_consist. This requires the risk score to be stable under feature-dropout perturbations, regularizing the sample-specific graph toward reproducible, cohort-level structure.</w:t>
      </w:r>
    </w:p>
    <w:p>
      <w:r>
        <w:rPr>
          <w:b w:val="0"/>
        </w:rPr>
        <w:t>The total objective is</w:t>
      </w:r>
    </w:p>
    <w:p>
      <w:pPr>
        <w:jc w:val="center"/>
      </w:pPr>
      <m:oMath xmlns:mml="http://www.w3.org/1998/Math/MathML">
        <m:r>
          <m:t>L=</m:t>
        </m:r>
        <m:sSub>
          <m:e>
            <m:r>
              <m:t>L</m:t>
            </m:r>
          </m:e>
          <m:sub>
            <m:r>
              <m:rPr>
                <m:sty m:val="p"/>
              </m:rPr>
              <m:t>Cox</m:t>
            </m:r>
          </m:sub>
        </m:sSub>
        <m:r>
          <m:rPr>
            <m:sty m:val="p"/>
          </m:rPr>
          <m:t>+</m:t>
        </m:r>
        <m:sSub>
          <m:e>
            <m:r>
              <m:t>λ</m:t>
            </m:r>
          </m:e>
          <m:sub>
            <m:r>
              <m:rPr/>
              <m:t>2</m:t>
            </m:r>
          </m:sub>
        </m:sSub>
        <m:r>
          <m:rPr>
            <m:sty m:val="p"/>
          </m:rPr>
          <m:t>‖</m:t>
        </m:r>
        <m:r>
          <m:t>W</m:t>
        </m:r>
        <m:sSubSup>
          <m:e>
            <m:r>
              <m:rPr>
                <m:sty m:val="p"/>
              </m:rPr>
              <m:t>‖</m:t>
            </m:r>
          </m:e>
          <m:sub>
            <m:r>
              <m:rPr/>
              <m:t>2</m:t>
            </m:r>
          </m:sub>
          <m:sup>
            <m:r>
              <m:rPr/>
              <m:t>2</m:t>
            </m:r>
          </m:sup>
        </m:sSubSup>
        <m:r>
          <m:rPr>
            <m:sty m:val="p"/>
          </m:rPr>
          <m:t>+</m:t>
        </m:r>
        <m:sSub>
          <m:e>
            <m:r>
              <m:t>λ</m:t>
            </m:r>
          </m:e>
          <m:sub>
            <m:r>
              <m:rPr>
                <m:sty m:val="p"/>
              </m:rPr>
              <m:t>sparse</m:t>
            </m:r>
          </m:sub>
        </m:sSub>
        <m:r>
          <m:rPr>
            <m:sty m:val="p"/>
          </m:rPr>
          <m:t>·</m:t>
        </m:r>
        <m:sSub>
          <m:e>
            <m:r>
              <m:t>L</m:t>
            </m:r>
          </m:e>
          <m:sub>
            <m:r>
              <m:rPr>
                <m:sty m:val="p"/>
              </m:rPr>
              <m:t>sparse</m:t>
            </m:r>
          </m:sub>
        </m:sSub>
        <m:r>
          <m:rPr>
            <m:sty m:val="p"/>
          </m:rPr>
          <m:t>+</m:t>
        </m:r>
        <m:sSub>
          <m:e>
            <m:r>
              <m:t>λ</m:t>
            </m:r>
          </m:e>
          <m:sub>
            <m:r>
              <m:rPr>
                <m:sty m:val="p"/>
              </m:rPr>
              <m:t>consist</m:t>
            </m:r>
          </m:sub>
        </m:sSub>
        <m:r>
          <m:rPr>
            <m:sty m:val="p"/>
          </m:rPr>
          <m:t>·</m:t>
        </m:r>
        <m:sSub>
          <m:e>
            <m:r>
              <m:t>L</m:t>
            </m:r>
          </m:e>
          <m:sub>
            <m:r>
              <m:rPr>
                <m:sty m:val="p"/>
              </m:rPr>
              <m:t>consist</m:t>
            </m:r>
          </m:sub>
        </m:sSub>
        <m:r>
          <m:rPr>
            <m:sty m:val="p"/>
          </m:rPr>
          <m:t>.</m:t>
        </m:r>
      </m:oMath>
    </w:p>
    <w:p>
      <w:r>
        <w:rPr>
          <w:b w:val="0"/>
        </w:rPr>
        <w:t>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spacing w:before="120" w:after="60"/>
      </w:pPr>
      <w:r>
        <w:rPr>
          <w:b/>
        </w:rPr>
        <w:t>2.7. Evaluation protocol</w:t>
      </w:r>
    </w:p>
    <w:p>
      <w:r>
        <w:rPr>
          <w:b w:val="0"/>
        </w:rPr>
        <w:t xml:space="preserve">We used stratified 5-fold cross-validation within each TCGA cohort (fold-stratified on the event indicator; random seed 42). The concordance index </w:t>
      </w:r>
      <w:r>
        <w:t>[</w:t>
      </w:r>
      <w:r>
        <w:fldChar w:fldCharType="begin"/>
      </w:r>
      <w:r>
        <w:instrText xml:space="preserve"> REF ref2 \h </w:instrText>
      </w:r>
      <w:r>
        <w:fldChar w:fldCharType="separate"/>
      </w:r>
      <w:r>
        <w:t>2</w:t>
      </w:r>
      <w:r>
        <w:fldChar w:fldCharType="end"/>
      </w:r>
      <w:r>
        <w:t>,</w:t>
      </w:r>
      <w:r>
        <w:fldChar w:fldCharType="begin"/>
      </w:r>
      <w:r>
        <w:instrText xml:space="preserve"> REF ref29 \h </w:instrText>
      </w:r>
      <w:r>
        <w:fldChar w:fldCharType="separate"/>
      </w:r>
      <w:r>
        <w:t>29</w:t>
      </w:r>
      <w:r>
        <w:fldChar w:fldCharType="end"/>
      </w:r>
      <w:r>
        <w:t>]</w:t>
      </w:r>
      <w:r>
        <w:rPr>
          <w:b w:val="0"/>
        </w:rPr>
        <w:t xml:space="preserve"> served as the primary discrimination metric; the time-dependent AUC </w:t>
      </w:r>
      <w:r>
        <w:t>[</w:t>
      </w:r>
      <w:r>
        <w:fldChar w:fldCharType="begin"/>
      </w:r>
      <w:r>
        <w:instrText xml:space="preserve"> REF ref30 \h </w:instrText>
      </w:r>
      <w:r>
        <w:fldChar w:fldCharType="separate"/>
      </w:r>
      <w:r>
        <w:t>30</w:t>
      </w:r>
      <w:r>
        <w:fldChar w:fldCharType="end"/>
      </w:r>
      <w:r>
        <w:t>]</w:t>
      </w:r>
      <w:r>
        <w:rPr>
          <w:b w:val="0"/>
        </w:rPr>
        <w:t xml:space="preserve"> (mean over the 0.25/0.50/0.75 quantile times) was used as a secondary metric. For external validation, each model was retrained on the full TCGA cohort and evaluated on the GEO cohorts without any fine-tuning, following current recommendations for validating prognostic models </w:t>
      </w:r>
      <w:r>
        <w:t>[</w:t>
      </w:r>
      <w:r>
        <w:fldChar w:fldCharType="begin"/>
      </w:r>
      <w:r>
        <w:instrText xml:space="preserve"> REF ref31 \h </w:instrText>
      </w:r>
      <w:r>
        <w:fldChar w:fldCharType="separate"/>
      </w:r>
      <w:r>
        <w:t>31</w:t>
      </w:r>
      <w:r>
        <w:fldChar w:fldCharType="end"/>
      </w:r>
      <w:r>
        <w:t>]</w:t>
      </w:r>
      <w:r>
        <w:rPr>
          <w:b w:val="0"/>
        </w:rPr>
        <w:t xml:space="preserve">. Paired Wilcoxon signed-rank tests (per-dataset mean C-index, internal CV) were used to compare Path-AGNN-Cox against each baseline. Decision-curve analysis </w:t>
      </w:r>
      <w:r>
        <w:t>[</w:t>
      </w:r>
      <w:r>
        <w:fldChar w:fldCharType="begin"/>
      </w:r>
      <w:r>
        <w:instrText xml:space="preserve"> REF ref32 \h </w:instrText>
      </w:r>
      <w:r>
        <w:fldChar w:fldCharType="separate"/>
      </w:r>
      <w:r>
        <w:t>32</w:t>
      </w:r>
      <w:r>
        <w:fldChar w:fldCharType="end"/>
      </w:r>
      <w:r>
        <w:t>]</w:t>
      </w:r>
      <w:r>
        <w:rPr>
          <w:b w:val="0"/>
        </w:rPr>
        <w:t xml:space="preserve">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w:t>
      </w:r>
      <w:r>
        <w:t>[</w:t>
      </w:r>
      <w:r>
        <w:fldChar w:fldCharType="begin"/>
      </w:r>
      <w:r>
        <w:instrText xml:space="preserve"> REF ref33 \h </w:instrText>
      </w:r>
      <w:r>
        <w:fldChar w:fldCharType="separate"/>
      </w:r>
      <w:r>
        <w:t>33</w:t>
      </w:r>
      <w:r>
        <w:fldChar w:fldCharType="end"/>
      </w:r>
      <w:r>
        <w:t>]</w:t>
      </w:r>
      <w:r>
        <w:rPr>
          <w:b w:val="0"/>
        </w:rPr>
        <w:t>.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https://github.com/ZhongdaHospital-SEU/Path-AGNN-Cox. Model hyperparameters and baseline configurations are summarized in Table 2. All deep models were trained on CPU with Adam; the full benchmark consumed approximately 1,500 CPU-hours.</w:t>
      </w:r>
    </w:p>
    <w:p>
      <w:r>
        <w:rPr>
          <w:b w:val="0"/>
        </w:rPr>
        <w:t>The complete estimation and inference workflow is summarized below.</w:t>
      </w:r>
    </w:p>
    <w:p>
      <w:r>
        <w:rPr>
          <w:b/>
        </w:rPr>
        <w:t>Algorithm 1</w:t>
      </w:r>
      <w:r>
        <w:rPr>
          <w:b w:val="0"/>
        </w:rPr>
        <w:t xml:space="preserve"> Training and patient-specific pathway-rewiring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and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at the median predicted risk</w:t>
      </w:r>
    </w:p>
    <w:p>
      <w:pPr>
        <w:spacing w:after="0"/>
      </w:pPr>
      <w:r>
        <w:rPr>
          <w:rFonts w:ascii="Consolas" w:hAnsi="Consolas"/>
          <w:sz w:val="19"/>
        </w:rPr>
        <w:t>8: for each pathway k do</w:t>
      </w:r>
    </w:p>
    <w:p>
      <w:pPr>
        <w:spacing w:after="0"/>
      </w:pPr>
      <w:r>
        <w:rPr>
          <w:rFonts w:ascii="Consolas" w:hAnsi="Consolas"/>
          <w:sz w:val="19"/>
        </w:rPr>
        <w:t>9:   compute the per-sample mean edge weight within pathway k; compare high- versus low-risk strata with a two-sided Mann-Whitney U test, retaining Cohen's d and the standardized U statistic z</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1,000 risk-label permutations to obtain the null count</w:t>
      </w:r>
    </w:p>
    <w:p>
      <w:pPr>
        <w:spacing w:before="120" w:after="60"/>
      </w:pPr>
      <w:r>
        <w:rPr>
          <w:b/>
        </w:rP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spacing w:before="120" w:after="60"/>
      </w:pPr>
      <w:r>
        <w:rPr>
          <w:b/>
        </w:rPr>
        <w:t>2.9. Implementation details and complexity</w:t>
      </w:r>
    </w:p>
    <w:p>
      <w:r>
        <w:rPr>
          <w:b w:val="0"/>
        </w:rPr>
        <w:t xml:space="preserve">Path-AGNN-Cox was implemented in Python 3.10 with PyTorch </w:t>
      </w:r>
      <w:r>
        <w:t>[</w:t>
      </w:r>
      <w:r>
        <w:fldChar w:fldCharType="begin"/>
      </w:r>
      <w:r>
        <w:instrText xml:space="preserve"> REF ref34 \h </w:instrText>
      </w:r>
      <w:r>
        <w:fldChar w:fldCharType="separate"/>
      </w:r>
      <w:r>
        <w:t>34</w:t>
      </w:r>
      <w:r>
        <w:fldChar w:fldCharType="end"/>
      </w:r>
      <w:r>
        <w:t>]</w:t>
      </w:r>
      <w:r>
        <w:rPr>
          <w:b w:val="0"/>
        </w:rPr>
        <w:t xml:space="preserve"> on CPU, and all survival statistics were computed with lifelines </w:t>
      </w:r>
      <w:r>
        <w:t>[</w:t>
      </w:r>
      <w:r>
        <w:fldChar w:fldCharType="begin"/>
      </w:r>
      <w:r>
        <w:instrText xml:space="preserve"> REF ref35 \h </w:instrText>
      </w:r>
      <w:r>
        <w:fldChar w:fldCharType="separate"/>
      </w:r>
      <w:r>
        <w:t>35</w:t>
      </w:r>
      <w:r>
        <w:fldChar w:fldCharType="end"/>
      </w:r>
      <w:r>
        <w:t>]</w:t>
      </w:r>
      <w:r>
        <w:rPr>
          <w:b w:val="0"/>
        </w:rPr>
        <w:t xml:space="preserve">; cross-validation splits and tree baselines were implemented with scikit-learn </w:t>
      </w:r>
      <w:r>
        <w:t>[</w:t>
      </w:r>
      <w:r>
        <w:fldChar w:fldCharType="begin"/>
      </w:r>
      <w:r>
        <w:instrText xml:space="preserve"> REF ref36 \h </w:instrText>
      </w:r>
      <w:r>
        <w:fldChar w:fldCharType="separate"/>
      </w:r>
      <w:r>
        <w:t>36</w:t>
      </w:r>
      <w:r>
        <w:fldChar w:fldCharType="end"/>
      </w:r>
      <w:r>
        <w:t>]</w:t>
      </w:r>
      <w:r>
        <w:rPr>
          <w:b w:val="0"/>
        </w:rPr>
        <w:t>.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spacing w:before="120" w:after="60"/>
      </w:pPr>
      <w:r>
        <w:rPr>
          <w:b/>
        </w:rP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 xml:space="preserve">hidden </w:t>
            </w:r>
            <w:r>
              <w:t>[</w:t>
            </w:r>
            <w:r>
              <w:fldChar w:fldCharType="begin"/>
            </w:r>
            <w:r>
              <w:instrText xml:space="preserve"> REF ref32 \h </w:instrText>
            </w:r>
            <w:r>
              <w:fldChar w:fldCharType="separate"/>
            </w:r>
            <w:r>
              <w:t>32</w:t>
            </w:r>
            <w:r>
              <w:fldChar w:fldCharType="end"/>
            </w:r>
            <w:r>
              <w:t>,</w:t>
            </w:r>
            <w:r>
              <w:fldChar w:fldCharType="begin"/>
            </w:r>
            <w:r>
              <w:instrText xml:space="preserve"> REF ref16 \h </w:instrText>
            </w:r>
            <w:r>
              <w:fldChar w:fldCharType="separate"/>
            </w:r>
            <w:r>
              <w:t>16</w:t>
            </w:r>
            <w:r>
              <w:fldChar w:fldCharType="end"/>
            </w:r>
            <w:r>
              <w:t>]</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 xml:space="preserve">hidden </w:t>
            </w:r>
            <w:r>
              <w:rPr>
                <w:b w:val="0"/>
              </w:rPr>
              <w:t>[64]</w:t>
            </w:r>
            <w:r>
              <w:rPr>
                <w:b w:val="0"/>
              </w:rPr>
              <w:t>, dropout 0.0</w:t>
            </w:r>
          </w:p>
        </w:tc>
      </w:tr>
    </w:tbl>
    <w:p>
      <w:pPr>
        <w:spacing w:before="120" w:after="60"/>
      </w:pPr>
      <w:r>
        <w:rPr>
          <w:b/>
        </w:rPr>
        <w:t>3. Results</w:t>
      </w:r>
    </w:p>
    <w:p>
      <w:pPr>
        <w:spacing w:before="120" w:after="60"/>
      </w:pPr>
      <w:r>
        <w:rPr>
          <w:b/>
        </w:rP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the deep models clustered within a narrow band, whereas Path-AGNN-Cox fell below it (Δ=-0.05 vs. DeepSurv (Wilcoxon P=0.024); Δ=-0.05 vs. Cox-nnet (Wilcoxon P=0.024); Δ=-0.02 vs. RSF (Wilcoxon P=0.102);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spacing w:before="120" w:after="60"/>
      </w:pPr>
      <w:r>
        <w:rPr>
          <w:b/>
        </w:rP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spacing w:before="120" w:after="60"/>
      </w:pPr>
      <w:r>
        <w:rPr>
          <w:b/>
        </w:rP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spacing w:before="120" w:after="60"/>
      </w:pPr>
      <w:r>
        <w:rPr>
          <w:b/>
        </w:rP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spacing w:before="120" w:after="60"/>
      </w:pPr>
      <w:r>
        <w:rPr>
          <w:b/>
        </w:rP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spacing w:before="120" w:after="60"/>
      </w:pPr>
      <w:r>
        <w:rPr>
          <w:b/>
        </w:rPr>
        <w:t>3.3. External validation across 25 GEO cohorts</w:t>
      </w:r>
    </w:p>
    <w:p>
      <w:r>
        <w:rPr>
          <w:b w:val="0"/>
        </w:rPr>
        <w:t xml:space="preserve">Per-cohort results are summarized in Table 4 and Figure 4. Path-AGNN-Cox maintained C-index above 0.50 in 12/25 external cohorts, compared with 25 for the best baseline. The model transferred relatively consistently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w:t>
      </w:r>
      <w:r>
        <w:t>[</w:t>
      </w:r>
      <w:r>
        <w:fldChar w:fldCharType="begin"/>
      </w:r>
      <w:r>
        <w:instrText xml:space="preserve"> REF ref23 \h </w:instrText>
      </w:r>
      <w:r>
        <w:fldChar w:fldCharType="separate"/>
      </w:r>
      <w:r>
        <w:t>23</w:t>
      </w:r>
      <w:r>
        <w:fldChar w:fldCharType="end"/>
      </w:r>
      <w:r>
        <w:t>,</w:t>
      </w:r>
      <w:r>
        <w:fldChar w:fldCharType="begin"/>
      </w:r>
      <w:r>
        <w:instrText xml:space="preserve"> REF ref37 \h </w:instrText>
      </w:r>
      <w:r>
        <w:fldChar w:fldCharType="separate"/>
      </w:r>
      <w:r>
        <w:t>37</w:t>
      </w:r>
      <w:r>
        <w:fldChar w:fldCharType="end"/>
      </w:r>
      <w:r>
        <w:t>]</w:t>
      </w:r>
      <w:r>
        <w:rPr>
          <w:b w:val="0"/>
        </w:rPr>
        <w:t>, whereas Path-AGNN-Cox was validated in 25 independent cohorts spanning 11 tumor types.</w:t>
      </w:r>
    </w:p>
    <w:p>
      <w:r>
        <w:rPr>
          <w:b w:val="0"/>
        </w:rPr>
        <w:t xml:space="preserve">Calibration of the risk score </w:t>
      </w:r>
      <w:r>
        <w:t>[</w:t>
      </w:r>
      <w:r>
        <w:fldChar w:fldCharType="begin"/>
      </w:r>
      <w:r>
        <w:instrText xml:space="preserve"> REF ref38 \h </w:instrText>
      </w:r>
      <w:r>
        <w:fldChar w:fldCharType="separate"/>
      </w:r>
      <w:r>
        <w:t>38</w:t>
      </w:r>
      <w:r>
        <w:fldChar w:fldCharType="end"/>
      </w:r>
      <w:r>
        <w:t>]</w:t>
      </w:r>
      <w:r>
        <w:rPr>
          <w:b w:val="0"/>
        </w:rPr>
        <w:t xml:space="preserve">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 The internal slopes near zero in LUAD and BRCA indicate that the risk score is poorly calibrated on the absolute risk scale even where rank discrimination exists, and the low external slopes imply that absolute risk magnitudes transfer only weakly; discrimination and calibration are therefore reported separately, and no claim of absolute risk accuracy is made.</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spacing w:before="120" w:after="60"/>
      </w:pPr>
      <w:r>
        <w:rPr>
          <w:b/>
        </w:rP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spacing w:before="120" w:after="60"/>
      </w:pPr>
      <w:r>
        <w:rPr>
          <w:b/>
        </w:rPr>
        <w:t>3.4. Path-AGNN-Cox produces statistically testable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spacing w:before="120" w:after="60"/>
      </w:pPr>
      <w:r>
        <w:rPr>
          <w:b/>
        </w:rP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The stratification is the model's own risk split, and its validity as a survival stratification differed across cohorts (internal C-index 0.49 in LUAD, 0.58 in BRCA and 0.63 in KIRC); the near-chance LUAD score is carried through the interpretation of the between-stratum tests below.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pseudo-pathways in LUAD, compared with 2 for the canonical KEGG partition. The count of significant pathways is therefore not directly comparable across partitions, and between-stratum attention differences do not require the canonical grouping; the contrast may indicate that the canonical pathway structure attenuates attention variation relative to arbitrary groupings, or that the permutation calibration behaves differently for pseudo-pathway blocks, and the present design cannot fully separate these explanations. The canonical partition is retained as a biological labeling device rather than a statistical necessity; the matched-set analyses of Section 3.4.1, which condition on the canonical partition while controlling for edge and density structure, remain the basis for pathway-level claims, and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w:t>
      </w:r>
      <w:r>
        <w:t>[</w:t>
      </w:r>
      <w:r>
        <w:fldChar w:fldCharType="begin"/>
      </w:r>
      <w:r>
        <w:instrText xml:space="preserve"> REF ref39 \h </w:instrText>
      </w:r>
      <w:r>
        <w:fldChar w:fldCharType="separate"/>
      </w:r>
      <w:r>
        <w:t>39</w:t>
      </w:r>
      <w:r>
        <w:fldChar w:fldCharType="end"/>
      </w:r>
      <w:r>
        <w:t>]</w:t>
      </w:r>
      <w:r>
        <w:rPr>
          <w:b w:val="0"/>
        </w:rPr>
        <w:t xml:space="preserve">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w:t>
      </w:r>
      <w:r>
        <w:t>[</w:t>
      </w:r>
      <w:r>
        <w:fldChar w:fldCharType="begin"/>
      </w:r>
      <w:r>
        <w:instrText xml:space="preserve"> REF ref40 \h </w:instrText>
      </w:r>
      <w:r>
        <w:fldChar w:fldCharType="separate"/>
      </w:r>
      <w:r>
        <w:t>40</w:t>
      </w:r>
      <w:r>
        <w:fldChar w:fldCharType="end"/>
      </w:r>
      <w:r>
        <w:t>]</w:t>
      </w:r>
      <w:r>
        <w:rPr>
          <w:b w:val="0"/>
        </w:rPr>
        <w:t xml:space="preserve">,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As an additional exploratory check, we scored the same cohort with a BLCA prognosis-associated rewiring template, using the correlation-difference projection described in Section 3.4.5. The template score was higher in responders than in non-responders (Hedges g = 0.31, Wilcoxon P=0.019, n = 68/230) and exceeded 96.2% of 2,850 equal-size random gene-set controls. A second urothelial ICB cohort, GSE176307 (n = 87, 16 responders), showed the same direction with the BLCA template (Hedges g = 0.20, Wilcoxon P=0.588). A third urothelial cohort, GSE225066 (NEODURVARIB, n = 16 pre-treatment biopsies; neoadjuvant durvalumab plus olaparib; pathological response), showed no association beyond random gene-set controls (Hedges g = 0.05, Wilcoxon P=1.000, random-control percentile 79.9%). A fourth urothelial cohort, GSE298296 (n = 82, 49 responders; perioperative TURBT biopsies), was directionally consistent with the template but not individually significant (Hedges g = 0.22, Wilcoxon P=0.596) and fell within its random gene-set null (12.4th percentile of 2,850). The prespecified fixed-effect combination of the four BLCA-template cohorts was significant (g = 0.26, 95% CI 0.05–0.47, P=0.015, I2 = 0%), with the signal carried by IMvigor210; the two RECIST-assessed cohorts alone remained significant (g = 0.28, 95% CI 0.04–0.53, P=0.022, I2 = 0%). At the single-cohort level, none of the seven cohort-level tests survived BH-FDR correction across cohorts, templates and strata (smallest q = 0.134); the meta-analysis was therefore the sole prespecified ICB-level test, with the stratified analyses treated as sensitivity checks. Among the four anti-PD-1/PD-L1 cohorts, the combined effect was g = 0.25 (95% CI 0.03–0.47, P=0.025, I2 = 0%), whereas including the anti-CTLA-4 cohort GSE100797 removed the significance (P=0.166). The IMvigor210 association exceeded 96.2% of random gene-set controls and the GSE176307 association reached 87.4%, so the combined evidence is directionally consistent but remains exploratory. In three melanoma ICB cohorts, GSE91061, GSE78220 and GSE100797, the corresponding SKCM-based template showed no association beyond random gene-set controls (Wilcoxon P=0.682, P=0.393 and P=0.174; random-control percentiles 48.9%, 71.1% and 19.4%). As a timepoint sensitivity check in GSE91061, we re-scored the 42 on-treatment biopsies with patient-level response annotation. The nominally inverse association between the SKCM template score and response (Hedges g = -0.50, Wilcoxon P=0.032) fell within the equal-size random gene-set null (38.5th percentile of 2,850 controls), and the paired pre-to-on-treatment change in template score did not differ between responders and non-responders (Hedges g = -0.79, Wilcoxon P=0.081, random-control percentile 8.5%), indicating no additional evidence at the on-treatment timepoint. These analyses were exploratory and were not corrected for multiple testing across cohorts and templates; the positive result in IMvigor210 together with the null results in the melanoma cohorts indicates a cohort-dependent association between rewiring and ICB response that requires prospective validation. Within IMvigor210, this association was concentrated in the low-TMB stratum: among patients with TMB below the median, the template score was higher in responders than in non-responders (mean difference 0.85 SD, Wilcoxon P=0.004, n = 114), whereas no association was present in the high-TMB stratum (P=0.919, n = 120). In the low-TMB stratum, patients with high template scores showed a response rate of 18.4% compared with 6.9% in the low-score group (Fisher exact P=0.032, OR = 3.06). The association was also present within the IC1 immune-cell stratum (Wilcoxon P=0.045) and directionally consistent in IC0 and IC2 (P=0.178 and P=0.087). These stratified analyses are exploratory and were not corrected for multiple testing.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w:t>
      </w:r>
      <w:r>
        <w:t>[</w:t>
      </w:r>
      <w:r>
        <w:fldChar w:fldCharType="begin"/>
      </w:r>
      <w:r>
        <w:instrText xml:space="preserve"> REF ref41 \h </w:instrText>
      </w:r>
      <w:r>
        <w:fldChar w:fldCharType="separate"/>
      </w:r>
      <w:r>
        <w:t>41</w:t>
      </w:r>
      <w:r>
        <w:fldChar w:fldCharType="end"/>
      </w:r>
      <w:r>
        <w:t>]</w:t>
      </w:r>
      <w:r>
        <w:rPr>
          <w:b w:val="0"/>
        </w:rPr>
        <w:t xml:space="preserve">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spacing w:before="120" w:after="60"/>
      </w:pPr>
      <w:r>
        <w:rPr>
          <w:b/>
        </w:rP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380449"/>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380449"/>
                    </a:xfrm>
                    <a:prstGeom prst="rect"/>
                  </pic:spPr>
                </pic:pic>
              </a:graphicData>
            </a:graphic>
          </wp:inline>
        </w:drawing>
      </w:r>
    </w:p>
    <w:p>
      <w:pPr>
        <w:spacing w:after="200"/>
      </w:pPr>
      <w:r>
        <w:rPr>
          <w:b/>
        </w:rPr>
        <w:t xml:space="preserve">Figure 6. </w:t>
      </w:r>
      <w:r>
        <w:rPr>
          <w:b w:val="0"/>
        </w:rPr>
        <w:t>IMvigor210 anti-PD-L1 cohort and template transfer (exploratory).** (A) Per-patient rewiring magnitude in responders (CR/PR) vs non-responders (SD/PD); Wilcoxon rank-sum test. (B) Overall survival of high- vs low-rewiring strata (median split) with log-rank test. (C) Ki-67 expression vs rewiring magnitude with Spearman correlation. (D) Template-transfer OS validation: per-cohort hazard ratios of high versus low template score in BRCA, KIRC and LUAD GEO cohorts, with fixed-effect estimates per cancer type; dashed line at HR = 1.0.</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 As a complementary transfer test, we applied the same correlation-difference templates used for the ICB analysis (Section 3.4.3) to the GEO cohorts and tested whether the per-patient template score was associated with OS (Figure 6D). The BRCA template score was not associated with OS in any evaluable GEO cohort (GSE20685 (HR 1.05, 95% CI 0.68–1.62, P=0.815; n=327); GSE21653 (HR 1.03, 95% CI 0.66–1.61, P=0.894; n=248); GSE7390 (HR 1.08, 95% CI 0.64–1.82, P=0.778; n=198); fixed-effect HR 1.05, P=0.712)  The KIRC template score was not associated with OS in any evaluable GEO cohort (GSE29609 (HR 0.52, 95% CI 0.20–1.37, P=0.185; n=39); fixed-effect HR 0.52, P=0.185)  The LUAD template score was associated with OS in one of three cohorts (GSE31210 (HR 2.17, 95% CI 1.08–4.36, P=0.030; n=226); GSE50081 (HR 1.42, 95% CI 0.90–2.25, P=0.133; n=181); GSE68465 (HR 1.05, 95% CI 0.81–1.36, P=0.707; n=442)), with a weighted meta z of 1.27 (P=0.203) across cohorts;  Template transfer therefore provided no evidence of a portable rewiring signal in BRCA and limited, cohort-dependent evidence in LUAD, consistent with the magnitude-based results above.</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spacing w:before="120" w:after="60"/>
      </w:pPr>
      <w:r>
        <w:rPr>
          <w:b/>
        </w:rPr>
        <w:t>3.5. Immune infiltration and predicted drug sensitivity (exploratory)</w:t>
      </w:r>
    </w:p>
    <w:p>
      <w:r>
        <w:rPr>
          <w:b w:val="0"/>
        </w:rPr>
        <w:t xml:space="preserve">To connect patient-specific rewiring to the tumor microenvironment and to therapeutic vulnerability, we computed MCP-counter immune cell abundance estimates </w:t>
      </w:r>
      <w:r>
        <w:t>[</w:t>
      </w:r>
      <w:r>
        <w:fldChar w:fldCharType="begin"/>
      </w:r>
      <w:r>
        <w:instrText xml:space="preserve"> REF ref42 \h </w:instrText>
      </w:r>
      <w:r>
        <w:fldChar w:fldCharType="separate"/>
      </w:r>
      <w:r>
        <w:t>42</w:t>
      </w:r>
      <w:r>
        <w:fldChar w:fldCharType="end"/>
      </w:r>
      <w:r>
        <w:t>]</w:t>
      </w:r>
      <w:r>
        <w:rPr>
          <w:b w:val="0"/>
        </w:rPr>
        <w:t xml:space="preserve"> and ssGSEA scores of nine immune Hallmark gene sets </w:t>
      </w:r>
      <w:r>
        <w:t>[</w:t>
      </w:r>
      <w:r>
        <w:fldChar w:fldCharType="begin"/>
      </w:r>
      <w:r>
        <w:instrText xml:space="preserve"> REF ref43 \h </w:instrText>
      </w:r>
      <w:r>
        <w:fldChar w:fldCharType="separate"/>
      </w:r>
      <w:r>
        <w:t>43</w:t>
      </w:r>
      <w:r>
        <w:fldChar w:fldCharType="end"/>
      </w:r>
      <w:r>
        <w:t>,</w:t>
      </w:r>
      <w:r>
        <w:fldChar w:fldCharType="begin"/>
      </w:r>
      <w:r>
        <w:instrText xml:space="preserve"> REF ref44 \h </w:instrText>
      </w:r>
      <w:r>
        <w:fldChar w:fldCharType="separate"/>
      </w:r>
      <w:r>
        <w:t>44</w:t>
      </w:r>
      <w:r>
        <w:fldChar w:fldCharType="end"/>
      </w:r>
      <w:r>
        <w:t>]</w:t>
      </w:r>
      <w:r>
        <w:rPr>
          <w:b w:val="0"/>
        </w:rPr>
        <w:t xml:space="preserve">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 xml:space="preserve">We further predicted drug sensitivity with the oncoPredict model </w:t>
      </w:r>
      <w:r>
        <w:t>[</w:t>
      </w:r>
      <w:r>
        <w:fldChar w:fldCharType="begin"/>
      </w:r>
      <w:r>
        <w:instrText xml:space="preserve"> REF ref45 \h </w:instrText>
      </w:r>
      <w:r>
        <w:fldChar w:fldCharType="separate"/>
      </w:r>
      <w:r>
        <w:t>45</w:t>
      </w:r>
      <w:r>
        <w:fldChar w:fldCharType="end"/>
      </w:r>
      <w:r>
        <w:t>]</w:t>
      </w:r>
      <w:r>
        <w:rPr>
          <w:b w:val="0"/>
        </w:rPr>
        <w:t xml:space="preserve"> trained on GDSC2 cell-line pharmacogenomic data </w:t>
      </w:r>
      <w:r>
        <w:t>[</w:t>
      </w:r>
      <w:r>
        <w:fldChar w:fldCharType="begin"/>
      </w:r>
      <w:r>
        <w:instrText xml:space="preserve"> REF ref46 \h </w:instrText>
      </w:r>
      <w:r>
        <w:fldChar w:fldCharType="separate"/>
      </w:r>
      <w:r>
        <w:t>46</w:t>
      </w:r>
      <w:r>
        <w:fldChar w:fldCharType="end"/>
      </w:r>
      <w:r>
        <w:t>]</w:t>
      </w:r>
      <w:r>
        <w:rPr>
          <w:b w:val="0"/>
        </w:rPr>
        <w:t xml:space="preserve">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spacing w:before="120" w:after="60"/>
      </w:pPr>
      <w:r>
        <w:rPr>
          <w:b/>
        </w:rP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spacing w:before="120" w:after="60"/>
      </w:pPr>
      <w:r>
        <w:rPr>
          <w:b/>
        </w:rPr>
        <w:t>4. Discussion</w:t>
      </w:r>
    </w:p>
    <w:p>
      <w:r>
        <w:rPr>
          <w:b w:val="0"/>
        </w:rPr>
        <w:t xml:space="preserve">The conceptual contribution of this work is a framework rather than a module tweak. Existing pathway GNNs, including PathGNN </w:t>
      </w:r>
      <w:r>
        <w:t>[</w:t>
      </w:r>
      <w:r>
        <w:fldChar w:fldCharType="begin"/>
      </w:r>
      <w:r>
        <w:instrText xml:space="preserve"> REF ref20 \h </w:instrText>
      </w:r>
      <w:r>
        <w:fldChar w:fldCharType="separate"/>
      </w:r>
      <w:r>
        <w:t>20</w:t>
      </w:r>
      <w:r>
        <w:fldChar w:fldCharType="end"/>
      </w:r>
      <w:r>
        <w:t>]</w:t>
      </w:r>
      <w:r>
        <w:rPr>
          <w:b w:val="0"/>
        </w:rPr>
        <w:t xml:space="preserve">, Cox-Path </w:t>
      </w:r>
      <w:r>
        <w:t>[</w:t>
      </w:r>
      <w:r>
        <w:fldChar w:fldCharType="begin"/>
      </w:r>
      <w:r>
        <w:instrText xml:space="preserve"> REF ref21 \h </w:instrText>
      </w:r>
      <w:r>
        <w:fldChar w:fldCharType="separate"/>
      </w:r>
      <w:r>
        <w:t>21</w:t>
      </w:r>
      <w:r>
        <w:fldChar w:fldCharType="end"/>
      </w:r>
      <w:r>
        <w:t>]</w:t>
      </w:r>
      <w:r>
        <w:rPr>
          <w:b w:val="0"/>
        </w:rPr>
        <w:t xml:space="preserve">, prior-knowledge-guided multilevel GNNs </w:t>
      </w:r>
      <w:r>
        <w:t>[</w:t>
      </w:r>
      <w:r>
        <w:fldChar w:fldCharType="begin"/>
      </w:r>
      <w:r>
        <w:instrText xml:space="preserve"> REF ref22 \h </w:instrText>
      </w:r>
      <w:r>
        <w:fldChar w:fldCharType="separate"/>
      </w:r>
      <w:r>
        <w:t>22</w:t>
      </w:r>
      <w:r>
        <w:fldChar w:fldCharType="end"/>
      </w:r>
      <w:r>
        <w:t>]</w:t>
      </w:r>
      <w:r>
        <w:rPr>
          <w:b w:val="0"/>
        </w:rPr>
        <w:t xml:space="preserve">, and the multi-omics PathMoG </w:t>
      </w:r>
      <w:r>
        <w:t>[</w:t>
      </w:r>
      <w:r>
        <w:fldChar w:fldCharType="begin"/>
      </w:r>
      <w:r>
        <w:instrText xml:space="preserve"> REF ref23 \h </w:instrText>
      </w:r>
      <w:r>
        <w:fldChar w:fldCharType="separate"/>
      </w:r>
      <w:r>
        <w:t>23</w:t>
      </w:r>
      <w:r>
        <w:fldChar w:fldCharType="end"/>
      </w:r>
      <w:r>
        <w:t>]</w:t>
      </w:r>
      <w:r>
        <w:rPr>
          <w:b w:val="0"/>
        </w:rPr>
        <w:t xml:space="preserve">, treat the pathway graph as a fixed patient-invariant prior and stop at the risk score. We instead treat the effective graph as a per-patient object and provide the statistical machinery to interrogate its rewiring: edge-level and pathway-level tests with BH-FDR control </w:t>
      </w:r>
      <w:r>
        <w:t>[</w:t>
      </w:r>
      <w:r>
        <w:fldChar w:fldCharType="begin"/>
      </w:r>
      <w:r>
        <w:instrText xml:space="preserve"> REF ref33 \h </w:instrText>
      </w:r>
      <w:r>
        <w:fldChar w:fldCharType="separate"/>
      </w:r>
      <w:r>
        <w:t>33</w:t>
      </w:r>
      <w:r>
        <w:fldChar w:fldCharType="end"/>
      </w:r>
      <w:r>
        <w:t>]</w:t>
      </w:r>
      <w:r>
        <w:rPr>
          <w:b w:val="0"/>
        </w:rPr>
        <w:t xml:space="preserve">, label-permutation nulls, a static-model negative control, a standard-GAT architectural control, and clinical anchoring. On external cohorts the discrimination of the adaptive model was comparable to the deep survival baselines, and internally it was lower, significantly so relative to penalized Cox and the deep neural baselines; we make no claim that per-patient attention improves the C-index; its distinguishing value is that the learned patient-specific edge weights can be formally tested, are clinically anchored to Ki-67 and TMB </w:t>
      </w:r>
      <w:r>
        <w:t>[</w:t>
      </w:r>
      <w:r>
        <w:fldChar w:fldCharType="begin"/>
      </w:r>
      <w:r>
        <w:instrText xml:space="preserve"> REF ref39 \h </w:instrText>
      </w:r>
      <w:r>
        <w:fldChar w:fldCharType="separate"/>
      </w:r>
      <w:r>
        <w:t>39</w:t>
      </w:r>
      <w:r>
        <w:fldChar w:fldCharType="end"/>
      </w:r>
      <w:r>
        <w:t>]</w:t>
      </w:r>
      <w:r>
        <w:rPr>
          <w:b w:val="0"/>
        </w:rPr>
        <w:t>,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 The internal performance gap has a plausible mechanistic basis: the pathway constraint restricts the input to 53 KEGG modules, and the dropout and consistency terms further limit effective capacity, whereas penalized Cox and the deep baselines fit the full expression vector without these constraints. On single-transcriptome data with moderate effect sizes, that restriction seemingly costs discrimination while purchasing a structured, testable attention output. The external pattern is consistent with this reading: the deep baselines fell to 0.50 on average across 25 GEO cohorts, essentially the level of Path-AGNN-Cox (0.51), whereas penalized Cox retained the highest external mean (0.57), suggesting that a linear, sparsity-controlled expression-to-risk mapping remains the most portable representation in these data.</w:t>
      </w:r>
    </w:p>
    <w:p>
      <w:r>
        <w:rPr>
          <w:b/>
        </w:rPr>
        <w:t>Comparison with PathMoG.</w:t>
      </w:r>
      <w:r>
        <w:rPr>
          <w:b w:val="0"/>
        </w:rPr>
        <w:t xml:space="preserve"> PathMoG is the closest recent work; it also organizes genes into KEGG pathway modules and uses hierarchical attention for multi-omics survival prediction </w:t>
      </w:r>
      <w:r>
        <w:t>[</w:t>
      </w:r>
      <w:r>
        <w:fldChar w:fldCharType="begin"/>
      </w:r>
      <w:r>
        <w:instrText xml:space="preserve"> REF ref23 \h </w:instrText>
      </w:r>
      <w:r>
        <w:fldChar w:fldCharType="separate"/>
      </w:r>
      <w:r>
        <w:t>23</w:t>
      </w:r>
      <w:r>
        <w:fldChar w:fldCharType="end"/>
      </w:r>
      <w:r>
        <w:t>]</w:t>
      </w:r>
      <w:r>
        <w:rPr>
          <w:b w:val="0"/>
        </w:rPr>
        <w:t xml:space="preserve">.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w:t>
      </w:r>
      <w:r>
        <w:t>[</w:t>
      </w:r>
      <w:r>
        <w:fldChar w:fldCharType="begin"/>
      </w:r>
      <w:r>
        <w:instrText xml:space="preserve"> REF ref37 \h </w:instrText>
      </w:r>
      <w:r>
        <w:fldChar w:fldCharType="separate"/>
      </w:r>
      <w:r>
        <w:t>37</w:t>
      </w:r>
      <w:r>
        <w:fldChar w:fldCharType="end"/>
      </w:r>
      <w:r>
        <w:t>]</w:t>
      </w:r>
      <w:r>
        <w:rPr>
          <w:b w:val="0"/>
        </w:rPr>
        <w:t>;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Comparison with classical and deep survival models.</w:t>
      </w:r>
      <w:r>
        <w:rPr>
          <w:b w:val="0"/>
        </w:rPr>
        <w:t xml:space="preserve"> Relative to penalized Cox, the shared ground is sparsity-oriented regularization; the difference is that Lasso, Ridge and Elastic-Net treat genes as unordered covariates and offer no mechanistic object to interrogate, whereas Path-AGNN-Cox couples a biologically labeled graph to the risk head and exposes its patient-specific variation to testing. Relative to DeepSurv and Cox-nnet, both families learn nonlinear representations, but their internal features are not tied to pre-defined pathways, so even when attention-like quantities exist they cannot support a pathway-level rewiring test; in turn, Path-AGNN-Cox trades part of its internal discrimination for this testable structure. Random survival forests occupy a similar position: splits on individual genes are interpretable as biomarkers yet carry no explicit inter-gene topology. Across all three families, the present benchmark indicates that none of them, including the pathway-constrained variants, improved external C-index over penalized Cox in these data; accordingly, the comparative value of Path-AGNN-Cox lies in the graph-dynamic output rather than in ranking metrics alone.</w:t>
      </w:r>
    </w:p>
    <w:p>
      <w:r>
        <w:rPr>
          <w:b/>
        </w:rPr>
        <w:t>External transfer of rewiring.</w:t>
      </w:r>
      <w:r>
        <w:rPr>
          <w:b w:val="0"/>
        </w:rPr>
        <w:t xml:space="preserve"> The between-stratum rewiring tests are cohort-internal: they indicate that the adaptive weights carry risk-associated structure within the training cohort, and they do not by themselves establish transferability. When TCGA-trained models were applied to independent GEO cohorts of the same cancer type, per-patient rewiring magnitude was not associated with overall survival in any of the seven evaluable cohorts (Section 3.4.5), and the two LUAD pathways that passed the permutation calibration were not replicated at the pathway level in three external LUAD cohorts. A complementary transfer of the correlation-difference templates to the same GEO cohorts likewise showed no OS association in BRCA across three cohorts, no evaluable signal in KIRC beyond a single small cohort, and no significant weighted meta-association in LUAD (P=0.203), indicating that the absence of portable rewiring signal is consistent across two independent scoring paradigms. Three explanations are consistent with these results: the rewiring signal may reflect cohort-specific biological or technical structure that does not generalize; the rewiring magnitude may be too noisy after platform transfer because transferred features are standardized with training statistics; and the external cohorts are comparatively small (226–442 patients, 35–236 events), so modest portable effects, if any, would be difficult to detect at the observed power. The framework therefore does not claim rewiring magnitude as a portable prognostic biomarker; its current scope is the formal testing of patient-specific graph variation within a training cohort, and cross-cohort transfer of rewiring, if it exists, requires platform-matched or harmonized data.</w:t>
      </w:r>
    </w:p>
    <w:p>
      <w:r>
        <w:rPr>
          <w:b/>
        </w:rPr>
        <w:t>Implications and future directions.</w:t>
      </w:r>
      <w:r>
        <w:rPr>
          <w:b w:val="0"/>
        </w:rPr>
        <w:t xml:space="preserve"> Methodologically, the framework converts patient-specific pathway graphs into formal statistical objects; the testing pipeline of label-permutation nulls, matched gene-set controls, architectural controls and clinical anchoring can, in turn, be applied to any survival model that emits per-sample attention over a pre-defined structure. Clinically, the exploratory ICB result suggests a potential, still tentative use case: if the BLCA rewiring template is confirmed in prospective cohorts, it could complement TMB as a response stratifier in the low-TMB subgroup, where the association was concentrated; paired on-treatment biopsies, as profiled in GSE91061, additionally offer a design in which within-patient rewiring dynamics could be monitored over the course of therapy. Several extensions follow from the present limitations. Platform-matched or harmonized external data are needed to separate true non-transferability from technical noise in the rewiring signal. Multi-omics inputs could, moreover, modulate the pathway graph with copy-number and mutation states, thereby testing whether genomic drivers shape the observed attention differences. Single-cell resolution would further map bulk-level rewiring onto cell-type-specific regulatory changes, and perturbation experiments in model systems remain the only route by which the correlational pathway-level associations reported here could be advanced toward causal statements.</w:t>
      </w:r>
    </w:p>
    <w:p>
      <w:r>
        <w:rPr>
          <w:b/>
        </w:rPr>
        <w:t>Limitations.</w:t>
      </w:r>
      <w:r>
        <w:rPr>
          <w:b w:val="0"/>
        </w:rPr>
        <w:t xml:space="preserve"> First, the predictive performance of the adaptive model was significantly below penalized Cox and the deep neural survival baselines on internal CV, and lower than random survival forest without reaching significance, and ablations did not isolate a significant C-index contribution from the adaptive gate, the pathway constraint, or the regularization terms; interpretability is the rationale for its use rather than a discrimination gain. Calibration was also weak, with internal out-of-fold slopes near zero in LUAD and BRCA and a mean external slope of 0.18, so the risk score would require re-calibration before any absolute-risk use. Because the LUAD risk score was near chance (internal C-index 0.49), the LUAD between-stratum rewiring tests are read as attention variation associated with the model's own stratification rather than with survival. Second, the learnable malignancy gate converged to values near zero in the trained models, so the effective sample-specificity arises from the attention coefficients themselves; we therefore describe the mechanism as patient-specific attention rather than as a demonstrable malignancy-dependent gating mechanism.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no wet-lab validation was performed, residual technical heterogeneity across platforms and processing pipelines was not explicitly modeled beyond standardization with training statistics, and prospective validation with experimental follow-up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 Ninth, an exploratory immunotherapy analysis found that a BLCA prognosis-associated rewiring template was associated with anti-PD-L1 response in IMvigor210 with Wilcoxon P=0.019 and a random-control percentile of 96.2%, whereas the corresponding SKCM-based templates in three melanoma ICB cohorts did not exceed random gene-set controls. Three further urothelial cohorts, GSE176307, GSE225066 and GSE298296, were directionally consistent but individually non-significant, and the prespecified fixed-effect combination of the four BLCA-template cohorts was significant (g = 0.26, 95% CI 0.05–0.47, P=0.015, I2 = 0%) with the signal carried by IMvigor210; no single-cohort test survived BH-FDR correction across the seven cohort-level tests (smallest q = 0.134). The IMvigor210 association was concentrated in the low-TMB stratum with Wilcoxon P=0.004 and was absent in the high-TMB stratum with P=0.919. These associations are interpreted tentatively and require prospective validation.</w:t>
      </w:r>
    </w:p>
    <w:p>
      <w:pPr>
        <w:spacing w:before="120" w:after="60"/>
      </w:pPr>
      <w:r>
        <w:rPr>
          <w:b/>
        </w:rPr>
        <w:t>5. Conclusion</w:t>
      </w:r>
    </w:p>
    <w:p>
      <w:r>
        <w:rPr>
          <w:b w:val="0"/>
        </w:rPr>
        <w:t>Path-AGNN-Cox couples a pathway-constrained GNN with patient-specific attention to a formal statistical framework for testing and clinically anchoring patient-specific pathway rewiring, its discrimination is below penalized Cox and comparable to the deep survival baselines only on external cohorts. With 11 internal and 25 external cohorts, open-source code at https://github.com/ZhongdaHospital-SEU/Path-AGNN-Cox,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spacing w:before="120" w:after="60"/>
      </w:pPr>
      <w:r>
        <w:rPr>
          <w:b/>
        </w:rPr>
        <w:t>6. Availability and implementation</w:t>
      </w:r>
    </w:p>
    <w:p>
      <w:pPr>
        <w:pStyle w:val="ListBullet"/>
      </w:pPr>
      <w:r>
        <w:rPr>
          <w:b/>
        </w:rPr>
        <w:t>Code:</w:t>
      </w:r>
      <w:r>
        <w:rPr>
          <w:b w:val="0"/>
        </w:rPr>
        <w:t xml:space="preserve"> https://github.com/ZhongdaHospital-SEU/Path-AGNN-Cox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spacing w:before="120" w:after="60"/>
      </w:pPr>
      <w:r>
        <w:rPr>
          <w:b/>
        </w:rPr>
        <w:t>Author contributions</w:t>
      </w:r>
    </w:p>
    <w:p>
      <w:r>
        <w:rPr>
          <w:b w:val="0"/>
        </w:rPr>
        <w:t>Z.W. and L.W. contributed equally to this work. Z.W. conceived and designed the study, developed the Path-AGNN-Cox model and analysis pipelines, performed the benchmark, rewiring and immunotherapy analyses, and wrote the main manuscript text. L.W. curated and preprocessed the TCGA and GEO data, contributed to methodology, and co-wrote the main manuscript text. C.W. supervised the study and revised the manuscript. P.Z. provided resources and revised the manuscript. Z.L. validated the results and revised the manuscript. H.F. and Q.H. performed the investigation and prepared the figures. H.L. contributed to data curation and validation. M.G. contributed to the formal analysis and revised the manuscript. All authors reviewed and approved the final manuscript.</w:t>
      </w:r>
    </w:p>
    <w:p>
      <w:pPr>
        <w:spacing w:before="120" w:after="60"/>
      </w:pPr>
      <w:r>
        <w:rPr>
          <w:b/>
        </w:rP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spacing w:before="120" w:after="60"/>
      </w:pPr>
      <w:r>
        <w:rPr>
          <w:b/>
        </w:rPr>
        <w:t>Data availability</w:t>
      </w:r>
    </w:p>
    <w:p>
      <w:r>
        <w:rPr>
          <w:b w:val="0"/>
        </w:rPr>
        <w:t xml:space="preserve">All data were obtained from public repositories: TCGA RNA-seq and clinical annotations from UCSC Xena </w:t>
      </w:r>
      <w:r>
        <w:t>[</w:t>
      </w:r>
      <w:r>
        <w:fldChar w:fldCharType="begin"/>
      </w:r>
      <w:r>
        <w:instrText xml:space="preserve"> REF ref6 \h </w:instrText>
      </w:r>
      <w:r>
        <w:fldChar w:fldCharType="separate"/>
      </w:r>
      <w:r>
        <w:t>6</w:t>
      </w:r>
      <w:r>
        <w:fldChar w:fldCharType="end"/>
      </w:r>
      <w:r>
        <w:t>]</w:t>
      </w:r>
      <w:r>
        <w:rPr>
          <w:b w:val="0"/>
        </w:rPr>
        <w:t xml:space="preserve"> and GDC, GEO series matrices and platform annotations from NCBI GEO </w:t>
      </w:r>
      <w:r>
        <w:t>[</w:t>
      </w:r>
      <w:r>
        <w:fldChar w:fldCharType="begin"/>
      </w:r>
      <w:r>
        <w:instrText xml:space="preserve"> REF ref4 \h </w:instrText>
      </w:r>
      <w:r>
        <w:fldChar w:fldCharType="separate"/>
      </w:r>
      <w:r>
        <w:t>4</w:t>
      </w:r>
      <w:r>
        <w:fldChar w:fldCharType="end"/>
      </w:r>
      <w:r>
        <w:t>,</w:t>
      </w:r>
      <w:r>
        <w:fldChar w:fldCharType="begin"/>
      </w:r>
      <w:r>
        <w:instrText xml:space="preserve"> REF ref5 \h </w:instrText>
      </w:r>
      <w:r>
        <w:fldChar w:fldCharType="separate"/>
      </w:r>
      <w:r>
        <w:t>5</w:t>
      </w:r>
      <w:r>
        <w:fldChar w:fldCharType="end"/>
      </w:r>
      <w:r>
        <w:t>]</w:t>
      </w:r>
      <w:r>
        <w:rPr>
          <w:b w:val="0"/>
        </w:rPr>
        <w:t xml:space="preserve">, and IMvigor210 data from the original publication </w:t>
      </w:r>
      <w:r>
        <w:t>[</w:t>
      </w:r>
      <w:r>
        <w:fldChar w:fldCharType="begin"/>
      </w:r>
      <w:r>
        <w:instrText xml:space="preserve"> REF ref40 \h </w:instrText>
      </w:r>
      <w:r>
        <w:fldChar w:fldCharType="separate"/>
      </w:r>
      <w:r>
        <w:t>40</w:t>
      </w:r>
      <w:r>
        <w:fldChar w:fldCharType="end"/>
      </w:r>
      <w:r>
        <w:t>]</w:t>
      </w:r>
      <w:r>
        <w:rPr>
          <w:b w:val="0"/>
        </w:rPr>
        <w:t>. Accession numbers are listed in Table 1. To protect patient privacy, per-patient expression matrices, clinical records, and per-patient model outputs are not redistributed; aggregate results required to reproduce every table and figure are provided in the repository.</w:t>
      </w:r>
    </w:p>
    <w:p>
      <w:pPr>
        <w:spacing w:before="120" w:after="60"/>
      </w:pPr>
      <w:r>
        <w:rPr>
          <w:b/>
        </w:rPr>
        <w:t>Competing interests</w:t>
      </w:r>
    </w:p>
    <w:p>
      <w:r>
        <w:rPr>
          <w:b w:val="0"/>
        </w:rPr>
        <w:t>The authors declare no competing interests.</w:t>
      </w:r>
    </w:p>
    <w:p>
      <w:pPr>
        <w:spacing w:before="120" w:after="60"/>
      </w:pPr>
      <w:r>
        <w:rPr>
          <w:b/>
        </w:rPr>
        <w:t>References</w:t>
      </w:r>
    </w:p>
    <w:p>
      <w:bookmarkStart w:id="1000" w:name="ref1"/>
      <w:r>
        <w:t>1</w:t>
      </w:r>
      <w:bookmarkEnd w:id="1000"/>
      <w:r>
        <w:rPr>
          <w:b w:val="0"/>
        </w:rPr>
        <w:t>Cox DR. Regression models and life-tables. J R Stat Soc Ser B Stat Methodol. 1972;34(2):187-220. doi:10.1111/j.2517-6161.1972.tb00899.x</w:t>
      </w:r>
    </w:p>
    <w:p>
      <w:bookmarkStart w:id="1001" w:name="ref2"/>
      <w:r>
        <w:t>2</w:t>
      </w:r>
      <w:bookmarkEnd w:id="1001"/>
      <w:r>
        <w:rPr>
          <w:b w:val="0"/>
        </w:rPr>
        <w:t>Harrell FE, Lee KL, Mark DB. Multivariable prognostic models: issues in developing models, evaluating assumptions and adequacy, and measuring and reducing errors. Stat Med. 1996;15(4):361-387. doi:10.1002/(SICI)1097-0258(19960229)15:4&lt;361::AID-SIM168&gt;3.0.CO;2-4</w:t>
      </w:r>
    </w:p>
    <w:p>
      <w:bookmarkStart w:id="1002" w:name="ref3"/>
      <w:r>
        <w:t>3</w:t>
      </w:r>
      <w:bookmarkEnd w:id="1002"/>
      <w:r>
        <w:rPr>
          <w:b w:val="0"/>
        </w:rPr>
        <w:t>Weinstein JN, Collisson EA, Mills GB, Shaw KR, Ozenberger BA, Ellrott K, et al. The Cancer Genome Atlas Pan-Cancer analysis project. Nat Genet. 2013;45(10):1113-1120. doi:10.1038/ng.2764</w:t>
      </w:r>
    </w:p>
    <w:p>
      <w:bookmarkStart w:id="1003" w:name="ref4"/>
      <w:r>
        <w:t>4</w:t>
      </w:r>
      <w:bookmarkEnd w:id="1003"/>
      <w:r>
        <w:rPr>
          <w:b w:val="0"/>
        </w:rPr>
        <w:t>Barrett T, Wilhite SE, Ledoux P, Evangelista C, Kim IF, Tomashevsky M, et al. NCBI GEO: archive for functional genomics data sets, update. Nucleic Acids Res. 2013;41(D1):D991-D995. doi:10.1093/nar/gks1193</w:t>
      </w:r>
    </w:p>
    <w:p>
      <w:bookmarkStart w:id="1004" w:name="ref5"/>
      <w:r>
        <w:t>5</w:t>
      </w:r>
      <w:bookmarkEnd w:id="1004"/>
      <w:r>
        <w:rPr>
          <w:b w:val="0"/>
        </w:rPr>
        <w:t>Davis S, Meltzer PS. GEOquery: a bridge between the Gene Expression Omnibus (GEO) and BioConductor. Bioinformatics. 2007;23(14):1846-1847. doi:10.1093/bioinformatics/btm254</w:t>
      </w:r>
    </w:p>
    <w:p>
      <w:bookmarkStart w:id="1005" w:name="ref6"/>
      <w:r>
        <w:t>6</w:t>
      </w:r>
      <w:bookmarkEnd w:id="1005"/>
      <w:r>
        <w:rPr>
          <w:b w:val="0"/>
        </w:rPr>
        <w:t>Goldman MJ, Craft B, Hastie M, Repečka K, McDade F, Kamath A, et al. Visualizing and interpreting cancer genomics data via the Xena platform. Nat Biotechnol. 2020;38(6):675-678. doi:10.1038/s41587-020-0546-8</w:t>
      </w:r>
    </w:p>
    <w:p>
      <w:bookmarkStart w:id="1006" w:name="ref7"/>
      <w:r>
        <w:t>7</w:t>
      </w:r>
      <w:bookmarkEnd w:id="1006"/>
      <w:r>
        <w:rPr>
          <w:b w:val="0"/>
        </w:rPr>
        <w:t>Friedman J, Hastie T, Tibshirani R. Regularization paths for generalized linear models via coordinate descent. J Stat Softw. 2010;33(1):1-22. doi:10.18637/jss.v033.i01</w:t>
      </w:r>
    </w:p>
    <w:p>
      <w:bookmarkStart w:id="1007" w:name="ref8"/>
      <w:r>
        <w:t>8</w:t>
      </w:r>
      <w:bookmarkEnd w:id="1007"/>
      <w:r>
        <w:rPr>
          <w:b w:val="0"/>
        </w:rPr>
        <w:t>Simon N, Friedman J, Hastie T, Tibshirani R. Regularization paths for Cox's proportional hazards model via coordinate descent. J Stat Softw. 2011;39(5):1-13. doi:10.18637/jss.v039.i05</w:t>
      </w:r>
    </w:p>
    <w:p>
      <w:bookmarkStart w:id="1008" w:name="ref9"/>
      <w:r>
        <w:t>9</w:t>
      </w:r>
      <w:bookmarkEnd w:id="1008"/>
      <w:r>
        <w:rPr>
          <w:b w:val="0"/>
        </w:rPr>
        <w:t>Katzman JL, Shaham U, Cloninger A, Bates J, Jiang T, Kluger Y. DeepSurv: personalized treatment recommender system using a Cox proportional hazards deep neural network. BMC Med Res Methodol. 2018;18(1):24. doi:10.1186/s12874-018-0482-1</w:t>
      </w:r>
    </w:p>
    <w:p>
      <w:bookmarkStart w:id="1009" w:name="ref10"/>
      <w:r>
        <w:t>10</w:t>
      </w:r>
      <w:bookmarkEnd w:id="1009"/>
      <w:r>
        <w:rPr>
          <w:b w:val="0"/>
        </w:rPr>
        <w:t>Ching T, Zhu X, Garmire LX. Cox-nnet: an artificial neural network method for prognosis prediction of high-throughput omics data. PLoS Comput Biol. 2018;14(4):e1006076. doi:10.1371/journal.pcbi.1006076</w:t>
      </w:r>
    </w:p>
    <w:p>
      <w:bookmarkStart w:id="1010" w:name="ref11"/>
      <w:r>
        <w:t>11</w:t>
      </w:r>
      <w:bookmarkEnd w:id="1010"/>
      <w:r>
        <w:rPr>
          <w:b w:val="0"/>
        </w:rPr>
        <w:t>Lee C, Zame W, Yoon J, van der Schaar M. DeepHit: a deep learning approach to survival analysis with competing risks. Proc AAAI Conf Artif Intell. 2018;32(1):2314-2321. doi:10.1609/aaai.v32i1.11842</w:t>
      </w:r>
    </w:p>
    <w:p>
      <w:bookmarkStart w:id="1011" w:name="ref12"/>
      <w:r>
        <w:t>12</w:t>
      </w:r>
      <w:bookmarkEnd w:id="1011"/>
      <w:r>
        <w:rPr>
          <w:b w:val="0"/>
        </w:rPr>
        <w:t>Ishwaran H, Kogalur UB, Blackstone EH, Lauer MS. Random survival forests. Ann Appl Stat. 2008;2(3):841-860. doi:10.1214/08-AOAS169</w:t>
      </w:r>
    </w:p>
    <w:p>
      <w:bookmarkStart w:id="1012" w:name="ref13"/>
      <w:r>
        <w:t>13</w:t>
      </w:r>
      <w:bookmarkEnd w:id="1012"/>
      <w:r>
        <w:rPr>
          <w:b w:val="0"/>
        </w:rPr>
        <w:t>Eraslan G, Avsec Ž, Gagneur J, Theis FJ. Deep learning: new computational modelling techniques for genomics. Nat Rev Genet. 2019;20(7):389-403. doi:10.1038/s41576-019-0122-6</w:t>
      </w:r>
    </w:p>
    <w:p>
      <w:bookmarkStart w:id="1013" w:name="ref14"/>
      <w:r>
        <w:t>14</w:t>
      </w:r>
      <w:bookmarkEnd w:id="1013"/>
      <w:r>
        <w:rPr>
          <w:b w:val="0"/>
        </w:rPr>
        <w:t>Wainberg M, Merico D, Delong A, Frey BJ. Deep learning in biomedicine. Nat Biotechnol. 2018;36(9):829-838. doi:10.1038/nbt.4233</w:t>
      </w:r>
    </w:p>
    <w:p>
      <w:bookmarkStart w:id="1014" w:name="ref15"/>
      <w:r>
        <w:t>15</w:t>
      </w:r>
      <w:bookmarkEnd w:id="1014"/>
      <w:r>
        <w:rPr>
          <w:b w:val="0"/>
        </w:rPr>
        <w:t>Miotto R, Wang F, Wang S, Jiang X, Dudley JT. Deep learning for healthcare: review, opportunities and challenges. Brief Bioinform. 2018;19(6):1236-1246. doi:10.1093/bib/bbx044</w:t>
      </w:r>
    </w:p>
    <w:p>
      <w:bookmarkStart w:id="1015" w:name="ref16"/>
      <w:r>
        <w:t>16</w:t>
      </w:r>
      <w:bookmarkEnd w:id="1015"/>
      <w:r>
        <w:rPr>
          <w:b w:val="0"/>
        </w:rPr>
        <w:t>Kipf TN, Welling M. Semi-supervised classification with graph convolutional networks. arXiv:1609.02907 [cs.LG]. 2017. doi:10.48550/arXiv.1609.02907</w:t>
      </w:r>
    </w:p>
    <w:p>
      <w:bookmarkStart w:id="1016" w:name="ref17"/>
      <w:r>
        <w:t>17</w:t>
      </w:r>
      <w:bookmarkEnd w:id="1016"/>
      <w:r>
        <w:rPr>
          <w:b w:val="0"/>
        </w:rPr>
        <w:t>Veličković P, Cucurull G, Casanova A, Romero A, Liò P, Bengio Y. Graph attention networks. arXiv:1710.10903 [cs.LG]. 2018. doi:10.48550/arXiv.1710.10903</w:t>
      </w:r>
    </w:p>
    <w:p>
      <w:bookmarkStart w:id="1017" w:name="ref18"/>
      <w:r>
        <w:t>18</w:t>
      </w:r>
      <w:bookmarkEnd w:id="1017"/>
      <w:r>
        <w:rPr>
          <w:b w:val="0"/>
        </w:rPr>
        <w:t>Zitnik M, Agrawal M, Leskovec J. Modeling polypharmacy side effects with graph convolutional networks. Bioinformatics. 2018;34(13):i457-i466. doi:10.1093/bioinformatics/bty294</w:t>
      </w:r>
    </w:p>
    <w:p>
      <w:bookmarkStart w:id="1018" w:name="ref19"/>
      <w:r>
        <w:t>19</w:t>
      </w:r>
      <w:bookmarkEnd w:id="1018"/>
      <w:r>
        <w:rPr>
          <w:b w:val="0"/>
        </w:rPr>
        <w:t>Kanehisa M, Furumichi M, Sato Y, Kawashima M, Ishiguro-Watanabe M. KEGG for taxonomy-based analysis of pathways and genomes. Nucleic Acids Res. 2023;51(D1):D587-D592. doi:10.1093/nar/gkac963</w:t>
      </w:r>
    </w:p>
    <w:p>
      <w:bookmarkStart w:id="1019" w:name="ref20"/>
      <w:r>
        <w:t>20</w:t>
      </w:r>
      <w:bookmarkEnd w:id="1019"/>
      <w:r>
        <w:rPr>
          <w:b w:val="0"/>
        </w:rPr>
        <w:t>Liang J, Zhang Y, Chen H, et al. Risk stratification and pathway analysis based on graph neural network and interpretable algorithm. BMC Bioinformatics. 2022;23(1):411. doi:10.1186/s12859-022-04950-1</w:t>
      </w:r>
    </w:p>
    <w:p>
      <w:bookmarkStart w:id="1020" w:name="ref21"/>
      <w:r>
        <w:t>21</w:t>
      </w:r>
      <w:bookmarkEnd w:id="1020"/>
      <w:r>
        <w:rPr>
          <w:b w:val="0"/>
        </w:rPr>
        <w:t>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bookmarkStart w:id="1021" w:name="ref22"/>
      <w:r>
        <w:t>22</w:t>
      </w:r>
      <w:bookmarkEnd w:id="1021"/>
      <w:r>
        <w:rPr>
          <w:b w:val="0"/>
        </w:rPr>
        <w:t>Yan H, Weng D, Li D, Gu Y, Ma W, Liu Q. Prior knowledge-guided multilevel graph neural network for tumor risk prediction and interpretation via multi-omics data integration. Brief Bioinform. 2024;25(4):bbae184. doi:10.1093/bib/bbae184</w:t>
      </w:r>
    </w:p>
    <w:p>
      <w:bookmarkStart w:id="1022" w:name="ref23"/>
      <w:r>
        <w:t>23</w:t>
      </w:r>
      <w:bookmarkEnd w:id="1022"/>
      <w:r>
        <w:rPr>
          <w:b w:val="0"/>
        </w:rPr>
        <w:t>Wang Z, et al. PathMoG: a pathway-centric modular graph neural network for multi-omics survival prediction. arXiv:2604.24371 [q-bio.QM]. 2026. doi:10.48550/arXiv.2604.24371</w:t>
      </w:r>
    </w:p>
    <w:p>
      <w:bookmarkStart w:id="1023" w:name="ref24"/>
      <w:r>
        <w:t>24</w:t>
      </w:r>
      <w:bookmarkEnd w:id="1023"/>
      <w:r>
        <w:rPr>
          <w:b w:val="0"/>
        </w:rPr>
        <w:t>Ha MJ, Baladandayuthapani V. DINGO: differential network analysis in genomics. Bioinformatics. 2015;31(21):3413-3420. doi:10.1093/bioinformatics/btv406</w:t>
      </w:r>
    </w:p>
    <w:p>
      <w:bookmarkStart w:id="1024" w:name="ref25"/>
      <w:r>
        <w:t>25</w:t>
      </w:r>
      <w:bookmarkEnd w:id="1024"/>
      <w:r>
        <w:rPr>
          <w:b w:val="0"/>
        </w:rPr>
        <w:t>de la Fuente A. From differential expression to differential networking: identification of dysfunctional regulatory networks in diseases. Trends Genet. 2010;26(7):326-333. doi:10.1016/j.tig.2010.05.001</w:t>
      </w:r>
    </w:p>
    <w:p>
      <w:bookmarkStart w:id="1025" w:name="ref26"/>
      <w:r>
        <w:t>26</w:t>
      </w:r>
      <w:bookmarkEnd w:id="1025"/>
      <w:r>
        <w:rPr>
          <w:b w:val="0"/>
        </w:rPr>
        <w:t>Gill R, Datta S, Datta S. A statistical framework for differential network analysis from microarray data. BMC Bioinformatics. 2010;11:95. doi:10.1186/1471-2105-11-95</w:t>
      </w:r>
    </w:p>
    <w:p>
      <w:bookmarkStart w:id="1026" w:name="ref27"/>
      <w:r>
        <w:t>27</w:t>
      </w:r>
      <w:bookmarkEnd w:id="1026"/>
      <w:r>
        <w:rPr>
          <w:b w:val="0"/>
        </w:rPr>
        <w:t>Colaprico A, Silva TC, Olsen C, Garofano L, Cava C, Garolini D, et al. TCGAbiolinks: an R/Bioconductor package for integrative analysis of TCGA data. Nucleic Acids Res. 2016;44(8):e71. doi:10.1093/nar/gkv1507</w:t>
      </w:r>
    </w:p>
    <w:p>
      <w:bookmarkStart w:id="1027" w:name="ref28"/>
      <w:r>
        <w:t>28</w:t>
      </w:r>
      <w:bookmarkEnd w:id="1027"/>
      <w:r>
        <w:rPr>
          <w:b w:val="0"/>
        </w:rPr>
        <w:t>Therneau TM, Grambsch PM. Modeling Survival Data: Extending the Cox Model. New York: Springer; 2000. doi:10.1007/978-1-4757-3294-8</w:t>
      </w:r>
    </w:p>
    <w:p>
      <w:bookmarkStart w:id="1028" w:name="ref29"/>
      <w:r>
        <w:t>29</w:t>
      </w:r>
      <w:bookmarkEnd w:id="1028"/>
      <w:r>
        <w:rPr>
          <w:b w:val="0"/>
        </w:rPr>
        <w:t>Uno H, Cai T, Pencina MJ, D'Agostino RB, Wei LJ. On the C-statistics for evaluating overall adequacy of risk prediction procedures with censored survival data. Stat Med. 2011;30(10):1105-1117. doi:10.1002/sim.4154</w:t>
      </w:r>
    </w:p>
    <w:p>
      <w:bookmarkStart w:id="1029" w:name="ref30"/>
      <w:r>
        <w:t>30</w:t>
      </w:r>
      <w:bookmarkEnd w:id="1029"/>
      <w:r>
        <w:rPr>
          <w:b w:val="0"/>
        </w:rPr>
        <w:t>Heagerty PJ, Zheng Y. Survival model predictive accuracy and ROC curves. Biometrics. 2005;61(1):92-105. doi:10.1111/j.0006-341X.2005.030814.x</w:t>
      </w:r>
    </w:p>
    <w:p>
      <w:bookmarkStart w:id="1030" w:name="ref31"/>
      <w:r>
        <w:t>31</w:t>
      </w:r>
      <w:bookmarkEnd w:id="1030"/>
      <w:r>
        <w:rPr>
          <w:b w:val="0"/>
        </w:rPr>
        <w:t>Altman DG, Vergouwe Y, Royston P, Moons KG. Prognosis and prognostic research: validating a prognostic model. BMJ. 2009;338:b605. doi:10.1136/bmj.b605</w:t>
      </w:r>
    </w:p>
    <w:p>
      <w:bookmarkStart w:id="1031" w:name="ref32"/>
      <w:r>
        <w:t>32</w:t>
      </w:r>
      <w:bookmarkEnd w:id="1031"/>
      <w:r>
        <w:rPr>
          <w:b w:val="0"/>
        </w:rPr>
        <w:t>Vickers AJ, Elkin EB. Decision curve analysis: a novel method for evaluating prediction models. Med Decis Making. 2006;26(6):565-574. doi:10.1177/0272989X06295361</w:t>
      </w:r>
    </w:p>
    <w:p>
      <w:bookmarkStart w:id="1032" w:name="ref33"/>
      <w:r>
        <w:t>33</w:t>
      </w:r>
      <w:bookmarkEnd w:id="1032"/>
      <w:r>
        <w:rPr>
          <w:b w:val="0"/>
        </w:rPr>
        <w:t>Benjamini Y, Hochberg Y. Controlling the false discovery rate: a practical and powerful approach to multiple testing. J R Stat Soc Ser B Stat Methodol. 1995;57(1):289-300. doi:10.1111/j.2517-6161.1995.tb02031.x</w:t>
      </w:r>
    </w:p>
    <w:p>
      <w:bookmarkStart w:id="1033" w:name="ref34"/>
      <w:r>
        <w:t>34</w:t>
      </w:r>
      <w:bookmarkEnd w:id="1033"/>
      <w:r>
        <w:rPr>
          <w:b w:val="0"/>
        </w:rPr>
        <w:t>Paszke A, Gross S, Massa F, Lerer A, Bradbury J, Chanan G, et al. PyTorch: an imperative style, high-performance deep learning library. arXiv:1912.01703 [cs.LG]. 2019. doi:10.48550/arXiv.1912.01703</w:t>
      </w:r>
    </w:p>
    <w:p>
      <w:bookmarkStart w:id="1034" w:name="ref35"/>
      <w:r>
        <w:t>35</w:t>
      </w:r>
      <w:bookmarkEnd w:id="1034"/>
      <w:r>
        <w:rPr>
          <w:b w:val="0"/>
        </w:rPr>
        <w:t>Davidson-Pilon C. lifelines: survival analysis in Python. J Open Source Softw. 2019;4(39):1317. doi:10.21105/joss.01317</w:t>
      </w:r>
    </w:p>
    <w:p>
      <w:bookmarkStart w:id="1035" w:name="ref36"/>
      <w:r>
        <w:t>36</w:t>
      </w:r>
      <w:bookmarkEnd w:id="1035"/>
      <w:r>
        <w:rPr>
          <w:b w:val="0"/>
        </w:rPr>
        <w:t>Pedregosa F, Varoquaux G, Gramfort A, Michel V, Thirion B, Grisel O, et al. Scikit-learn: machine learning in Python. arXiv:1201.0490 [cs.LG]. 2011. doi:10.48550/arXiv.1201.0490</w:t>
      </w:r>
    </w:p>
    <w:p>
      <w:bookmarkStart w:id="1036" w:name="ref37"/>
      <w:r>
        <w:t>37</w:t>
      </w:r>
      <w:bookmarkEnd w:id="1036"/>
      <w:r>
        <w:rPr>
          <w:b w:val="0"/>
        </w:rPr>
        <w:t>Curtis C, Shah SP, Chin SF, Turashvili G, Rueda OM, Dunning MJ, et al. The genomic and transcriptomic architecture of 2,000 breast tumours reveals novel subgroups. Nature. 2012;486(7403):346-352. doi:10.1038/nature10983</w:t>
      </w:r>
    </w:p>
    <w:p>
      <w:bookmarkStart w:id="1037" w:name="ref38"/>
      <w:r>
        <w:t>38</w:t>
      </w:r>
      <w:bookmarkEnd w:id="1037"/>
      <w:r>
        <w:rPr>
          <w:b w:val="0"/>
        </w:rPr>
        <w:t>Crowson CS, Atkinson EJ, Therneau TM. Assessing calibration of prognostic risk scores. Stat Methods Med Res. 2016;25(4):1692-1706. doi:10.1177/0962280213497434</w:t>
      </w:r>
    </w:p>
    <w:p>
      <w:bookmarkStart w:id="1038" w:name="ref39"/>
      <w:r>
        <w:t>39</w:t>
      </w:r>
      <w:bookmarkEnd w:id="1038"/>
      <w:r>
        <w:rPr>
          <w:b w:val="0"/>
        </w:rPr>
        <w:t>Chalmers ZR, Connelly CF, Fabrizio D, Gay L, Ali SM, Ennis R, et al. Analysis of 100,000 human cancer genomes reveals the landscape of tumor mutational burden. Genome Med. 2017;9:34. doi:10.1186/s13073-017-0424-2</w:t>
      </w:r>
    </w:p>
    <w:p>
      <w:bookmarkStart w:id="1039" w:name="ref40"/>
      <w:r>
        <w:t>40</w:t>
      </w:r>
      <w:bookmarkEnd w:id="1039"/>
      <w:r>
        <w:rPr>
          <w:b w:val="0"/>
        </w:rPr>
        <w:t>Mariathasan S, Turley SJ, Nickles D, et al. TGFβ attenuates tumour response to PD-L1 blockade by contributing to exclusion of T cells. Nature. 2018;554(7693):544-548. doi:10.1038/nature25501</w:t>
      </w:r>
    </w:p>
    <w:p>
      <w:bookmarkStart w:id="1040" w:name="ref41"/>
      <w:r>
        <w:t>41</w:t>
      </w:r>
      <w:bookmarkEnd w:id="1040"/>
      <w:r>
        <w:rPr>
          <w:b w:val="0"/>
        </w:rPr>
        <w:t>Yoshihara K, Shahmoradgoli M, Martínez E, Vegesna R, Kim H, Torres-Garcia W, et al. Inferring tumour purity and stromal and immune cell admixture from expression data. Nat Commun. 2013;4:2612. doi:10.1038/ncomms3612</w:t>
      </w:r>
    </w:p>
    <w:p>
      <w:bookmarkStart w:id="1041" w:name="ref42"/>
      <w:r>
        <w:t>42</w:t>
      </w:r>
      <w:bookmarkEnd w:id="1041"/>
      <w:r>
        <w:rPr>
          <w:b w:val="0"/>
        </w:rPr>
        <w:t>Becht E, Giraldo NA, Lacroix L, Buttard B, Elarouci N, Petitprez F, et al. Estimating the population abundance of tissue-infiltrating immune and stromal cell populations using gene expression. Genome Biol. 2016;17:218. doi:10.1186/s13059-016-1070-5</w:t>
      </w:r>
    </w:p>
    <w:p>
      <w:bookmarkStart w:id="1042" w:name="ref43"/>
      <w:r>
        <w:t>43</w:t>
      </w:r>
      <w:bookmarkEnd w:id="1042"/>
      <w:r>
        <w:rPr>
          <w:b w:val="0"/>
        </w:rPr>
        <w:t>Hänzelmann S, Castelo R, Guinney J. GSVA: gene set variation analysis for microarray and RNA-seq data. BMC Bioinformatics. 2013;14:7. doi:10.1186/1471-2105-14-7</w:t>
      </w:r>
    </w:p>
    <w:p>
      <w:bookmarkStart w:id="1043" w:name="ref44"/>
      <w:r>
        <w:t>44</w:t>
      </w:r>
      <w:bookmarkEnd w:id="1043"/>
      <w:r>
        <w:rPr>
          <w:b w:val="0"/>
        </w:rPr>
        <w:t>Liberzon A, Birger C, Thorvaldsdóttir H, Ghandi M, Mesirov JP, Tamayo P. The Molecular Signatures Database Hallmark gene set collection. Cell Syst. 2015;1(6):417-425. doi:10.1016/j.cels.2015.12.004</w:t>
      </w:r>
    </w:p>
    <w:p>
      <w:bookmarkStart w:id="1044" w:name="ref45"/>
      <w:r>
        <w:t>45</w:t>
      </w:r>
      <w:bookmarkEnd w:id="1044"/>
      <w:r>
        <w:rPr>
          <w:b w:val="0"/>
        </w:rPr>
        <w:t>Maeser D, Gruener RF, Huang RS. oncoPredict: an R package for predicting in vivo or cancer patient drug response and biomarkers from cell line screening data. Brief Bioinform. 2021;22(6):bbab260. doi:10.1093/bib/bbab260</w:t>
      </w:r>
    </w:p>
    <w:p>
      <w:bookmarkStart w:id="1045" w:name="ref46"/>
      <w:r>
        <w:t>46</w:t>
      </w:r>
      <w:bookmarkEnd w:id="1045"/>
      <w:r>
        <w:rPr>
          <w:b w:val="0"/>
        </w:rPr>
        <w:t>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