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comparable to deep survival baselines but below penalized Cox; no discrimination gain is claimed. Its distinguishing output is the interpretable rewiring: risk-associated pathway weights exceeded label-permutation nulls in BRCA, LUAD and KIRC, correlated with clinical indicators of malignancy, and were absent by construction in static pathway models.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spacing w:before="120" w:after="60"/>
      </w:pPr>
      <w:r>
        <w:rPr>
          <w:b/>
        </w:rP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 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and the fixed-effect combination of the two BLCA-template cohorts was significant (g = 0.28, 95% CI 0.04–0.53, P=0.022, I2 = 0%). A third urothelial cohort, GSE225066 (NEODURVARIB, n = 16 pre-treatment biopsies; neoadjuvant durvalumab plus olaparib; pathological response), showed no association beyond random gene-set controls (Hedges g = 0.05, Wilcoxon P=1.000, random-control percentile 79.9%), and the three-cohort BLCA-template combination remained nominally significant (g = 0.27, 95% CI 0.03–0.51, P=0.025, I2 = 0%) with the signal carried by the two RECIST-assessed cohorts.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The IMvigor210 association was concentrated in the low-TMB stratum with Wilcoxon P=0.004 and was absent in the high-TMB stratum with P=0.919; a second urothelial cohort, GSE176307, showed the same direction and the combined BLCA-template effect was significant with P=0.022 and I2 = 0%, although the GSE176307 effect alone reached a random-control percentile of 87.4%. These associations were not corrected for multiple testing across cohorts, templates and strata,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 doi:10.48550/arXiv.1609.02907</w:t>
      </w:r>
    </w:p>
    <w:p>
      <w:r>
        <w:rPr>
          <w:b w:val="0"/>
        </w:rPr>
        <w:t>17. Veličković P, Cucurull G, Casanova A, Romero A, Liò P, Bengio Y. Graph attention networks. arXiv:1710.10903 [cs.LG]. 2018. doi:10.48550/arXiv.1710.10903</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 doi:10.48550/arXiv.2604.24371</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 doi:10.48550/arXiv.1912.01703</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 doi:10.48550/arXiv.1201.0490</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