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 Under the same testing procedure, a standard GAT control detected 3 of 54 pathways in KIRC and 11 of 54 in BRCA, compared with 52 and 43 of 53 for the pathway-constrained model; the framework thus distinguished cohorts with detectable rewiring from LUAD, where pathway-constrained signal did not exceed matched nulls.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reported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compiled from the KEGG_2021_Human.gmt gene-set collection, KEGG release 2021). Pathway modules containing fewer than three or more than 300 genes were excluded from the model input.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relatively consistently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P=0.019, n = 68/230) and exceeded 96.2% of 2,850 equal-size random gene-set controls. A second urothelial ICB cohort, GSE176307 (n = 87, 16 responders), showed the same direction with the BLCA template (Hedges g = 0.20, Wilcoxon P=0.588), and the fixed-effect combination of the two BLCA-template cohorts was significant (g = 0.28, 95% CI 0.04–0.53, P=0.022, I2 = 0%). A third urothelial cohort, GSE225066 (NEODURVARIB, n = 16 pre-treatment biopsies; neoadjuvant durvalumab plus olaparib; pathological response), showed no association beyond random gene-set controls (Hedges g = 0.05, Wilcoxon P=1.000, random-control percentile 79.9%), and the three-cohort BLCA-template combination remained nominally significant (g = 0.27, 95% CI 0.03–0.51, P=0.025, I2 = 0%) with the signal carried by the two RECIST-assessed cohorts. Among the four anti-PD-1/PD-L1 cohorts, the combined effect was g = 0.25 (95% CI 0.03–0.47, P=0.025, I2 = 0%), whereas including the anti-CTLA-4 cohort GSE100797 removed the significance (P=0.166).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P=0.682, P=0.393 and P=0.174; random-control percentiles 48.9%, 71.1% and 19.4%). As a timepoint sensitivity check in GSE91061, we re-scored the 42 on-treatment biopsies with patient-level response annotation. The nominally inverse association between the SKCM template score and response (Hedges g = -0.50, Wilcoxon P=0.032) fell within the equal-size random gene-set null (38.5th percentile of 2,850 controls), and the paired pre-to-on-treatment change in template score did not differ between responders and non-responders (Hedges g = -0.79, Wilcoxon P=0.081,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P=0.004, n = 114), whereas no association was present in the high-TMB stratum (P=0.919, n = 120). In the low-TMB stratum, patients with high template scores showed a response rate of 18.4% compared with 6.9% in the low-score group (Fisher exact P=0.032, OR = 3.06). The association was also present within the IC1 immune-cell stratum (Wilcoxon P=0.045) and directionally consistent in IC0 and IC2 (P=0.178 and P=0.087).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no wet-lab validation was performed, residual technical heterogeneity across platforms and processing pipelines was not explicitly modeled beyond standardization with training statistics, and prospective validation with experimental follow-up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(Wilcoxon P=0.019, exceeding 96.2% of random gene-set controls), whereas the corresponding SKCM-based templates in three melanoma ICB cohorts did not exceed random gene-set controls. The IMvigor210 association was concentrated in the low-TMB stratum (Wilcoxon P=0.004) and was absent in the high-TMB stratum (P=0.919); a second urothelial cohort, GSE176307, showed the same direction and the combined BLCA-template effect was significant (P=0.022) with I2 = 0%, although the GSE176307 effect alone did not exceed the 95% random-control threshold (87.4%). These associations were not corrected for multiple testing across cohorts, templates and strata, are interpreted tentatively, and require prospective validation.</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