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pPr>
        <w:pStyle w:val="Heading2"/>
      </w:pPr>
      <w:r>
        <w:t>Authors</w:t>
      </w:r>
    </w:p>
    <w:p>
      <w:r>
        <w:rPr>
          <w:b w:val="0"/>
        </w:rPr>
        <w:t>Zhipeng Wang[1,*], Luning Wang[2,*], Changsong Wang[1,†], Pengli Zhai[3], Zejun Liu[1], Hui Feng[1], Hongmei Liu[1], Qian Hou[1], Ming Guo[1]</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pStyle w:val="Heading2"/>
      </w:pPr>
      <w:r>
        <w:t>Abstract</w:t>
      </w:r>
    </w:p>
    <w:p>
      <w:r>
        <w:rPr>
          <w:b/>
        </w:rPr>
        <w:t>Background:</w:t>
      </w:r>
      <w:r>
        <w:rPr>
          <w:b w:val="0"/>
        </w:rPr>
        <w:t xml:space="preserve"> Cancer prognosis models trained on transcriptomic data face two interconnected problems. Unconstrained deep survival models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within-pathway attention weights are modulated by a learnable malignancy gate; and a Cox partial-likelihood objective with dual regularization is optimized on prognostic risk. The model was benchmarked against seven survival baselines across 11 TCGA cancer types and validated on 25 independent GEO cohorts.</w:t>
      </w:r>
    </w:p>
    <w:p>
      <w:r>
        <w:rPr>
          <w:b/>
        </w:rPr>
        <w:t>Results:</w:t>
      </w:r>
      <w:r>
        <w:rPr>
          <w:b w:val="0"/>
        </w:rPr>
        <w:t xml:space="preserve"> On internal cross-validation, Path-AGNN-Cox reached a mean C-index of 0.56 (SD 0.04), comparable to deep survival baselines but below penalized Cox; no discrimination gain is claimed. Its distinguishing output is the interpretable rewiring: risk-associated pathway weights exceeded label-permutation nulls in BRCA, LUAD and KIRC, correlated with clinical indicators of malignancy, and were absent by construction in static pathway models. A standard GAT control detected fewer significant pathways, and matched random gene-set controls indicated cohort-dependent selectivity with no signal beyond the matched null in LUAD.</w:t>
      </w:r>
    </w:p>
    <w:p>
      <w:r>
        <w:rPr>
          <w:b/>
        </w:rPr>
        <w:t>Conclusion:</w:t>
      </w:r>
      <w:r>
        <w:rPr>
          <w:b w:val="0"/>
        </w:rPr>
        <w:t xml:space="preserve"> Path-AGNN-Cox provides a reproducible framework in which patient-specific pathway graphs become objects of formal statistical testing.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pStyle w:val="Heading2"/>
      </w:pPr>
      <w:r>
        <w:t>1. Introduction</w:t>
      </w:r>
    </w:p>
    <w:p>
      <w:r>
        <w:rPr>
          <w:b w:val="0"/>
        </w:rPr>
        <w:t>Precision oncology increasingly depends on molecular risk stratification to guide adjuvant therapy, surveillance intensity, and clinical-trial design [1,2]. Large public transcriptomic compendia, most notably The Cancer Genome Atlas [3] and the Gene Expression Omnibus [4,5], have made it possible to train and validate prognostic models across many cancer types [6]. Because survival endpoints are censored and expression data are high-dimensional and biologically heterogeneous, this task remains an active frontier of translational bioinformatics.</w:t>
      </w:r>
    </w:p>
    <w:p>
      <w:r>
        <w:rPr>
          <w:b w:val="0"/>
        </w:rPr>
        <w:t>Classical statistical models, such as Cox proportional-hazards regression [1] with Lasso, Ridge, or Elastic-Net penalties [7,8], treat genes as independent covariates and discard the regulatory interaction structure that drives tumor progression. Deep survival models, including DeepSurv [9], Cox-nnet [10], DeepHit [11], and random survival forests [12],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[13,14,15].</w:t>
      </w:r>
    </w:p>
    <w:p>
      <w:r>
        <w:rPr>
          <w:b w:val="0"/>
        </w:rPr>
        <w:t>Graph neural networks provide a natural inductive bias for molecular data [16,17,18]. A growing family of pathway-constrained graph neural networks restricts message passing to gene sets defined by KEGG pathways [19]. PathGNN reported that pathway-topology-constrained propagation improves prognosis across several solid tumors [20]. Cox-Path partitioned genes into KEGG pathway subgraphs and coupled them to a Cox survival head [21]. A prior-knowledge-guided multilevel GNN introduced gene-to-pathway hierarchical propagation for survival prediction [22]. PathMoG most recently extended this concept to multi-omics with 354 KEGG-informed pathway modules and dual-level attention, reporting strong performance across 10 TCGA cohorts [23]. These studies collectively suggest that biological priors can reduce overfitting and improve external validity relative to unconstrained deep models.</w:t>
      </w:r>
    </w:p>
    <w:p>
      <w:r>
        <w:rPr>
          <w:b w:val="0"/>
        </w:rPr>
        <w:t>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[20,21,22,23]. This assumption is difficult to reconcile with the observation that tumor regulatory networks are extensively rewired in a malignancy-dependent manner [24,25,26]. Differential network analyses have, moreover, shown that interaction strengths vary across disease states and individuals rather than forming a single static structure [24,25,26].</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from UCSC Xena [6], log2-transformed and z-scored within training folds, and overall-survival annotation extracted with TCGAbiolinks [27]. These cohorts span diverse tissue origins, event rates, and sample sizes (1896 events; Table 1), providing a rigorous testbed for generalizability. For independent external validation without any fine-tuning, we additionally compiled 25 GEO microarray cohorts [4,5]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For the GEO cohorts, probes were mapped to gene symbols using the platform annotation tables downloaded from NCBI GEO [4]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[19] (57 pathways, 3097 genes in the union; compiled from the KEGG_2021_Human.gmt gene-set collection, KEGG release 2021). Pathway modules containing fewer than three or more than 300 genes were excluded from the model input.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 [1,28],</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 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pStyle w:val="Heading3"/>
      </w:pPr>
      <w:r>
        <w:t>2.7. Evaluation protocol</w:t>
      </w:r>
    </w:p>
    <w:p>
      <w:r>
        <w:rPr>
          <w:b w:val="0"/>
        </w:rPr>
        <w:t>We used stratified 5-fold cross-validation within each TCGA cohort (fold-stratified on the event indicator; random seed 42). The concordance index [2,29] served as the primary discrimination metric; the time-dependent AUC [30] (mean over the 0.25/0.50/0.75 quantile times) was used as a secondary metric. For external validation, each model was retrained on the full TCGA cohort and evaluated on the GEO cohorts without any fine-tuning, following current recommendations for validating prognostic models [31]. Paired Wilcoxon signed-rank tests (per-dataset mean C-index, internal CV) were used to compare Path-AGNN-Cox against each baseline. Decision-curve analysis [32]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[33].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https://github.com/ZhongdaHospital-SEU/Path-AGNN-Cox. Model hyperparameters and baseline configurations are summarized in Table 2.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[34] on CPU, and all survival statistics were computed with lifelines [35]; cross-validation splits and tree baselines were implemented with scikit-learn [36].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pStyle w:val="Heading3"/>
      </w:pPr>
      <w: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hidden [32,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hidden [64], dropout 0.0</w:t>
            </w:r>
          </w:p>
        </w:tc>
      </w:tr>
    </w:tbl>
    <w:p>
      <w:r>
        <w:rPr>
          <w:b/>
        </w:rPr>
        <w:t>Algorithm 1</w:t>
      </w:r>
      <w:r>
        <w:rPr>
          <w:b w:val="0"/>
        </w:rPr>
        <w:t xml:space="preserve"> Training and 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(median y)</w:t>
      </w:r>
    </w:p>
    <w:p>
      <w:pPr>
        <w:spacing w:after="0"/>
      </w:pPr>
      <w:r>
        <w:rPr>
          <w:rFonts w:ascii="Consolas" w:hAnsi="Consolas"/>
          <w:sz w:val="19"/>
        </w:rPr>
        <w:t>8: for each pathway k do</w:t>
      </w:r>
    </w:p>
    <w:p>
      <w:pPr>
        <w:spacing w:after="0"/>
      </w:pPr>
      <w:r>
        <w:rPr>
          <w:rFonts w:ascii="Consolas" w:hAnsi="Consolas"/>
          <w:sz w:val="19"/>
        </w:rPr>
        <w:t>9:   test between-stratum difference of mean edge weight (z-test over edges)</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label permutations (1,000x) to obtain a null</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pStyle w:val="Heading3"/>
      </w:pPr>
      <w:r>
        <w:t>3.3. External validation across 25 GEO cohorts</w:t>
      </w:r>
    </w:p>
    <w:p>
      <w:r>
        <w:rPr>
          <w:b w:val="0"/>
        </w:rPr>
        <w:t>Per-cohort results are summarized in Table 4 and Figure 4. Path-AGNN-Cox maintained C-index above 0.50 in 12/25 external cohorts, compared with 25 for the best baseline. The model transferred relatively consistently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[23,37], whereas Path-AGNN-Cox was validated in 25 independent cohorts spanning 11 tumor types.</w:t>
      </w:r>
    </w:p>
    <w:p>
      <w:r>
        <w:rPr>
          <w:b w:val="0"/>
        </w:rPr>
        <w:t>Calibration of the risk score [38]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pStyle w:val="Heading3"/>
      </w:pPr>
      <w: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in LUAD, indicating that between-stratum attention differences do not require the canonical partition. Combined with the matched-set results of Section 3.4.1, the pathway partition supplies biologically interpretable labels for the rewiring output;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[39]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[40],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P=0.019, n = 68/230) and exceeded 96.2% of 2,850 equal-size random gene-set controls. A second urothelial ICB cohort, GSE176307 (n = 87, 16 responders), showed the same direction with the BLCA template (Hedges g = 0.20, Wilcoxon P=0.588), and the fixed-effect combination of the two BLCA-template cohorts was significant (g = 0.28, 95% CI 0.04–0.53, P=0.022, I2 = 0%). A third urothelial cohort, GSE225066 (NEODURVARIB, n = 16 pre-treatment biopsies; neoadjuvant durvalumab plus olaparib; pathological response), showed no association beyond random gene-set controls (Hedges g = 0.05, Wilcoxon P=1.000, random-control percentile 79.9%), and the three-cohort BLCA-template combination remained nominally significant (g = 0.27, 95% CI 0.03–0.51, P=0.025, I2 = 0%) with the signal carried by the two RECIST-assessed cohorts. Among the four anti-PD-1/PD-L1 cohorts, the combined effect was g = 0.25 (95% CI 0.03–0.47, P=0.025, I2 = 0%), whereas including the anti-CTLA-4 cohort GSE100797 removed the significance (P=0.166). The IMvigor210 association exceeded 96.2% of random gene-set controls and the GSE176307 association reached 87.4%, so the combined evidence is directionally consistent but remains exploratory. In three melanoma ICB cohorts, GSE91061, GSE78220 and GSE100797, the corresponding SKCM-based template showed no association beyond random gene-set controls (Wilcoxon P=0.682, P=0.393 and P=0.174; random-control percentiles 48.9%, 71.1% and 19.4%). As a timepoint sensitivity check in GSE91061, we re-scored the 42 on-treatment biopsies with patient-level response annotation. The nominally inverse association between the SKCM template score and response (Hedges g = -0.50, Wilcoxon P=0.032) fell within the equal-size random gene-set null (38.5th percentile of 2,850 controls), and the paired pre-to-on-treatment change in template score did not differ between responders and non-responders (Hedges g = -0.79, Wilcoxon P=0.081, random-control percentile 8.5%), indicating no additional evidence at the on-treatment timepoint.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Within IMvigor210, this association was concentrated in the low-TMB stratum: among patients with TMB below the median, the template score was higher in responders than in non-responders (mean difference 0.85 SD, Wilcoxon P=0.004, n = 114), whereas no association was present in the high-TMB stratum (P=0.919, n = 120). In the low-TMB stratum, patients with high template scores showed a response rate of 18.4% compared with 6.9% in the low-score group (Fisher exact P=0.032, OR = 3.06). The association was also present within the IC1 immune-cell stratum (Wilcoxon P=0.045) and directionally consistent in IC0 and IC2 (P=0.178 and P=0.087). These stratified analyses are exploratory and were not corrected for multiple testing.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[41]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pStyle w:val="Heading3"/>
      </w:pPr>
      <w: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[42] and ssGSEA scores of nine immune Hallmark gene sets [43,44]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[45] trained on GDSC2 cell-line pharmacogenomic data [46]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pStyle w:val="Heading2"/>
      </w:pPr>
      <w:r>
        <w:t>4. Discussion</w:t>
      </w:r>
    </w:p>
    <w:p>
      <w:r>
        <w:rPr>
          <w:b w:val="0"/>
        </w:rPr>
        <w:t>The conceptual contribution of this work is a framework rather than a module tweak. Existing pathway GNNs, including PathGNN [20], Cox-Path [21], prior-knowledge-guided multilevel GNNs [22], and the multi-omics PathMoG [23], treat the pathway graph as a fixed patient-invariant prior and stop at the risk score. We instead treat the effective graph as a per-patient object and provide the statistical machinery to interrogate its rewiring: edge-level and pathway-level tests with BH-FDR control [33], label-permutation nulls, a static-model negative control, a standard-GAT architectural control, and clinical anchoring. The discrimination of the adaptive model was comparable to deep survival baselines, and we make no claim that per-patient attention improves the C-index; its distinguishing value is that the learned patient-specific edge weights can be formally tested, are clinically anchored to Ki-67 and TMB [39],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w:t>
      </w:r>
    </w:p>
    <w:p>
      <w:r>
        <w:rPr>
          <w:b/>
        </w:rPr>
        <w:t>Comparison with PathMoG.</w:t>
      </w:r>
      <w:r>
        <w:rPr>
          <w:b w:val="0"/>
        </w:rPr>
        <w:t xml:space="preserve"> PathMoG is the closest recent work; it also organizes genes into KEGG pathway modules and uses hierarchical attention for multi-omics survival prediction [23].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[37];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rather than a discrimination gain. Second, the learnable malignancy gate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no wet-lab validation was performed, residual technical heterogeneity across platforms and processing pipelines was not explicitly modeled beyond standardization with training statistics, and prospective validation with experimental follow-up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with Wilcoxon P=0.019 and a random-control percentile of 96.2%, whereas the corresponding SKCM-based templates in three melanoma ICB cohorts did not exceed random gene-set controls. The IMvigor210 association was concentrated in the low-TMB stratum with Wilcoxon P=0.004 and was absent in the high-TMB stratum with P=0.919; a second urothelial cohort, GSE176307, showed the same direction and the combined BLCA-template effect was significant with P=0.022 and I2 = 0%, although the GSE176307 effect alone reached a random-control percentile of 87.4%. These associations were not corrected for multiple testing across cohorts, templates and strata, are interpreted tentatively, and require prospective validation.</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https://github.com/ZhongdaHospital-SEU/Path-AGNN-Cox,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https://github.com/ZhongdaHospital-SEU/Path-AGNN-Cox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Author contributions</w:t>
      </w:r>
    </w:p>
    <w:p>
      <w:r>
        <w:rPr>
          <w:b w:val="0"/>
        </w:rPr>
        <w:t>Zhipeng Wang: conceptualization, methodology, software, formal analysis, and writing of the original draft. Luning Wang: data curation, methodology, and writing of the original draft. Changsong Wang: supervision, project administration, and review and editing of the manuscript. Pengli Zhai: resources and review and editing of the manuscript. Zejun Liu: validation and review and editing of the manuscript. Hui Feng: investigation and visualization. Hongmei Liu: data curation and validation. Qian Hou: software and visualization. Ming Guo: formal analysis and review and editing of the manuscript.</w:t>
      </w:r>
    </w:p>
    <w:p>
      <w:pPr>
        <w:pStyle w:val="Heading2"/>
      </w:pPr>
      <w: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pStyle w:val="Heading2"/>
      </w:pPr>
      <w:r>
        <w:t>Data availability</w:t>
      </w:r>
    </w:p>
    <w:p>
      <w:r>
        <w:rPr>
          <w:b w:val="0"/>
        </w:rPr>
        <w:t>All data were obtained from public repositories: TCGA RNA-seq and clinical annotations from UCSC Xena [6] and GDC, GEO series matrices and platform annotations from NCBI GEO [4,5], and IMvigor210 data from the original publication [40]. Accession numbers are listed in Table 1. To protect patient privacy, per-patient expression matrices, clinical records, and per-patient model outputs are not redistributed; aggregate results required to reproduce every table and figure are provided in the repository.</w:t>
      </w:r>
    </w:p>
    <w:p>
      <w:pPr>
        <w:pStyle w:val="Heading2"/>
      </w:pPr>
      <w:r>
        <w:t>Competing interests</w:t>
      </w:r>
    </w:p>
    <w:p>
      <w:r>
        <w:rPr>
          <w:b w:val="0"/>
        </w:rPr>
        <w:t>The authors declare no competing interests.</w:t>
      </w:r>
    </w:p>
    <w:p>
      <w:pPr>
        <w:pStyle w:val="Heading2"/>
      </w:pPr>
      <w:r>
        <w:t>References</w:t>
      </w:r>
    </w:p>
    <w:p>
      <w:r>
        <w:rPr>
          <w:b w:val="0"/>
        </w:rPr>
        <w:t>1. Cox DR. Regression models and life-tables. J R Stat Soc Ser B Stat Methodol. 1972;34(2):187-220. doi:10.1111/j.2517-6161.1972.tb00899.x</w:t>
      </w:r>
    </w:p>
    <w:p>
      <w:r>
        <w:rPr>
          <w:b w:val="0"/>
        </w:rPr>
        <w:t>2. Harrell FE, Lee KL, Mark DB. Multivariable prognostic models: issues in developing models, evaluating assumptions and adequacy, and measuring and reducing errors. Stat Med. 1996;15(4):361-387. doi:10.1002/(SICI)1097-0258(19960229)15:4&lt;361::AID-SIM168&gt;3.0.CO;2-4</w:t>
      </w:r>
    </w:p>
    <w:p>
      <w:r>
        <w:rPr>
          <w:b w:val="0"/>
        </w:rPr>
        <w:t>3. Weinstein JN, Collisson EA, Mills GB, Shaw KR, Ozenberger BA, Ellrott K, et al. The Cancer Genome Atlas Pan-Cancer analysis project. Nat Genet. 2013;45(10):1113-1120. doi:10.1038/ng.2764</w:t>
      </w:r>
    </w:p>
    <w:p>
      <w:r>
        <w:rPr>
          <w:b w:val="0"/>
        </w:rPr>
        <w:t>4. Barrett T, Wilhite SE, Ledoux P, Evangelista C, Kim IF, Tomashevsky M, et al. NCBI GEO: archive for functional genomics data sets, update. Nucleic Acids Res. 2013;41(D1):D991-D995. doi:10.1093/nar/gks1193</w:t>
      </w:r>
    </w:p>
    <w:p>
      <w:r>
        <w:rPr>
          <w:b w:val="0"/>
        </w:rPr>
        <w:t>5. Davis S, Meltzer PS. GEOquery: a bridge between the Gene Expression Omnibus (GEO) and BioConductor. Bioinformatics. 2007;23(14):1846-1847. doi:10.1093/bioinformatics/btm254</w:t>
      </w:r>
    </w:p>
    <w:p>
      <w:r>
        <w:rPr>
          <w:b w:val="0"/>
        </w:rPr>
        <w:t>6. Goldman MJ, Craft B, Hastie M, Repečka K, McDade F, Kamath A, et al. Visualizing and interpreting cancer genomics data via the Xena platform. Nat Biotechnol. 2020;38(6):675-678. doi:10.1038/s41587-020-0546-8</w:t>
      </w:r>
    </w:p>
    <w:p>
      <w:r>
        <w:rPr>
          <w:b w:val="0"/>
        </w:rPr>
        <w:t>7. Friedman J, Hastie T, Tibshirani R. Regularization paths for generalized linear models via coordinate descent. J Stat Softw. 2010;33(1):1-22. doi:10.18637/jss.v033.i01</w:t>
      </w:r>
    </w:p>
    <w:p>
      <w:r>
        <w:rPr>
          <w:b w:val="0"/>
        </w:rPr>
        <w:t>8. Simon N, Friedman J, Hastie T, Tibshirani R. Regularization paths for Cox's proportional hazards model via coordinate descent. J Stat Softw. 2011;39(5):1-13. doi:10.18637/jss.v039.i05</w:t>
      </w:r>
    </w:p>
    <w:p>
      <w:r>
        <w:rPr>
          <w:b w:val="0"/>
        </w:rPr>
        <w:t>9. Katzman JL, Shaham U, Cloninger A, Bates J, Jiang T, Kluger Y. DeepSurv: personalized treatment recommender system using a Cox proportional hazards deep neural network. BMC Med Res Methodol. 2018;18(1):24. doi:10.1186/s12874-018-0482-1</w:t>
      </w:r>
    </w:p>
    <w:p>
      <w:r>
        <w:rPr>
          <w:b w:val="0"/>
        </w:rPr>
        <w:t>10. Ching T, Zhu X, Garmire LX. Cox-nnet: an artificial neural network method for prognosis prediction of high-throughput omics data. PLoS Comput Biol. 2018;14(4):e1006076. doi:10.1371/journal.pcbi.1006076</w:t>
      </w:r>
    </w:p>
    <w:p>
      <w:r>
        <w:rPr>
          <w:b w:val="0"/>
        </w:rPr>
        <w:t>11. Lee C, Zame W, Yoon J, van der Schaar M. DeepHit: a deep learning approach to survival analysis with competing risks. Proc AAAI Conf Artif Intell. 2018;32(1):2314-2321. doi:10.1609/aaai.v32i1.11842</w:t>
      </w:r>
    </w:p>
    <w:p>
      <w:r>
        <w:rPr>
          <w:b w:val="0"/>
        </w:rPr>
        <w:t>12. Ishwaran H, Kogalur UB, Blackstone EH, Lauer MS. Random survival forests. Ann Appl Stat. 2008;2(3):841-860. doi:10.1214/08-AOAS169</w:t>
      </w:r>
    </w:p>
    <w:p>
      <w:r>
        <w:rPr>
          <w:b w:val="0"/>
        </w:rPr>
        <w:t>13. Eraslan G, Avsec Ž, Gagneur J, Theis FJ. Deep learning: new computational modelling techniques for genomics. Nat Rev Genet. 2019;20(7):389-403. doi:10.1038/s41576-019-0122-6</w:t>
      </w:r>
    </w:p>
    <w:p>
      <w:r>
        <w:rPr>
          <w:b w:val="0"/>
        </w:rPr>
        <w:t>14. Wainberg M, Merico D, Delong A, Frey BJ. Deep learning in biomedicine. Nat Biotechnol. 2018;36(9):829-838. doi:10.1038/nbt.4233</w:t>
      </w:r>
    </w:p>
    <w:p>
      <w:r>
        <w:rPr>
          <w:b w:val="0"/>
        </w:rPr>
        <w:t>15. Miotto R, Wang F, Wang S, Jiang X, Dudley JT. Deep learning for healthcare: review, opportunities and challenges. Brief Bioinform. 2018;19(6):1236-1246. doi:10.1093/bib/bbx044</w:t>
      </w:r>
    </w:p>
    <w:p>
      <w:r>
        <w:rPr>
          <w:b w:val="0"/>
        </w:rPr>
        <w:t>16. Kipf TN, Welling M. Semi-supervised classification with graph convolutional networks. arXiv:1609.02907 [cs.LG]. 2017. doi:10.48550/arXiv.1609.02907</w:t>
      </w:r>
    </w:p>
    <w:p>
      <w:r>
        <w:rPr>
          <w:b w:val="0"/>
        </w:rPr>
        <w:t>17. Veličković P, Cucurull G, Casanova A, Romero A, Liò P, Bengio Y. Graph attention networks. arXiv:1710.10903 [cs.LG]. 2018. doi:10.48550/arXiv.1710.10903</w:t>
      </w:r>
    </w:p>
    <w:p>
      <w:r>
        <w:rPr>
          <w:b w:val="0"/>
        </w:rPr>
        <w:t>18. Zitnik M, Agrawal M, Leskovec J. Modeling polypharmacy side effects with graph convolutional networks. Bioinformatics. 2018;34(13):i457-i466. doi:10.1093/bioinformatics/bty294</w:t>
      </w:r>
    </w:p>
    <w:p>
      <w:r>
        <w:rPr>
          <w:b w:val="0"/>
        </w:rPr>
        <w:t>19. Kanehisa M, Furumichi M, Sato Y, Kawashima M, Ishiguro-Watanabe M. KEGG for taxonomy-based analysis of pathways and genomes. Nucleic Acids Res. 2023;51(D1):D587-D592. doi:10.1093/nar/gkac963</w:t>
      </w:r>
    </w:p>
    <w:p>
      <w:r>
        <w:rPr>
          <w:b w:val="0"/>
        </w:rPr>
        <w:t>20. Liang J, Zhang Y, Chen H, et al. Risk stratification and pathway analysis based on graph neural network and interpretable algorithm. BMC Bioinformatics. 2022;23(1):411. doi:10.1186/s12859-022-04950-1</w:t>
      </w:r>
    </w:p>
    <w:p>
      <w:r>
        <w:rPr>
          <w:b w:val="0"/>
        </w:rPr>
        <w:t>21. 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r>
        <w:rPr>
          <w:b w:val="0"/>
        </w:rPr>
        <w:t>22. Yan H, Weng D, Li D, Gu Y, Ma W, Liu Q. Prior knowledge-guided multilevel graph neural network for tumor risk prediction and interpretation via multi-omics data integration. Brief Bioinform. 2024;25(4):bbae184. doi:10.1093/bib/bbae184</w:t>
      </w:r>
    </w:p>
    <w:p>
      <w:r>
        <w:rPr>
          <w:b w:val="0"/>
        </w:rPr>
        <w:t>23. Wang Z, et al. PathMoG: a pathway-centric modular graph neural network for multi-omics survival prediction. arXiv:2604.24371 [q-bio.QM]. 2026. doi:10.48550/arXiv.2604.24371</w:t>
      </w:r>
    </w:p>
    <w:p>
      <w:r>
        <w:rPr>
          <w:b w:val="0"/>
        </w:rPr>
        <w:t>24. Ha MJ, Baladandayuthapani V. DINGO: differential network analysis in genomics. Bioinformatics. 2015;31(21):3413-3420. doi:10.1093/bioinformatics/btv406</w:t>
      </w:r>
    </w:p>
    <w:p>
      <w:r>
        <w:rPr>
          <w:b w:val="0"/>
        </w:rPr>
        <w:t>25. de la Fuente A. From differential expression to differential networking: identification of dysfunctional regulatory networks in diseases. Trends Genet. 2010;26(7):326-333. doi:10.1016/j.tig.2010.05.001</w:t>
      </w:r>
    </w:p>
    <w:p>
      <w:r>
        <w:rPr>
          <w:b w:val="0"/>
        </w:rPr>
        <w:t>26. Gill R, Datta S, Datta S. A statistical framework for differential network analysis from microarray data. BMC Bioinformatics. 2010;11:95. doi:10.1186/1471-2105-11-95</w:t>
      </w:r>
    </w:p>
    <w:p>
      <w:r>
        <w:rPr>
          <w:b w:val="0"/>
        </w:rPr>
        <w:t>27. Colaprico A, Silva TC, Olsen C, Garofano L, Cava C, Garolini D, et al. TCGAbiolinks: an R/Bioconductor package for integrative analysis of TCGA data. Nucleic Acids Res. 2016;44(8):e71. doi:10.1093/nar/gkv1507</w:t>
      </w:r>
    </w:p>
    <w:p>
      <w:r>
        <w:rPr>
          <w:b w:val="0"/>
        </w:rPr>
        <w:t>28. Therneau TM, Grambsch PM. Modeling Survival Data: Extending the Cox Model. New York: Springer; 2000. doi:10.1007/978-1-4757-3294-8</w:t>
      </w:r>
    </w:p>
    <w:p>
      <w:r>
        <w:rPr>
          <w:b w:val="0"/>
        </w:rPr>
        <w:t>29. Uno H, Cai T, Pencina MJ, D'Agostino RB, Wei LJ. On the C-statistics for evaluating overall adequacy of risk prediction procedures with censored survival data. Stat Med. 2011;30(10):1105-1117. doi:10.1002/sim.4154</w:t>
      </w:r>
    </w:p>
    <w:p>
      <w:r>
        <w:rPr>
          <w:b w:val="0"/>
        </w:rPr>
        <w:t>30. Heagerty PJ, Zheng Y. Survival model predictive accuracy and ROC curves. Biometrics. 2005;61(1):92-105. doi:10.1111/j.0006-341X.2005.030814.x</w:t>
      </w:r>
    </w:p>
    <w:p>
      <w:r>
        <w:rPr>
          <w:b w:val="0"/>
        </w:rPr>
        <w:t>31. Altman DG, Vergouwe Y, Royston P, Moons KG. Prognosis and prognostic research: validating a prognostic model. BMJ. 2009;338:b605. doi:10.1136/bmj.b605</w:t>
      </w:r>
    </w:p>
    <w:p>
      <w:r>
        <w:rPr>
          <w:b w:val="0"/>
        </w:rPr>
        <w:t>32. Vickers AJ, Elkin EB. Decision curve analysis: a novel method for evaluating prediction models. Med Decis Making. 2006;26(6):565-574. doi:10.1177/0272989X06295361</w:t>
      </w:r>
    </w:p>
    <w:p>
      <w:r>
        <w:rPr>
          <w:b w:val="0"/>
        </w:rPr>
        <w:t>33. Benjamini Y, Hochberg Y. Controlling the false discovery rate: a practical and powerful approach to multiple testing. J R Stat Soc Ser B Stat Methodol. 1995;57(1):289-300. doi:10.1111/j.2517-6161.1995.tb02031.x</w:t>
      </w:r>
    </w:p>
    <w:p>
      <w:r>
        <w:rPr>
          <w:b w:val="0"/>
        </w:rPr>
        <w:t>34. Paszke A, Gross S, Massa F, Lerer A, Bradbury J, Chanan G, et al. PyTorch: an imperative style, high-performance deep learning library. arXiv:1912.01703 [cs.LG]. 2019. doi:10.48550/arXiv.1912.01703</w:t>
      </w:r>
    </w:p>
    <w:p>
      <w:r>
        <w:rPr>
          <w:b w:val="0"/>
        </w:rPr>
        <w:t>35. Davidson-Pilon C. lifelines: survival analysis in Python. J Open Source Softw. 2019;4(39):1317. doi:10.21105/joss.01317</w:t>
      </w:r>
    </w:p>
    <w:p>
      <w:r>
        <w:rPr>
          <w:b w:val="0"/>
        </w:rPr>
        <w:t>36. Pedregosa F, Varoquaux G, Gramfort A, Michel V, Thirion B, Grisel O, et al. Scikit-learn: machine learning in Python. arXiv:1201.0490 [cs.LG]. 2011. doi:10.48550/arXiv.1201.0490</w:t>
      </w:r>
    </w:p>
    <w:p>
      <w:r>
        <w:rPr>
          <w:b w:val="0"/>
        </w:rPr>
        <w:t>37. Curtis C, Shah SP, Chin SF, Turashvili G, Rueda OM, Dunning MJ, et al. The genomic and transcriptomic architecture of 2,000 breast tumours reveals novel subgroups. Nature. 2012;486(7403):346-352. doi:10.1038/nature10983</w:t>
      </w:r>
    </w:p>
    <w:p>
      <w:r>
        <w:rPr>
          <w:b w:val="0"/>
        </w:rPr>
        <w:t>38. Crowson CS, Atkinson EJ, Therneau TM. Assessing calibration of prognostic risk scores. Stat Methods Med Res. 2016;25(4):1692-1706. doi:10.1177/0962280213497434</w:t>
      </w:r>
    </w:p>
    <w:p>
      <w:r>
        <w:rPr>
          <w:b w:val="0"/>
        </w:rPr>
        <w:t>39. Chalmers ZR, Connelly CF, Fabrizio D, Gay L, Ali SM, Ennis R, et al. Analysis of 100,000 human cancer genomes reveals the landscape of tumor mutational burden. Genome Med. 2017;9:34. doi:10.1186/s13073-017-0424-2</w:t>
      </w:r>
    </w:p>
    <w:p>
      <w:r>
        <w:rPr>
          <w:b w:val="0"/>
        </w:rPr>
        <w:t>40. Mariathasan S, Turley SJ, Nickles D, et al. TGFβ attenuates tumour response to PD-L1 blockade by contributing to exclusion of T cells. Nature. 2018;554(7693):544-548. doi:10.1038/nature25501</w:t>
      </w:r>
    </w:p>
    <w:p>
      <w:r>
        <w:rPr>
          <w:b w:val="0"/>
        </w:rPr>
        <w:t>41. Yoshihara K, Shahmoradgoli M, Martínez E, Vegesna R, Kim H, Torres-Garcia W, et al. Inferring tumour purity and stromal and immune cell admixture from expression data. Nat Commun. 2013;4:2612. doi:10.1038/ncomms3612</w:t>
      </w:r>
    </w:p>
    <w:p>
      <w:r>
        <w:rPr>
          <w:b w:val="0"/>
        </w:rPr>
        <w:t>42. Becht E, Giraldo NA, Lacroix L, Buttard B, Elarouci N, Petitprez F, et al. Estimating the population abundance of tissue-infiltrating immune and stromal cell populations using gene expression. Genome Biol. 2016;17:218. doi:10.1186/s13059-016-1070-5</w:t>
      </w:r>
    </w:p>
    <w:p>
      <w:r>
        <w:rPr>
          <w:b w:val="0"/>
        </w:rPr>
        <w:t>43. Hänzelmann S, Castelo R, Guinney J. GSVA: gene set variation analysis for microarray and RNA-seq data. BMC Bioinformatics. 2013;14:7. doi:10.1186/1471-2105-14-7</w:t>
      </w:r>
    </w:p>
    <w:p>
      <w:r>
        <w:rPr>
          <w:b w:val="0"/>
        </w:rPr>
        <w:t>44. Liberzon A, Birger C, Thorvaldsdóttir H, Ghandi M, Mesirov JP, Tamayo P. The Molecular Signatures Database Hallmark gene set collection. Cell Syst. 2015;1(6):417-425. doi:10.1016/j.cels.2015.12.004</w:t>
      </w:r>
    </w:p>
    <w:p>
      <w:r>
        <w:rPr>
          <w:b w:val="0"/>
        </w:rPr>
        <w:t>45. Maeser D, Gruener RF, Huang RS. oncoPredict: an R package for predicting in vivo or cancer patient drug response and biomarkers from cell line screening data. Brief Bioinform. 2021;22(6):bbab260. doi:10.1093/bib/bbab260</w:t>
      </w:r>
    </w:p>
    <w:p>
      <w:r>
        <w:rPr>
          <w:b w:val="0"/>
        </w:rPr>
        <w:t>46. 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