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high-dimensional transcriptomic data face two interconnected problems. Unconstrained deep survival models act as black boxes that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sample-specific within-pathway attention weights are computed with a learnable malignancy-modulated gate; and a Cox partial-likelihood objective with dual regularization is optimized directly on prognostic risk. We benchmarked Path-AGNN-Cox against seven survival baselines across 11 TCGA cancer types with stratified 5-fold cross-validation and validated transferability on 25 independent GEO cohorts.</w:t>
      </w:r>
    </w:p>
    <w:p>
      <w:r>
        <w:rPr>
          <w:b/>
        </w:rPr>
        <w:t>Results:</w:t>
      </w:r>
      <w:r>
        <w:rPr>
          <w:b w:val="0"/>
        </w:rPr>
        <w:t xml:space="preserve"> On internal cross-validation, Path-AGNN-Cox reached a mean C-index of 0.56 (SD 0.04), comparable to deep survival baselines but below penalized Cox; we therefore make no claim of a discrimination gain. Its distinguishing value is the interpretable rewiring output: risk-associated pathway weights exceeded label-permutation nulls in BRCA (43/53 pathways), LUAD (3/53) and KIRC (52/53), correlated with clinical indicators of malignancy, and were absent by construction in static pathway models. Under the same testing procedure, a standard GAT control detected 3 of 54 pathways in KIRC and 11 of 54 in BRCA, compared with 52 and 43 of 53 for the pathway-constrained model; the framework thus distinguished cohorts with detectable rewiring from LUAD, where pathway-constrained signal did not exceed matched nulls.</w:t>
      </w:r>
    </w:p>
    <w:p>
      <w:r>
        <w:rPr>
          <w:b/>
        </w:rPr>
        <w:t>Conclusion:</w:t>
      </w:r>
      <w:r>
        <w:rPr>
          <w:b w:val="0"/>
        </w:rPr>
        <w:t xml:space="preserve"> Path-AGNN-Cox provides a reproducible framework in which patient-specific pathway graphs become objects of formal statistical testing, without requiring a discrimination gain over classical baselines.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showed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 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 = 0.019, n = 68/230) and exceeded 96.2% of 2,850 equal-size random gene-set controls. A second urothelial ICB cohort, GSE176307 (n = 87, 16 responders), showed the same direction with the BLCA template (Hedges g = 0.20, Wilcoxon P = 0.588), and the fixed-effect combination of the two BLCA-template cohorts was significant (g = 0.28, 95% CI 0.04-0.53, P = 0.022, I2 = 0%). Among the four anti-PD-1/PD-L1 cohorts, the combined effect was g = 0.25 (95% CI 0.03-0.47, P = 0.025, I2 = 0%), whereas including the anti-CTLA-4 cohort GSE100797 removed the significance (P = 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 = 0.682, P = 0.393 and P = 0.174; random-control percentiles 48.9%, 71.1% and 19.4%).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 = 0.004, n = 114), whereas no association was present in the high-TMB stratum (P = 0.919, n = 120). In the low-TMB stratum, patients with high template scores showed a response rate of 18.4% compared with 6.9% in the low-score group (Fisher exact P = 0.032, OR = 3.06). The association was also present within the IC1 immune-cell stratum (Wilcoxon P = 0.045) and directionally consistent in IC0 and IC2 (P = 0.178 and P = 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prospective validation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(Wilcoxon P = 0.019, exceeding 96.2% of random gene-set controls), whereas the corresponding SKCM-based templates in three melanoma ICB cohorts did not exceed random gene-set controls. The IMvigor210 association was concentrated in the low-TMB stratum (Wilcoxon P = 0.004) and was absent in the high-TMB stratum (P = 0.919); a second urothelial cohort, GSE176307, showed the same direction and the combined BLCA-template effect was significant (P = 0.022) with I2 = 0%, although the GSE176307 effect alone did not exceed the 95% random-control threshold (87.4%). These associations were not corrected for multiple testing across cohorts, templates and strata and require prospective validation.</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w:t>
      </w:r>
    </w:p>
    <w:p>
      <w:r>
        <w:rPr>
          <w:b w:val="0"/>
        </w:rPr>
        <w:t>17. Veličković P, Cucurull G, Casanova A, Romero A, Liò P, Bengio Y. Graph attention networks. arXiv:1710.10903 [cs.LG]. 2018.</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