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Highlights</w:t>
      </w:r>
    </w:p>
    <w:p>
      <w:pPr>
        <w:pStyle w:val="ListBullet"/>
      </w:pPr>
      <w:r>
        <w:t>Path-AGNN-Cox learns per-patient pathway graphs within KEGG pathway modules and links them to survival through a Cox objective.</w:t>
      </w:r>
    </w:p>
    <w:p>
      <w:pPr>
        <w:pStyle w:val="ListBullet"/>
      </w:pPr>
      <w:r>
        <w:t>A reproducible statistical framework formally tests patient-specific pathway rewiring: edge/pathway-level tests with FDR control, label-permutation nulls, static and standard-GAT negative controls.</w:t>
      </w:r>
    </w:p>
    <w:p>
      <w:pPr>
        <w:pStyle w:val="ListBullet"/>
      </w:pPr>
      <w:r>
        <w:t>Rewiring magnitude is clinically anchored (Ki-67 in two independent cohorts, TMB in LUAD) and is reported transparently where associations are not significant (external GEO replication, IMvigor210 response).</w:t>
      </w:r>
    </w:p>
    <w:p>
      <w:pPr>
        <w:pStyle w:val="ListBullet"/>
      </w:pPr>
      <w:r>
        <w:t>Open-source, pip-installable package with reproducible pipelines covering 11 TCGA cancer types and 25 independent GEO validation cohorts.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