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Beyond predictive performance, we assess the biological content of the learned sample-specific edge weights: between-stratum rewiring is compared with label-permutation nulls, matched random gene-set controls, and clinical indicators of malignancy, whereas static models by construction cannot produce such signal.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absolute attention directions are therefore not compared across cohorts, and only the within-cohort existence of risk-associated pathway structure is claimed.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