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0B951A">
      <w:pPr>
        <w:jc w:val="center"/>
        <w:outlineLvl w:val="9"/>
        <w:rPr>
          <w:rFonts w:hint="eastAsia"/>
          <w:sz w:val="24"/>
          <w:szCs w:val="24"/>
          <w:lang w:val="en-US" w:eastAsia="zh-CN"/>
        </w:rPr>
      </w:pPr>
    </w:p>
    <w:p w14:paraId="7BA92826">
      <w:pPr>
        <w:jc w:val="center"/>
        <w:rPr>
          <w:rFonts w:hint="eastAsia"/>
          <w:sz w:val="24"/>
          <w:szCs w:val="24"/>
          <w:lang w:val="en-US" w:eastAsia="zh-CN"/>
        </w:rPr>
      </w:pPr>
    </w:p>
    <w:p w14:paraId="4FB6BA6E">
      <w:pPr>
        <w:jc w:val="center"/>
        <w:rPr>
          <w:rFonts w:hint="eastAsia"/>
          <w:sz w:val="24"/>
          <w:szCs w:val="24"/>
          <w:lang w:val="en-US" w:eastAsia="zh-CN"/>
        </w:rPr>
      </w:pPr>
    </w:p>
    <w:p w14:paraId="66994B67">
      <w:pPr>
        <w:jc w:val="center"/>
        <w:rPr>
          <w:rFonts w:hint="eastAsia"/>
          <w:sz w:val="24"/>
          <w:szCs w:val="24"/>
          <w:lang w:val="en-US" w:eastAsia="zh-CN"/>
        </w:rPr>
      </w:pPr>
    </w:p>
    <w:p w14:paraId="20713B92">
      <w:pPr>
        <w:jc w:val="center"/>
        <w:rPr>
          <w:rFonts w:hint="eastAsia"/>
          <w:sz w:val="24"/>
          <w:szCs w:val="24"/>
          <w:lang w:val="en-US" w:eastAsia="zh-CN"/>
        </w:rPr>
      </w:pPr>
    </w:p>
    <w:p w14:paraId="4909A1E4">
      <w:pPr>
        <w:jc w:val="center"/>
        <w:rPr>
          <w:rFonts w:hint="eastAsia"/>
          <w:sz w:val="24"/>
          <w:szCs w:val="24"/>
          <w:lang w:val="en-US" w:eastAsia="zh-CN"/>
        </w:rPr>
      </w:pPr>
    </w:p>
    <w:p w14:paraId="54922325">
      <w:pPr>
        <w:jc w:val="center"/>
        <w:rPr>
          <w:rFonts w:hint="eastAsia"/>
          <w:sz w:val="24"/>
          <w:szCs w:val="24"/>
          <w:lang w:val="en-US" w:eastAsia="zh-CN"/>
        </w:rPr>
      </w:pPr>
    </w:p>
    <w:p w14:paraId="7EBB581E">
      <w:pPr>
        <w:jc w:val="center"/>
        <w:rPr>
          <w:rFonts w:hint="eastAsia"/>
          <w:sz w:val="24"/>
          <w:szCs w:val="24"/>
          <w:lang w:val="en-US" w:eastAsia="zh-CN"/>
        </w:rPr>
      </w:pPr>
    </w:p>
    <w:p w14:paraId="4DE9E46A">
      <w:pPr>
        <w:jc w:val="center"/>
        <w:rPr>
          <w:rFonts w:hint="eastAsia"/>
          <w:sz w:val="24"/>
          <w:szCs w:val="24"/>
          <w:lang w:val="en-US" w:eastAsia="zh-CN"/>
        </w:rPr>
      </w:pPr>
    </w:p>
    <w:p w14:paraId="44FC340F">
      <w:pPr>
        <w:jc w:val="center"/>
        <w:rPr>
          <w:rFonts w:hint="eastAsia"/>
          <w:sz w:val="24"/>
          <w:szCs w:val="24"/>
          <w:lang w:val="en-US" w:eastAsia="zh-CN"/>
        </w:rPr>
      </w:pPr>
    </w:p>
    <w:p w14:paraId="00DA7FD9">
      <w:pPr>
        <w:jc w:val="center"/>
        <w:rPr>
          <w:rFonts w:hint="eastAsia"/>
          <w:sz w:val="24"/>
          <w:szCs w:val="24"/>
          <w:lang w:val="en-US" w:eastAsia="zh-CN"/>
        </w:rPr>
      </w:pPr>
    </w:p>
    <w:p w14:paraId="78E6957F">
      <w:pPr>
        <w:jc w:val="center"/>
        <w:rPr>
          <w:rFonts w:hint="eastAsia"/>
          <w:sz w:val="84"/>
          <w:szCs w:val="84"/>
          <w:lang w:val="en-US" w:eastAsia="zh-CN"/>
        </w:rPr>
      </w:pPr>
    </w:p>
    <w:p w14:paraId="4C66AAF7">
      <w:pPr>
        <w:jc w:val="center"/>
        <w:outlineLvl w:val="0"/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</w:pPr>
      <w:bookmarkStart w:id="0" w:name="_Toc30977"/>
      <w: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  <w:t>校园医务系统</w:t>
      </w:r>
      <w:bookmarkEnd w:id="0"/>
    </w:p>
    <w:p w14:paraId="744313BC">
      <w:pPr>
        <w:jc w:val="center"/>
        <w:outlineLvl w:val="0"/>
        <w:rPr>
          <w:rFonts w:hint="eastAsia" w:ascii="微软雅黑" w:hAnsi="微软雅黑" w:eastAsia="微软雅黑" w:cs="微软雅黑"/>
          <w:sz w:val="84"/>
          <w:szCs w:val="84"/>
          <w:lang w:val="en-US" w:eastAsia="zh-CN"/>
        </w:rPr>
      </w:pPr>
      <w:bookmarkStart w:id="1" w:name="_Toc21040"/>
      <w:r>
        <w:rPr>
          <w:rFonts w:hint="eastAsia" w:ascii="微软雅黑" w:hAnsi="微软雅黑" w:eastAsia="微软雅黑" w:cs="微软雅黑"/>
          <w:sz w:val="84"/>
          <w:szCs w:val="84"/>
          <w:lang w:val="en-US" w:eastAsia="zh-CN"/>
        </w:rPr>
        <w:t>用户界面设计</w:t>
      </w:r>
      <w:bookmarkEnd w:id="1"/>
    </w:p>
    <w:p w14:paraId="2FC43057">
      <w:pPr>
        <w:rPr>
          <w:rFonts w:hint="eastAsia" w:ascii="微软雅黑" w:hAnsi="微软雅黑" w:eastAsia="微软雅黑" w:cs="微软雅黑"/>
          <w:sz w:val="84"/>
          <w:szCs w:val="84"/>
          <w:lang w:val="en-US" w:eastAsia="zh-CN"/>
        </w:rPr>
      </w:pPr>
      <w:r>
        <w:rPr>
          <w:rFonts w:hint="eastAsia" w:ascii="微软雅黑" w:hAnsi="微软雅黑" w:eastAsia="微软雅黑" w:cs="微软雅黑"/>
          <w:sz w:val="84"/>
          <w:szCs w:val="84"/>
          <w:lang w:val="en-US" w:eastAsia="zh-CN"/>
        </w:rPr>
        <w:br w:type="page"/>
      </w:r>
    </w:p>
    <w:p w14:paraId="4AD3104E">
      <w:pPr>
        <w:jc w:val="center"/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目 录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0271"/>
        <w15:color w:val="DBDBDB"/>
        <w:docPartObj>
          <w:docPartGallery w:val="Table of Contents"/>
          <w:docPartUnique/>
        </w:docPartObj>
      </w:sdtPr>
      <w:sdtEndPr>
        <w:rPr>
          <w:rFonts w:hint="default" w:ascii="微软雅黑" w:hAnsi="微软雅黑" w:eastAsia="微软雅黑" w:cs="微软雅黑"/>
          <w:kern w:val="2"/>
          <w:sz w:val="21"/>
          <w:szCs w:val="24"/>
          <w:lang w:val="en-US" w:eastAsia="zh-CN" w:bidi="ar-SA"/>
        </w:rPr>
      </w:sdtEndPr>
      <w:sdtContent>
        <w:p w14:paraId="04B377D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506C365C">
          <w:pPr>
            <w:pStyle w:val="7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instrText xml:space="preserve">TOC \o "1-3" \h \u </w:instrText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instrText xml:space="preserve"> HYPERLINK \l _Toc30977 </w:instrText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4"/>
              <w:szCs w:val="24"/>
              <w:lang w:val="en-US" w:eastAsia="zh-CN"/>
            </w:rPr>
            <w:t>校园医务系统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_Toc30977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end"/>
          </w:r>
        </w:p>
        <w:p w14:paraId="448F18AD">
          <w:pPr>
            <w:pStyle w:val="7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instrText xml:space="preserve"> HYPERLINK \l _Toc21040 </w:instrText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4"/>
              <w:szCs w:val="24"/>
              <w:lang w:val="en-US" w:eastAsia="zh-CN"/>
            </w:rPr>
            <w:t>用户界面设计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_Toc21040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end"/>
          </w:r>
        </w:p>
        <w:p w14:paraId="72D3D170">
          <w:pPr>
            <w:pStyle w:val="7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instrText xml:space="preserve"> HYPERLINK \l _Toc31884 </w:instrText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bCs/>
              <w:sz w:val="24"/>
              <w:szCs w:val="24"/>
              <w:lang w:val="en-US" w:eastAsia="zh-CN"/>
            </w:rPr>
            <w:t>第一章 引言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_Toc31884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end"/>
          </w:r>
        </w:p>
        <w:p w14:paraId="60C88574">
          <w:pPr>
            <w:pStyle w:val="8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instrText xml:space="preserve"> HYPERLINK \l _Toc22320 </w:instrText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1.1 编写目的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_Toc22320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end"/>
          </w:r>
        </w:p>
        <w:p w14:paraId="47218037">
          <w:pPr>
            <w:pStyle w:val="8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instrText xml:space="preserve"> HYPERLINK \l _Toc1996 </w:instrText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1.2 文档范围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_Toc1996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end"/>
          </w:r>
        </w:p>
        <w:p w14:paraId="2E085379">
          <w:pPr>
            <w:pStyle w:val="8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instrText xml:space="preserve"> HYPERLINK \l _Toc2892 </w:instrText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1.3 术语定义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_Toc2892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end"/>
          </w:r>
        </w:p>
        <w:p w14:paraId="2484C352">
          <w:pPr>
            <w:pStyle w:val="7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instrText xml:space="preserve"> HYPERLINK \l _Toc31741 </w:instrText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bCs/>
              <w:sz w:val="24"/>
              <w:szCs w:val="24"/>
              <w:lang w:val="en-US" w:eastAsia="zh-CN"/>
            </w:rPr>
            <w:t>第二章 界面设计原则与目标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_Toc31741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end"/>
          </w:r>
        </w:p>
        <w:p w14:paraId="7FE6806E">
          <w:pPr>
            <w:pStyle w:val="8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instrText xml:space="preserve"> HYPERLINK \l _Toc18120 </w:instrText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2.1 以用户为中心的设计依据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_Toc18120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end"/>
          </w:r>
        </w:p>
        <w:p w14:paraId="64B2CA6D">
          <w:pPr>
            <w:pStyle w:val="8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instrText xml:space="preserve"> HYPERLINK \l _Toc9343 </w:instrText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2.2 界面设计原则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_Toc9343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end"/>
          </w:r>
        </w:p>
        <w:p w14:paraId="7884027E">
          <w:pPr>
            <w:pStyle w:val="8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instrText xml:space="preserve"> HYPERLINK \l _Toc21250 </w:instrText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2.3 设计工具说明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_Toc21250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end"/>
          </w:r>
        </w:p>
        <w:p w14:paraId="59F73145">
          <w:pPr>
            <w:pStyle w:val="7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instrText xml:space="preserve"> HYPERLINK \l _Toc10928 </w:instrText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bCs/>
              <w:sz w:val="24"/>
              <w:szCs w:val="24"/>
              <w:lang w:val="en-US" w:eastAsia="zh-CN"/>
            </w:rPr>
            <w:t>第三章 软件用户界面原型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_Toc10928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end"/>
          </w:r>
        </w:p>
        <w:p w14:paraId="5634D429">
          <w:pPr>
            <w:pStyle w:val="8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instrText xml:space="preserve"> HYPERLINK \l _Toc2934 </w:instrText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3.1 学生端界面原型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_Toc2934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end"/>
          </w:r>
        </w:p>
        <w:p w14:paraId="6A89233A">
          <w:pPr>
            <w:pStyle w:val="6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instrText xml:space="preserve"> HYPERLINK \l _Toc15716 </w:instrText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3.1.1 首页（待办事项）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_Toc15716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end"/>
          </w:r>
        </w:p>
        <w:p w14:paraId="0A486E10">
          <w:pPr>
            <w:pStyle w:val="6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instrText xml:space="preserve"> HYPERLINK \l _Toc18371 </w:instrText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3.1.2 预约挂号页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_Toc18371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5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end"/>
          </w:r>
        </w:p>
        <w:p w14:paraId="4B2D3777">
          <w:pPr>
            <w:pStyle w:val="6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instrText xml:space="preserve"> HYPERLINK \l _Toc12637 </w:instrText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3.1.3 在线缴费页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_Toc12637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5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end"/>
          </w:r>
        </w:p>
        <w:p w14:paraId="2CAB0E04">
          <w:pPr>
            <w:pStyle w:val="6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instrText xml:space="preserve"> HYPERLINK \l _Toc24283 </w:instrText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3.1.4 个人中心页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_Toc24283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5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end"/>
          </w:r>
        </w:p>
        <w:p w14:paraId="5137BD6E">
          <w:pPr>
            <w:pStyle w:val="8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instrText xml:space="preserve"> HYPERLINK \l _Toc18988 </w:instrText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3.2 管理端界面原型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_Toc18988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6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end"/>
          </w:r>
        </w:p>
        <w:p w14:paraId="2D286A26">
          <w:pPr>
            <w:pStyle w:val="6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instrText xml:space="preserve"> HYPERLINK \l _Toc21710 </w:instrText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3.2.1 数据看板（首页）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_Toc21710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6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end"/>
          </w:r>
        </w:p>
        <w:p w14:paraId="3D34EE75">
          <w:pPr>
            <w:pStyle w:val="6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instrText xml:space="preserve"> HYPERLINK \l _Toc5978 </w:instrText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3.2.2 功能操作页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_Toc5978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6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end"/>
          </w:r>
        </w:p>
        <w:p w14:paraId="55604C84">
          <w:pPr>
            <w:pStyle w:val="6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instrText xml:space="preserve"> HYPERLINK \l _Toc4045 </w:instrText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3.2.3 审核操作确认弹窗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_Toc4045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6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end"/>
          </w:r>
        </w:p>
        <w:p w14:paraId="2AD7B014">
          <w:pPr>
            <w:pStyle w:val="8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instrText xml:space="preserve"> HYPERLINK \l _Toc28640 </w:instrText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3.3 界面跳转关系图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_Toc28640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end"/>
          </w:r>
        </w:p>
        <w:p w14:paraId="7ABA37C9">
          <w:pPr>
            <w:pStyle w:val="8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instrText xml:space="preserve"> HYPERLINK \l _Toc5716 </w:instrText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3.4 关键设计要素标注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_Toc5716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8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end"/>
          </w:r>
        </w:p>
        <w:p w14:paraId="34E89C09">
          <w:pPr>
            <w:pStyle w:val="7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instrText xml:space="preserve"> HYPERLINK \l _Toc9764 </w:instrText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bCs/>
              <w:sz w:val="24"/>
              <w:szCs w:val="24"/>
              <w:lang w:val="en-US" w:eastAsia="zh-CN"/>
            </w:rPr>
            <w:t>第四章 界面相关 UML 模型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_Toc9764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9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end"/>
          </w:r>
        </w:p>
        <w:p w14:paraId="29B0A335">
          <w:pPr>
            <w:pStyle w:val="8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instrText xml:space="preserve"> HYPERLINK \l _Toc10143 </w:instrText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4.1 界面 UML 类图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_Toc10143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9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end"/>
          </w:r>
        </w:p>
        <w:p w14:paraId="21CCC2BB">
          <w:pPr>
            <w:pStyle w:val="8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instrText xml:space="preserve"> HYPERLINK \l _Toc8474 </w:instrText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4.2 界面跳转顺序图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_Toc8474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10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end"/>
          </w:r>
        </w:p>
        <w:p w14:paraId="09C84056">
          <w:pPr>
            <w:pStyle w:val="7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instrText xml:space="preserve"> HYPERLINK \l _Toc18649 </w:instrText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  <w:lang w:val="en-US" w:eastAsia="zh-CN"/>
            </w:rPr>
            <w:t>第五章 界面设计说明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_Toc18649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14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end"/>
          </w:r>
        </w:p>
        <w:p w14:paraId="0E13F1A9">
          <w:pPr>
            <w:pStyle w:val="8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instrText xml:space="preserve"> HYPERLINK \l _Toc11068 </w:instrText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5.1 整体设计思路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_Toc11068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14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end"/>
          </w:r>
        </w:p>
        <w:p w14:paraId="1C3DE212">
          <w:pPr>
            <w:pStyle w:val="8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instrText xml:space="preserve"> HYPERLINK \l _Toc29858 </w:instrText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5.2 核心交互逻辑说明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_Toc29858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14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end"/>
          </w:r>
        </w:p>
        <w:p w14:paraId="43C9B470">
          <w:pPr>
            <w:pStyle w:val="8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instrText xml:space="preserve"> HYPERLINK \l _Toc3700 </w:instrText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5.3 设计规范与一致性说明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_Toc3700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15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end"/>
          </w:r>
        </w:p>
        <w:p w14:paraId="0974C2DC">
          <w:pPr>
            <w:jc w:val="center"/>
            <w:rPr>
              <w:rFonts w:hint="default" w:ascii="微软雅黑" w:hAnsi="微软雅黑" w:eastAsia="微软雅黑" w:cs="微软雅黑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default" w:ascii="微软雅黑" w:hAnsi="微软雅黑" w:eastAsia="微软雅黑" w:cs="微软雅黑"/>
              <w:sz w:val="24"/>
              <w:szCs w:val="24"/>
              <w:lang w:val="en-US" w:eastAsia="zh-CN"/>
            </w:rPr>
            <w:fldChar w:fldCharType="end"/>
          </w:r>
        </w:p>
      </w:sdtContent>
    </w:sdt>
    <w:p w14:paraId="77A4061D">
      <w:pPr>
        <w:jc w:val="center"/>
        <w:rPr>
          <w:rFonts w:hint="default" w:ascii="微软雅黑" w:hAnsi="微软雅黑" w:eastAsia="微软雅黑" w:cs="微软雅黑"/>
          <w:kern w:val="2"/>
          <w:sz w:val="21"/>
          <w:szCs w:val="24"/>
          <w:lang w:val="en-US" w:eastAsia="zh-CN" w:bidi="ar-SA"/>
        </w:rPr>
      </w:pPr>
      <w:bookmarkStart w:id="29" w:name="_GoBack"/>
      <w:bookmarkEnd w:id="29"/>
    </w:p>
    <w:p w14:paraId="4007E1F1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page"/>
      </w:r>
    </w:p>
    <w:p w14:paraId="4269AAFA">
      <w:pPr>
        <w:outlineLvl w:val="0"/>
        <w:rPr>
          <w:rFonts w:hint="eastAsia"/>
          <w:b/>
          <w:bCs/>
          <w:sz w:val="36"/>
          <w:szCs w:val="36"/>
          <w:lang w:val="en-US" w:eastAsia="zh-CN"/>
        </w:rPr>
      </w:pPr>
      <w:bookmarkStart w:id="2" w:name="_Toc31884"/>
      <w:r>
        <w:rPr>
          <w:rFonts w:hint="eastAsia"/>
          <w:b/>
          <w:bCs/>
          <w:sz w:val="36"/>
          <w:szCs w:val="36"/>
          <w:lang w:val="en-US" w:eastAsia="zh-CN"/>
        </w:rPr>
        <w:t>第一章 引言</w:t>
      </w:r>
      <w:bookmarkEnd w:id="2"/>
    </w:p>
    <w:p w14:paraId="2E3D56C0">
      <w:pPr>
        <w:spacing w:line="360" w:lineRule="auto"/>
        <w:outlineLvl w:val="1"/>
        <w:rPr>
          <w:rFonts w:hint="eastAsia"/>
          <w:sz w:val="24"/>
          <w:szCs w:val="24"/>
          <w:lang w:val="en-US" w:eastAsia="zh-CN"/>
        </w:rPr>
      </w:pPr>
      <w:bookmarkStart w:id="3" w:name="_Toc22320"/>
      <w:r>
        <w:rPr>
          <w:rFonts w:hint="eastAsia"/>
          <w:sz w:val="24"/>
          <w:szCs w:val="24"/>
          <w:lang w:val="en-US" w:eastAsia="zh-CN"/>
        </w:rPr>
        <w:t>1.1 编写目的</w:t>
      </w:r>
      <w:bookmarkEnd w:id="3"/>
    </w:p>
    <w:p w14:paraId="0B80184B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文档依据《校园医务系统概要设计说明书》和《软件用户界面设计实验要求》，完成系统全角色界面的设计与建模。明确各界面的布局结构、交互逻辑与跳转关系，为前端代码实现提供统一规范，确保系统界面操作便捷、逻辑清晰、贴合校园医务场景的用户使用习惯。</w:t>
      </w:r>
    </w:p>
    <w:p w14:paraId="53D529EE">
      <w:pPr>
        <w:spacing w:line="360" w:lineRule="auto"/>
        <w:outlineLvl w:val="1"/>
        <w:rPr>
          <w:rFonts w:hint="eastAsia"/>
          <w:sz w:val="24"/>
          <w:szCs w:val="24"/>
          <w:lang w:val="en-US" w:eastAsia="zh-CN"/>
        </w:rPr>
      </w:pPr>
      <w:bookmarkStart w:id="4" w:name="_Toc1996"/>
      <w:r>
        <w:rPr>
          <w:rFonts w:hint="eastAsia"/>
          <w:sz w:val="24"/>
          <w:szCs w:val="24"/>
          <w:lang w:val="en-US" w:eastAsia="zh-CN"/>
        </w:rPr>
        <w:t>1.2 文档范围</w:t>
      </w:r>
      <w:bookmarkEnd w:id="4"/>
    </w:p>
    <w:p w14:paraId="7A58477C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本文档覆盖校园医务系统 7 个核心角色（学生、医生、药师、财务人员、审批管理员、系统管理员、校领导）的所有核心功能界面，包含界面原型设计、UML 建模、设计说明三部分内容。不包含后端接口实现、数据库设计等非界面相关内容。</w:t>
      </w:r>
    </w:p>
    <w:p w14:paraId="70C113D6">
      <w:pPr>
        <w:spacing w:line="360" w:lineRule="auto"/>
        <w:outlineLvl w:val="1"/>
        <w:rPr>
          <w:rFonts w:hint="eastAsia"/>
          <w:sz w:val="24"/>
          <w:szCs w:val="24"/>
          <w:lang w:val="en-US" w:eastAsia="zh-CN"/>
        </w:rPr>
      </w:pPr>
      <w:bookmarkStart w:id="5" w:name="_Toc2892"/>
      <w:r>
        <w:rPr>
          <w:rFonts w:hint="eastAsia"/>
          <w:sz w:val="24"/>
          <w:szCs w:val="24"/>
          <w:lang w:val="en-US" w:eastAsia="zh-CN"/>
        </w:rPr>
        <w:t>1.3 术语定义</w:t>
      </w:r>
      <w:bookmarkEnd w:id="5"/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8"/>
        <w:gridCol w:w="6858"/>
      </w:tblGrid>
      <w:tr w14:paraId="585EB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7D7D7" w:themeFill="background1" w:themeFillShade="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9A1DC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术语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7D7D7" w:themeFill="background1" w:themeFillShade="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1662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F79EB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2350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SPA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E8E0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单页应用，本系统前端采用 Vue3+Element Plus 实现</w:t>
            </w:r>
          </w:p>
        </w:tc>
      </w:tr>
      <w:tr w14:paraId="43E77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99A3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RBAC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729F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基于角色的访问控制，系统权限管理模型</w:t>
            </w:r>
          </w:p>
        </w:tc>
      </w:tr>
      <w:tr w14:paraId="6C2AD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2EB0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Mock 接口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C0A6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模拟外部系统行为的本地接口，用于流程演示</w:t>
            </w:r>
          </w:p>
        </w:tc>
      </w:tr>
      <w:tr w14:paraId="1917D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DE7A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高保真原型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494D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接近最终产品效果的界面原型，包含完整交互逻辑</w:t>
            </w:r>
          </w:p>
        </w:tc>
      </w:tr>
      <w:tr w14:paraId="3C0A20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AB57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PlantUML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ED7C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基于文本的 UML 建模语言，可快速生成标准 UML 图</w:t>
            </w:r>
          </w:p>
        </w:tc>
      </w:tr>
    </w:tbl>
    <w:p w14:paraId="6A9E1C8D">
      <w:pPr>
        <w:spacing w:line="360" w:lineRule="auto"/>
        <w:outlineLvl w:val="0"/>
        <w:rPr>
          <w:rFonts w:hint="eastAsia"/>
          <w:b/>
          <w:bCs/>
          <w:sz w:val="36"/>
          <w:szCs w:val="36"/>
          <w:lang w:val="en-US" w:eastAsia="zh-CN"/>
        </w:rPr>
      </w:pPr>
      <w:bookmarkStart w:id="6" w:name="_Toc31741"/>
      <w:r>
        <w:rPr>
          <w:rFonts w:hint="eastAsia"/>
          <w:b/>
          <w:bCs/>
          <w:sz w:val="36"/>
          <w:szCs w:val="36"/>
          <w:lang w:val="en-US" w:eastAsia="zh-CN"/>
        </w:rPr>
        <w:t>第二章 界面设计原则与目标</w:t>
      </w:r>
      <w:bookmarkEnd w:id="6"/>
    </w:p>
    <w:p w14:paraId="7A7D9539">
      <w:pPr>
        <w:spacing w:line="360" w:lineRule="auto"/>
        <w:outlineLvl w:val="1"/>
        <w:rPr>
          <w:rFonts w:hint="eastAsia"/>
          <w:sz w:val="24"/>
          <w:szCs w:val="24"/>
          <w:lang w:val="en-US" w:eastAsia="zh-CN"/>
        </w:rPr>
      </w:pPr>
      <w:bookmarkStart w:id="7" w:name="_Toc18120"/>
      <w:r>
        <w:rPr>
          <w:rFonts w:hint="eastAsia"/>
          <w:sz w:val="24"/>
          <w:szCs w:val="24"/>
          <w:lang w:val="en-US" w:eastAsia="zh-CN"/>
        </w:rPr>
        <w:t>2.1 以用户为中心的设计依据</w:t>
      </w:r>
      <w:bookmarkEnd w:id="7"/>
    </w:p>
    <w:p w14:paraId="56AF31E1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本系统用户群体分为三类，设计时充分考虑不同用户的操作习惯与使用场景：</w:t>
      </w:r>
    </w:p>
    <w:p w14:paraId="07FB4262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学生用户：以移动端操作为主，追求流程简洁、操作便捷，核心需求是快速完成挂号、缴费、病假申请等基础服务。</w:t>
      </w:r>
    </w:p>
    <w:p w14:paraId="686B6FAB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医护及行政用户：以 PC 端操作为主，追求高效、准确，核心需求是快速处理业务、查看数据。</w:t>
      </w:r>
    </w:p>
    <w:p w14:paraId="0DF7FCE7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管理及领导用户：以 PC 端操作为主，核心需求是查看统计数据、进行系统配置。</w:t>
      </w:r>
    </w:p>
    <w:p w14:paraId="6CB74A61">
      <w:pPr>
        <w:spacing w:line="360" w:lineRule="auto"/>
        <w:outlineLvl w:val="1"/>
        <w:rPr>
          <w:rFonts w:hint="eastAsia"/>
          <w:sz w:val="24"/>
          <w:szCs w:val="24"/>
          <w:lang w:val="en-US" w:eastAsia="zh-CN"/>
        </w:rPr>
      </w:pPr>
      <w:bookmarkStart w:id="8" w:name="_Toc9343"/>
      <w:r>
        <w:rPr>
          <w:rFonts w:hint="eastAsia"/>
          <w:sz w:val="24"/>
          <w:szCs w:val="24"/>
          <w:lang w:val="en-US" w:eastAsia="zh-CN"/>
        </w:rPr>
        <w:t>2.2 界面设计原则</w:t>
      </w:r>
      <w:bookmarkEnd w:id="8"/>
    </w:p>
    <w:p w14:paraId="30A3ACE3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一致性原则：全系统采用统一的医疗蓝（#2385bb）+ 健康绿（#36b37e）主题色，统一的布局结构、控件样式与交互方式。</w:t>
      </w:r>
    </w:p>
    <w:p w14:paraId="779EF97F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易用性原则：核心业务流程不超过 3 步操作，常用功能设置快捷入口，减少用户记忆负担。</w:t>
      </w:r>
    </w:p>
    <w:p w14:paraId="0153171E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直观性原则：采用清晰的图标与文字提示，状态信息一目了然，错误提示明确且给出解决方案。</w:t>
      </w:r>
    </w:p>
    <w:p w14:paraId="3EB0CC5C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安全性原则：敏感信息脱敏显示，重要操作增加二次确认，不同角色权限严格隔离。</w:t>
      </w:r>
    </w:p>
    <w:p w14:paraId="35A5978F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响应式原则：PC 端适配 1920×1080 及 1366×768 分辨率，确保在不同设备上正常显示。</w:t>
      </w:r>
    </w:p>
    <w:p w14:paraId="0F74E5A1">
      <w:pPr>
        <w:spacing w:line="360" w:lineRule="auto"/>
        <w:outlineLvl w:val="1"/>
        <w:rPr>
          <w:rFonts w:hint="eastAsia"/>
          <w:sz w:val="24"/>
          <w:szCs w:val="24"/>
          <w:lang w:val="en-US" w:eastAsia="zh-CN"/>
        </w:rPr>
      </w:pPr>
      <w:bookmarkStart w:id="9" w:name="_Toc21250"/>
      <w:r>
        <w:rPr>
          <w:rFonts w:hint="eastAsia"/>
          <w:sz w:val="24"/>
          <w:szCs w:val="24"/>
          <w:lang w:val="en-US" w:eastAsia="zh-CN"/>
        </w:rPr>
        <w:t>2.3 设计工具说明</w:t>
      </w:r>
      <w:bookmarkEnd w:id="9"/>
    </w:p>
    <w:p w14:paraId="1E7B3E6D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原型设计工具：Figma，用于绘制高保真界面原型，标注设计要素与交互逻辑</w:t>
      </w:r>
    </w:p>
    <w:p w14:paraId="20F356C1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UML 建模工具：PlantUML（IDEA 插件 / 在线编辑器），用于生成标准 UML 类图与顺序图。</w:t>
      </w:r>
    </w:p>
    <w:p w14:paraId="4AA526D3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前端开发工具：IntelliJ IDEA 2021.x，基于 Vue3+Element Plus 组件库实现最终界面。</w:t>
      </w:r>
    </w:p>
    <w:p w14:paraId="0B2BB537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版本控制工具：Git 2.50.1，用于代码版本管理。</w:t>
      </w:r>
    </w:p>
    <w:p w14:paraId="056350CC">
      <w:pPr>
        <w:spacing w:line="360" w:lineRule="auto"/>
        <w:outlineLvl w:val="0"/>
        <w:rPr>
          <w:rFonts w:hint="eastAsia"/>
          <w:b/>
          <w:bCs/>
          <w:sz w:val="36"/>
          <w:szCs w:val="36"/>
          <w:lang w:val="en-US" w:eastAsia="zh-CN"/>
        </w:rPr>
      </w:pPr>
      <w:bookmarkStart w:id="10" w:name="_Toc10928"/>
      <w:r>
        <w:rPr>
          <w:rFonts w:hint="eastAsia"/>
          <w:b/>
          <w:bCs/>
          <w:sz w:val="36"/>
          <w:szCs w:val="36"/>
          <w:lang w:val="en-US" w:eastAsia="zh-CN"/>
        </w:rPr>
        <w:t>第三章 软件用户界面原型</w:t>
      </w:r>
      <w:bookmarkEnd w:id="10"/>
    </w:p>
    <w:p w14:paraId="045CCFD4">
      <w:pPr>
        <w:spacing w:line="360" w:lineRule="auto"/>
        <w:outlineLvl w:val="1"/>
        <w:rPr>
          <w:rFonts w:hint="eastAsia"/>
          <w:sz w:val="24"/>
          <w:szCs w:val="24"/>
          <w:lang w:val="en-US" w:eastAsia="zh-CN"/>
        </w:rPr>
      </w:pPr>
      <w:bookmarkStart w:id="11" w:name="_Toc2934"/>
      <w:r>
        <w:rPr>
          <w:rFonts w:hint="eastAsia"/>
          <w:sz w:val="24"/>
          <w:szCs w:val="24"/>
          <w:lang w:val="en-US" w:eastAsia="zh-CN"/>
        </w:rPr>
        <w:t>3.1 学生端（Vue.js SPA）界面原型</w:t>
      </w:r>
      <w:bookmarkEnd w:id="11"/>
    </w:p>
    <w:p w14:paraId="26177C42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学生端采用 "顶部导航 + 左侧菜单 + 右侧内容区" 的标准布局，整体风格简洁清爽，突出核心服务功能。</w:t>
      </w:r>
    </w:p>
    <w:p w14:paraId="15FF1705">
      <w:pPr>
        <w:spacing w:line="360" w:lineRule="auto"/>
        <w:outlineLvl w:val="2"/>
        <w:rPr>
          <w:rFonts w:hint="eastAsia"/>
          <w:sz w:val="24"/>
          <w:szCs w:val="24"/>
          <w:lang w:val="en-US" w:eastAsia="zh-CN"/>
        </w:rPr>
      </w:pPr>
      <w:bookmarkStart w:id="12" w:name="_Toc15716"/>
      <w:r>
        <w:rPr>
          <w:rFonts w:hint="eastAsia"/>
          <w:sz w:val="24"/>
          <w:szCs w:val="24"/>
          <w:lang w:val="en-US" w:eastAsia="zh-CN"/>
        </w:rPr>
        <w:t>3.1.1 首页（待办事项）</w:t>
      </w:r>
      <w:bookmarkEnd w:id="12"/>
    </w:p>
    <w:p w14:paraId="176B80D4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布局结构：顶部为系统标题与用户信息，左侧为功能菜单，右侧为待办事项卡片与快捷入口。</w:t>
      </w:r>
    </w:p>
    <w:p w14:paraId="2FF33F3A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核心内容：</w:t>
      </w:r>
    </w:p>
    <w:p w14:paraId="459C99F2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待办事项卡片：展示待缴费、待取药、待审批数量。</w:t>
      </w:r>
    </w:p>
    <w:p w14:paraId="0291F4E5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快捷入口：预约挂号、在线缴费、诊疗记录、病假申请</w:t>
      </w:r>
    </w:p>
    <w:p w14:paraId="168B5B8F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已办事项列表：展示最近完成的业务记录</w:t>
      </w:r>
    </w:p>
    <w:p w14:paraId="19D6F911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关键设计要素：</w:t>
      </w:r>
    </w:p>
    <w:p w14:paraId="79483DF1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待办数量使用红色数字标签突出显示。</w:t>
      </w:r>
    </w:p>
    <w:p w14:paraId="3C74857A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快捷入口采用大图标 + 文字的形式，便于点击。</w:t>
      </w:r>
    </w:p>
    <w:p w14:paraId="1C47D112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已办事项按时间倒序排列，最新记录置顶。</w:t>
      </w:r>
    </w:p>
    <w:p w14:paraId="5CDCF690">
      <w:pPr>
        <w:spacing w:line="360" w:lineRule="auto"/>
        <w:outlineLvl w:val="2"/>
        <w:rPr>
          <w:rFonts w:hint="eastAsia"/>
          <w:sz w:val="24"/>
          <w:szCs w:val="24"/>
          <w:lang w:val="en-US" w:eastAsia="zh-CN"/>
        </w:rPr>
      </w:pPr>
      <w:bookmarkStart w:id="13" w:name="_Toc18371"/>
      <w:r>
        <w:rPr>
          <w:rFonts w:hint="eastAsia"/>
          <w:sz w:val="24"/>
          <w:szCs w:val="24"/>
          <w:lang w:val="en-US" w:eastAsia="zh-CN"/>
        </w:rPr>
        <w:t>3.1.2 预约挂号页</w:t>
      </w:r>
      <w:bookmarkEnd w:id="13"/>
    </w:p>
    <w:p w14:paraId="59B9D501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布局结构：顶部为查询条件区，中部为医生列表区，底部为分页控件。</w:t>
      </w:r>
    </w:p>
    <w:p w14:paraId="75DE62D5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核心内容：</w:t>
      </w:r>
    </w:p>
    <w:p w14:paraId="2658B3B2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查询条件：科室选择下拉框、日期选择器</w:t>
      </w:r>
    </w:p>
    <w:p w14:paraId="19C6DE20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医生列表：展示医生姓名、职称、出诊时段、剩余号源</w:t>
      </w:r>
    </w:p>
    <w:p w14:paraId="2B3DE418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操作按钮：预约按钮（号源充足时可用，号源不足时置灰）</w:t>
      </w:r>
    </w:p>
    <w:p w14:paraId="59EB0FAF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关键设计要素：</w:t>
      </w:r>
    </w:p>
    <w:p w14:paraId="45005E7E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剩余号源使用状态标签显示（&gt;0 绿色，=0 红色）。</w:t>
      </w:r>
    </w:p>
    <w:p w14:paraId="0D294777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日期选择器默认显示未来 7 天，不可选择过去日期。</w:t>
      </w:r>
    </w:p>
    <w:p w14:paraId="4847DF27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预约按钮点击后弹出确认弹窗，防止误操作。</w:t>
      </w:r>
    </w:p>
    <w:p w14:paraId="60D5158A">
      <w:pPr>
        <w:spacing w:line="360" w:lineRule="auto"/>
        <w:outlineLvl w:val="2"/>
        <w:rPr>
          <w:rFonts w:hint="eastAsia"/>
          <w:sz w:val="24"/>
          <w:szCs w:val="24"/>
          <w:lang w:val="en-US" w:eastAsia="zh-CN"/>
        </w:rPr>
      </w:pPr>
      <w:bookmarkStart w:id="14" w:name="_Toc12637"/>
      <w:r>
        <w:rPr>
          <w:rFonts w:hint="eastAsia"/>
          <w:sz w:val="24"/>
          <w:szCs w:val="24"/>
          <w:lang w:val="en-US" w:eastAsia="zh-CN"/>
        </w:rPr>
        <w:t>3.1.3 在线缴费页</w:t>
      </w:r>
      <w:bookmarkEnd w:id="14"/>
    </w:p>
    <w:p w14:paraId="7E33C49E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布局结构：顶部为筛选条件区，中部为订单列表区。</w:t>
      </w:r>
    </w:p>
    <w:p w14:paraId="3CC0A945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核心内容：</w:t>
      </w:r>
    </w:p>
    <w:p w14:paraId="786C694B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筛选条件：订单状态、时间范围</w:t>
      </w:r>
    </w:p>
    <w:p w14:paraId="439D57B6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订单列表：展示订单编号、收费项目、金额、开单时间、状态</w:t>
      </w:r>
    </w:p>
    <w:p w14:paraId="69CE9FEE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操作按钮：缴费按钮（待缴费订单可用）</w:t>
      </w:r>
    </w:p>
    <w:p w14:paraId="606D2422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关键设计要素：</w:t>
      </w:r>
    </w:p>
    <w:p w14:paraId="70C27938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金额列使用红色字体突出显示。</w:t>
      </w:r>
    </w:p>
    <w:p w14:paraId="46A54B84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订单状态使用标签区分（待缴费黄色，已缴费绿色）。</w:t>
      </w:r>
    </w:p>
    <w:p w14:paraId="2FC196D5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缴费成功后显示成功提示，并自动刷新订单列表。</w:t>
      </w:r>
    </w:p>
    <w:p w14:paraId="4E36A318">
      <w:pPr>
        <w:spacing w:line="360" w:lineRule="auto"/>
        <w:outlineLvl w:val="2"/>
        <w:rPr>
          <w:rFonts w:hint="eastAsia"/>
          <w:sz w:val="24"/>
          <w:szCs w:val="24"/>
          <w:lang w:val="en-US" w:eastAsia="zh-CN"/>
        </w:rPr>
      </w:pPr>
      <w:bookmarkStart w:id="15" w:name="_Toc24283"/>
      <w:r>
        <w:rPr>
          <w:rFonts w:hint="eastAsia"/>
          <w:sz w:val="24"/>
          <w:szCs w:val="24"/>
          <w:lang w:val="en-US" w:eastAsia="zh-CN"/>
        </w:rPr>
        <w:t>3.1.4 个人中心页</w:t>
      </w:r>
      <w:bookmarkEnd w:id="15"/>
    </w:p>
    <w:p w14:paraId="087FD97A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布局结构：左侧为个人信息展示，右侧为功能列表。</w:t>
      </w:r>
    </w:p>
    <w:p w14:paraId="36337844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核心内容：</w:t>
      </w:r>
    </w:p>
    <w:p w14:paraId="2510CDA2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个人信息：姓名、学号、院系、班级、联系方式</w:t>
      </w:r>
    </w:p>
    <w:p w14:paraId="57D14343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功能列表：修改密码、诊疗记录查询、病假记录查询</w:t>
      </w:r>
    </w:p>
    <w:p w14:paraId="78F21C9B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关键设计要素：</w:t>
      </w:r>
    </w:p>
    <w:p w14:paraId="756B04F2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个人信息采用卡片式布局，清晰易读。</w:t>
      </w:r>
    </w:p>
    <w:p w14:paraId="519277D7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功能列表采用图标 + 文字的形式，直观明了。</w:t>
      </w:r>
    </w:p>
    <w:p w14:paraId="40506AC8">
      <w:pPr>
        <w:spacing w:line="360" w:lineRule="auto"/>
        <w:outlineLvl w:val="1"/>
        <w:rPr>
          <w:rFonts w:hint="eastAsia"/>
          <w:sz w:val="24"/>
          <w:szCs w:val="24"/>
          <w:lang w:val="en-US" w:eastAsia="zh-CN"/>
        </w:rPr>
      </w:pPr>
      <w:bookmarkStart w:id="16" w:name="_Toc18988"/>
      <w:r>
        <w:rPr>
          <w:rFonts w:hint="eastAsia"/>
          <w:sz w:val="24"/>
          <w:szCs w:val="24"/>
          <w:lang w:val="en-US" w:eastAsia="zh-CN"/>
        </w:rPr>
        <w:t>3.2 管理端（Vue.js SPA）界面原型</w:t>
      </w:r>
      <w:bookmarkEnd w:id="16"/>
    </w:p>
    <w:p w14:paraId="24FCBB3A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管理端统一采用 "顶部导航 + 左侧菜单 + 右侧内容区" 的布局结构，根据不同角色显示对应的菜单与功能。</w:t>
      </w:r>
    </w:p>
    <w:p w14:paraId="6815C8A8">
      <w:pPr>
        <w:spacing w:line="360" w:lineRule="auto"/>
        <w:outlineLvl w:val="2"/>
        <w:rPr>
          <w:rFonts w:hint="eastAsia"/>
          <w:sz w:val="24"/>
          <w:szCs w:val="24"/>
          <w:lang w:val="en-US" w:eastAsia="zh-CN"/>
        </w:rPr>
      </w:pPr>
      <w:bookmarkStart w:id="17" w:name="_Toc21710"/>
      <w:r>
        <w:rPr>
          <w:rFonts w:hint="eastAsia"/>
          <w:sz w:val="24"/>
          <w:szCs w:val="24"/>
          <w:lang w:val="en-US" w:eastAsia="zh-CN"/>
        </w:rPr>
        <w:t>3.2.1 数据看板（首页）</w:t>
      </w:r>
      <w:bookmarkEnd w:id="17"/>
    </w:p>
    <w:p w14:paraId="3CC4293F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布局结构：顶部为统计卡片区，中部为图表展示区，底部为待办事项区。</w:t>
      </w:r>
    </w:p>
    <w:p w14:paraId="68E31F3A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核心内容：</w:t>
      </w:r>
    </w:p>
    <w:p w14:paraId="55E9FAD8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统计卡片：今日就诊人数、待缴费订单数、待审批事项数、药品库存预警数</w:t>
      </w:r>
    </w:p>
    <w:p w14:paraId="4CB49B9E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图表展示：近 7 日就诊量趋势图、科室就诊量占比饼图。</w:t>
      </w:r>
    </w:p>
    <w:p w14:paraId="5C024F5E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待办事项：展示当前用户待处理的业务列表。</w:t>
      </w:r>
    </w:p>
    <w:p w14:paraId="42BDF20A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关键设计要素：</w:t>
      </w:r>
    </w:p>
    <w:p w14:paraId="4A00C2FF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统计卡片使用不同颜色区分不同类型数据。</w:t>
      </w:r>
    </w:p>
    <w:p w14:paraId="680635AE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图表支持鼠标悬停查看详细数据。</w:t>
      </w:r>
    </w:p>
    <w:p w14:paraId="28825550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待办事项点击可直接进入对应业务处理页面。</w:t>
      </w:r>
    </w:p>
    <w:p w14:paraId="214ADC8C">
      <w:pPr>
        <w:spacing w:line="360" w:lineRule="auto"/>
        <w:outlineLvl w:val="2"/>
        <w:rPr>
          <w:rFonts w:hint="eastAsia"/>
          <w:sz w:val="24"/>
          <w:szCs w:val="24"/>
          <w:lang w:val="en-US" w:eastAsia="zh-CN"/>
        </w:rPr>
      </w:pPr>
      <w:bookmarkStart w:id="18" w:name="_Toc5978"/>
      <w:r>
        <w:rPr>
          <w:rFonts w:hint="eastAsia"/>
          <w:sz w:val="24"/>
          <w:szCs w:val="24"/>
          <w:lang w:val="en-US" w:eastAsia="zh-CN"/>
        </w:rPr>
        <w:t>3.2.2 功能操作页</w:t>
      </w:r>
      <w:bookmarkEnd w:id="18"/>
    </w:p>
    <w:p w14:paraId="0376FFDD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布局结构：顶部为查询条件区，中部为数据表格区，底部为分页控件。</w:t>
      </w:r>
    </w:p>
    <w:p w14:paraId="220A919C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通用结构：</w:t>
      </w:r>
    </w:p>
    <w:p w14:paraId="1E8184E5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查询条件：支持多维度筛选，包含关键字搜索、状态筛选、时间范围筛选</w:t>
      </w:r>
    </w:p>
    <w:p w14:paraId="3943352D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数据表格：展示核心业务数据，包含操作列</w:t>
      </w:r>
    </w:p>
    <w:p w14:paraId="760C3855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操作按钮：新增、编辑、删除、导出等</w:t>
      </w:r>
    </w:p>
    <w:p w14:paraId="276D3921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关键设计要素：</w:t>
      </w:r>
    </w:p>
    <w:p w14:paraId="2952E684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查询条件区采用栅格布局，自适应屏幕宽度</w:t>
      </w:r>
    </w:p>
    <w:p w14:paraId="33A2454C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表格支持排序、筛选、分页功能</w:t>
      </w:r>
    </w:p>
    <w:p w14:paraId="7DB27145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重要操作按钮（如删除）使用红色，并增加二次确认</w:t>
      </w:r>
    </w:p>
    <w:p w14:paraId="3D7A52F9">
      <w:pPr>
        <w:spacing w:line="360" w:lineRule="auto"/>
        <w:outlineLvl w:val="2"/>
        <w:rPr>
          <w:rFonts w:hint="eastAsia"/>
          <w:sz w:val="24"/>
          <w:szCs w:val="24"/>
          <w:lang w:val="en-US" w:eastAsia="zh-CN"/>
        </w:rPr>
      </w:pPr>
      <w:bookmarkStart w:id="19" w:name="_Toc4045"/>
      <w:r>
        <w:rPr>
          <w:rFonts w:hint="eastAsia"/>
          <w:sz w:val="24"/>
          <w:szCs w:val="24"/>
          <w:lang w:val="en-US" w:eastAsia="zh-CN"/>
        </w:rPr>
        <w:t>3.2.3 审核操作确认弹窗</w:t>
      </w:r>
      <w:bookmarkEnd w:id="19"/>
    </w:p>
    <w:p w14:paraId="57AF000F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布局结构：顶部为弹窗标题，中部为审核信息与意见输入区，底部为操作按钮</w:t>
      </w:r>
    </w:p>
    <w:p w14:paraId="313F5461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核心内容：</w:t>
      </w:r>
    </w:p>
    <w:p w14:paraId="1E7F44DB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审核信息：展示申请详情、申请人信息</w:t>
      </w:r>
    </w:p>
    <w:p w14:paraId="2C8DB953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意见输入：审批意见文本框</w:t>
      </w:r>
    </w:p>
    <w:p w14:paraId="269075EF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操作按钮：通过、驳回、取消</w:t>
      </w:r>
    </w:p>
    <w:p w14:paraId="59E1D0C0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关键设计要素：</w:t>
      </w:r>
    </w:p>
    <w:p w14:paraId="78B70ABC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弹窗居中显示，背景半透明遮罩</w:t>
      </w:r>
    </w:p>
    <w:p w14:paraId="5D07F4EF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通过按钮为绿色，驳回按钮为红色，取消按钮为灰色</w:t>
      </w:r>
    </w:p>
    <w:p w14:paraId="58C3F21D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审批意见为必填项，未填写无法提交</w:t>
      </w:r>
    </w:p>
    <w:p w14:paraId="68FF41E9">
      <w:pPr>
        <w:spacing w:line="360" w:lineRule="auto"/>
        <w:outlineLvl w:val="1"/>
        <w:rPr>
          <w:rFonts w:hint="eastAsia"/>
          <w:sz w:val="24"/>
          <w:szCs w:val="24"/>
          <w:lang w:val="en-US" w:eastAsia="zh-CN"/>
        </w:rPr>
      </w:pPr>
      <w:bookmarkStart w:id="20" w:name="_Toc28640"/>
      <w:r>
        <w:rPr>
          <w:rFonts w:hint="eastAsia"/>
          <w:sz w:val="24"/>
          <w:szCs w:val="24"/>
          <w:lang w:val="en-US" w:eastAsia="zh-CN"/>
        </w:rPr>
        <w:t>3.3 界面跳转关系图</w:t>
      </w:r>
      <w:bookmarkEnd w:id="20"/>
    </w:p>
    <w:p w14:paraId="1155557A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采用 UML 活动图形式表示系统界面跳转关系，清晰展示各角色的页面流转逻辑与弹窗交互。</w:t>
      </w:r>
    </w:p>
    <w:p w14:paraId="574A6593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3.3.1 整体界面跳转关系总图</w:t>
      </w:r>
    </w:p>
    <w:p w14:paraId="669B3FAC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4150" cy="937260"/>
            <wp:effectExtent l="0" t="0" r="6350" b="2540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FB78E">
      <w:pPr>
        <w:rPr>
          <w:sz w:val="24"/>
          <w:szCs w:val="24"/>
        </w:rPr>
      </w:pPr>
      <w:r>
        <w:rPr>
          <w:sz w:val="24"/>
          <w:szCs w:val="24"/>
        </w:rPr>
        <w:t>3.3.2 学生端详细界面跳转关系图（含弹窗）</w:t>
      </w:r>
    </w:p>
    <w:p w14:paraId="76BF3598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7960" cy="3110230"/>
            <wp:effectExtent l="0" t="0" r="2540" b="1270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95FB0">
      <w:pPr>
        <w:rPr>
          <w:sz w:val="24"/>
          <w:szCs w:val="24"/>
        </w:rPr>
      </w:pPr>
      <w:r>
        <w:rPr>
          <w:sz w:val="24"/>
          <w:szCs w:val="24"/>
        </w:rPr>
        <w:t>3.3.3 管理端通用界面跳转关系图（含弹窗）</w:t>
      </w:r>
    </w:p>
    <w:p w14:paraId="72CEB55C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9230" cy="2385695"/>
            <wp:effectExtent l="0" t="0" r="1270" b="190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D9779">
      <w:pPr>
        <w:rPr>
          <w:sz w:val="24"/>
          <w:szCs w:val="24"/>
        </w:rPr>
      </w:pPr>
      <w:r>
        <w:rPr>
          <w:sz w:val="24"/>
          <w:szCs w:val="24"/>
        </w:rPr>
        <w:t>3.3.4 医生诊疗核心流程跳转关系图</w:t>
      </w:r>
    </w:p>
    <w:p w14:paraId="3F2464E8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2405" cy="3552825"/>
            <wp:effectExtent l="0" t="0" r="10795" b="3175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BE9F4">
      <w:pPr>
        <w:spacing w:line="360" w:lineRule="auto"/>
        <w:outlineLvl w:val="1"/>
        <w:rPr>
          <w:rFonts w:hint="eastAsia"/>
          <w:sz w:val="24"/>
          <w:szCs w:val="24"/>
          <w:lang w:val="en-US" w:eastAsia="zh-CN"/>
        </w:rPr>
      </w:pPr>
      <w:bookmarkStart w:id="21" w:name="_Toc5716"/>
      <w:r>
        <w:rPr>
          <w:rFonts w:hint="eastAsia"/>
          <w:sz w:val="24"/>
          <w:szCs w:val="24"/>
          <w:lang w:val="en-US" w:eastAsia="zh-CN"/>
        </w:rPr>
        <w:t>3.4 关键设计要素标注</w:t>
      </w:r>
      <w:bookmarkEnd w:id="21"/>
    </w:p>
    <w:p w14:paraId="0556DFA4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颜色系统：</w:t>
      </w:r>
    </w:p>
    <w:p w14:paraId="67507DE3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主色：医疗蓝 #2385bb（用于标题、按钮、导航）</w:t>
      </w:r>
    </w:p>
    <w:p w14:paraId="48B2BE77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辅助色：健康绿 #36b37e（用于成功状态、通过按钮）</w:t>
      </w:r>
    </w:p>
    <w:p w14:paraId="6D6F969E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警告色：黄色 #ffc107（用于待处理状态、警告提示）</w:t>
      </w:r>
    </w:p>
    <w:p w14:paraId="7146B77C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危险色：红色 #dc3545（用于错误状态、删除按钮）</w:t>
      </w:r>
    </w:p>
    <w:p w14:paraId="4174B2CC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中性色：白色 #ffffff、浅灰 #f5f5f5、深灰 #333333</w:t>
      </w:r>
    </w:p>
    <w:p w14:paraId="00DBB750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字体系统：</w:t>
      </w:r>
    </w:p>
    <w:p w14:paraId="5A970D7B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中文：微软雅黑</w:t>
      </w:r>
    </w:p>
    <w:p w14:paraId="75B10C1D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英文：Arial</w:t>
      </w:r>
    </w:p>
    <w:p w14:paraId="235F71A8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标题：16-18px，加粗</w:t>
      </w:r>
    </w:p>
    <w:p w14:paraId="2AFA4525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正文：14px</w:t>
      </w:r>
    </w:p>
    <w:p w14:paraId="7BC25DB2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辅助文字：12px</w:t>
      </w:r>
    </w:p>
    <w:p w14:paraId="3196C3BC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间距系统：</w:t>
      </w:r>
    </w:p>
    <w:p w14:paraId="78614B5C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页面边距：20px</w:t>
      </w:r>
    </w:p>
    <w:p w14:paraId="605382BF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组件间距：16px</w:t>
      </w:r>
    </w:p>
    <w:p w14:paraId="4B4288DA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行间距：1.5 倍</w:t>
      </w:r>
    </w:p>
    <w:p w14:paraId="5A083AFF">
      <w:pPr>
        <w:spacing w:line="360" w:lineRule="auto"/>
        <w:outlineLvl w:val="0"/>
        <w:rPr>
          <w:rFonts w:hint="eastAsia"/>
          <w:b/>
          <w:bCs/>
          <w:sz w:val="36"/>
          <w:szCs w:val="36"/>
          <w:lang w:val="en-US" w:eastAsia="zh-CN"/>
        </w:rPr>
      </w:pPr>
      <w:bookmarkStart w:id="22" w:name="_Toc9764"/>
      <w:r>
        <w:rPr>
          <w:rFonts w:hint="eastAsia"/>
          <w:b/>
          <w:bCs/>
          <w:sz w:val="36"/>
          <w:szCs w:val="36"/>
          <w:lang w:val="en-US" w:eastAsia="zh-CN"/>
        </w:rPr>
        <w:t>第四章 界面相关 UML 模型</w:t>
      </w:r>
      <w:bookmarkEnd w:id="22"/>
    </w:p>
    <w:p w14:paraId="4D4372C5">
      <w:pPr>
        <w:spacing w:line="360" w:lineRule="auto"/>
        <w:outlineLvl w:val="1"/>
        <w:rPr>
          <w:rFonts w:hint="eastAsia"/>
          <w:sz w:val="24"/>
          <w:szCs w:val="24"/>
          <w:lang w:val="en-US" w:eastAsia="zh-CN"/>
        </w:rPr>
      </w:pPr>
      <w:bookmarkStart w:id="23" w:name="_Toc10143"/>
      <w:r>
        <w:rPr>
          <w:rFonts w:hint="eastAsia"/>
          <w:sz w:val="24"/>
          <w:szCs w:val="24"/>
          <w:lang w:val="en-US" w:eastAsia="zh-CN"/>
        </w:rPr>
        <w:t>4.1 界面 UML 类图</w:t>
      </w:r>
      <w:bookmarkEnd w:id="23"/>
    </w:p>
    <w:p w14:paraId="6E6C71B9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4.1.1 总界面父类 BaseView 类图</w:t>
      </w:r>
    </w:p>
    <w:p w14:paraId="360B2E6D">
      <w:pPr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drawing>
          <wp:inline distT="0" distB="0" distL="114300" distR="114300">
            <wp:extent cx="2209800" cy="1457325"/>
            <wp:effectExtent l="0" t="0" r="0" b="3175"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D883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4.1.2 学生端完整界面类图</w:t>
      </w:r>
    </w:p>
    <w:p w14:paraId="540B78E9">
      <w:pPr>
        <w:rPr>
          <w:rFonts w:ascii="宋体" w:hAnsi="宋体" w:eastAsia="宋体" w:cs="宋体"/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2405" cy="1615440"/>
            <wp:effectExtent l="0" t="0" r="10795" b="10160"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DA33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4.1.3 管理端完整界面类图</w:t>
      </w:r>
    </w:p>
    <w:p w14:paraId="717619B7">
      <w:pPr>
        <w:rPr>
          <w:rFonts w:ascii="宋体" w:hAnsi="宋体" w:eastAsia="宋体" w:cs="宋体"/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6690" cy="1450975"/>
            <wp:effectExtent l="0" t="0" r="3810" b="9525"/>
            <wp:docPr id="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717E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4.1.4 界面类关系总图</w:t>
      </w:r>
    </w:p>
    <w:p w14:paraId="16AAD77A">
      <w:pPr>
        <w:rPr>
          <w:rFonts w:ascii="宋体" w:hAnsi="宋体" w:eastAsia="宋体" w:cs="宋体"/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5420" cy="859790"/>
            <wp:effectExtent l="0" t="0" r="5080" b="3810"/>
            <wp:docPr id="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5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9B964">
      <w:pPr>
        <w:outlineLvl w:val="1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24" w:name="_Toc8474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4.2 界面跳转顺序图</w:t>
      </w:r>
      <w:bookmarkEnd w:id="24"/>
    </w:p>
    <w:p w14:paraId="06CBC5D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sz w:val="24"/>
          <w:szCs w:val="24"/>
        </w:rPr>
        <w:drawing>
          <wp:inline distT="0" distB="0" distL="114300" distR="114300">
            <wp:extent cx="5272405" cy="5015865"/>
            <wp:effectExtent l="0" t="0" r="10795" b="635"/>
            <wp:docPr id="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1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8318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4.2.1 学生预约挂号流程顺序图</w:t>
      </w:r>
    </w:p>
    <w:p w14:paraId="04A96BE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sz w:val="24"/>
          <w:szCs w:val="24"/>
        </w:rPr>
        <w:drawing>
          <wp:inline distT="0" distB="0" distL="114300" distR="114300">
            <wp:extent cx="5272405" cy="4916805"/>
            <wp:effectExtent l="0" t="0" r="10795" b="10795"/>
            <wp:docPr id="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1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1684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4.2.2 病假申请与审批流程顺序图</w:t>
      </w:r>
    </w:p>
    <w:p w14:paraId="0F54ED76">
      <w:pPr>
        <w:rPr>
          <w:rFonts w:ascii="宋体" w:hAnsi="宋体" w:eastAsia="宋体" w:cs="宋体"/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3040" cy="5788660"/>
            <wp:effectExtent l="0" t="0" r="10160" b="254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78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42C3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4.2.3 医生诊疗开方流程顺序图</w:t>
      </w:r>
    </w:p>
    <w:p w14:paraId="02F87C38">
      <w:pPr>
        <w:rPr>
          <w:rFonts w:ascii="宋体" w:hAnsi="宋体" w:eastAsia="宋体" w:cs="宋体"/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29225" cy="5543550"/>
            <wp:effectExtent l="0" t="0" r="3175" b="635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9B975">
      <w:pPr>
        <w:tabs>
          <w:tab w:val="center" w:pos="4153"/>
        </w:tabs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4.2.4 系统管理员用户管理流程顺序图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</w:p>
    <w:p w14:paraId="0E44F1E6">
      <w:pPr>
        <w:tabs>
          <w:tab w:val="center" w:pos="4153"/>
        </w:tabs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sz w:val="24"/>
          <w:szCs w:val="24"/>
        </w:rPr>
        <w:drawing>
          <wp:inline distT="0" distB="0" distL="114300" distR="114300">
            <wp:extent cx="4267200" cy="4248150"/>
            <wp:effectExtent l="0" t="0" r="0" b="635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40D70">
      <w:pPr>
        <w:outlineLvl w:val="0"/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  <w:bookmarkStart w:id="25" w:name="_Toc18649"/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第五章 界面设计说明</w:t>
      </w:r>
      <w:bookmarkEnd w:id="25"/>
    </w:p>
    <w:p w14:paraId="30077357">
      <w:pPr>
        <w:spacing w:line="360" w:lineRule="auto"/>
        <w:outlineLvl w:val="1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26" w:name="_Toc11068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5.1 整体设计思路</w:t>
      </w:r>
      <w:bookmarkEnd w:id="26"/>
    </w:p>
    <w:p w14:paraId="6981F980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本系统界面设计以 "简洁、高效、易用" 为核心原则，针对不同用户群体的使用习惯进行差异化设计。学生端突出核心服务功能，简化操作流程；管理端注重数据展示与业务处理效率，提供丰富的筛选与统计功能。</w:t>
      </w:r>
    </w:p>
    <w:p w14:paraId="1710507A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整体采用医疗行业常用的蓝色 + 绿色主题色，营造专业、健康的视觉感受。界面布局统一采用 "顶部导航 + 左侧菜单 + 右侧内容区" 的标准结构，降低用户的学习成本。</w:t>
      </w:r>
    </w:p>
    <w:p w14:paraId="35C7103A">
      <w:pPr>
        <w:spacing w:line="360" w:lineRule="auto"/>
        <w:outlineLvl w:val="1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27" w:name="_Toc29858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5.2 核心交互逻辑说明</w:t>
      </w:r>
      <w:bookmarkEnd w:id="27"/>
    </w:p>
    <w:p w14:paraId="7C06AEDD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登录流程：用户输入账号密码，系统验证身份后，根据用户角色跳转到对应首页，并加载相应的菜单与权限</w:t>
      </w:r>
    </w:p>
    <w:p w14:paraId="416C6C49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预约挂号流程：学生选择科室和日期，查看可预约医生，提交预约申请，系统生成预约记录并更新号源</w:t>
      </w:r>
    </w:p>
    <w:p w14:paraId="37A5793F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诊疗流程：医生查看候诊队列，接诊患者，书写病历，开具处方，系统生成缴费订单并同步至药房</w:t>
      </w:r>
    </w:p>
    <w:p w14:paraId="37B23670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缴费流程：学生查看待缴费订单，点击缴费，调用 Mock 支付接口完成支付，系统更新订单状态并同步至药房</w:t>
      </w:r>
    </w:p>
    <w:p w14:paraId="42C67BB2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审批流程：审批管理员查看待审批申请，填写审批意见，提交审批结果，系统同步结果至申请人与相关业务模块</w:t>
      </w:r>
    </w:p>
    <w:p w14:paraId="681481A1">
      <w:pPr>
        <w:spacing w:line="360" w:lineRule="auto"/>
        <w:outlineLvl w:val="1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28" w:name="_Toc370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5.3 设计规范与一致性说明</w:t>
      </w:r>
      <w:bookmarkEnd w:id="28"/>
    </w:p>
    <w:p w14:paraId="58E39EB6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布局一致性：所有页面采用相同的布局结构，顶部导航、左侧菜单、内容区的位置与尺寸保持一致</w:t>
      </w:r>
    </w:p>
    <w:p w14:paraId="03C96A2B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控件一致性：统一使用 Element Plus 组件库，按钮、表单、表格、弹窗等控件的样式与交互方式保持一致</w:t>
      </w:r>
    </w:p>
    <w:p w14:paraId="332CC57A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颜色一致性：全系统使用统一的颜色系统，不同状态使用对应的颜色标识</w:t>
      </w:r>
    </w:p>
    <w:p w14:paraId="021F0F3E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文字一致性：统一使用微软雅黑字体，标题、正文、辅助文字的字号与字重保持一致</w:t>
      </w:r>
    </w:p>
    <w:p w14:paraId="048511B5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交互一致性：相同的操作使用相同的交互方式，如删除操作均增加二次确认，成功操作均显示成功提示</w:t>
      </w:r>
    </w:p>
    <w:p w14:paraId="14461938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B8D411F">
      <w:pPr>
        <w:spacing w:line="360" w:lineRule="auto"/>
        <w:rPr>
          <w:rFonts w:hint="eastAsia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AE7982"/>
    <w:rsid w:val="1C886977"/>
    <w:rsid w:val="63FA5093"/>
    <w:rsid w:val="6A7A7B63"/>
    <w:rsid w:val="6A98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2026-05-05T10:53:00Z</dcterms:created>
  <dc:creator>14819</dc:creator>
  <cp:lastModifiedBy>WPS_1428535950</cp:lastModifiedBy>
  <dcterms:modified xsi:type="dcterms:W3CDTF">2026-05-14T03:09:53Z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6B7355660953437FA36E8B51B67EC26F_13</vt:lpwstr>
  </property>
  <property fmtid="{D5CDD505-2E9C-101B-9397-08002B2CF9AE}" pid="4" name="KSOTemplateDocerSaveRecord">
    <vt:lpwstr>eyJoZGlkIjoiNmMzZjJiMzJiZTU4OTQ1MTAwZWFjZTRkZDRhZTVjYjUiLCJ1c2VySWQiOiIxNDI4NTM1OTUwIn0=</vt:lpwstr>
  </property>
</Properties>
</file>