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复杂场景下多模态情感识别：基于不确定性融合的原生可解释模型</w:t>
      </w:r>
    </w:p>
    <w:p>
      <w:r>
        <w:t>摘要：针对对齐文本、语音与视觉特征的情感极性识别及强度估计，构建由上下文化局部证据、低秩成对交互和可学习可靠性缩放组成的联合模型。文本采用预训练 BERT[1]，音频和视觉采用训练集统计归一化；以模态单项净分数和局部活性预测单模态残差方差，用归一化精度缩放实际参与预测的证据。模型同时返回三分类 logit 与连续强度，通过校准后的类别间隔进行局部和模态级精确核算。附件2验证集、测试集准确率分别为65.11%和68.64%，Macro-F1分别为0.6323和0.6493，最终强度MAE分别为0.5397和0.6006。附件4全20条预测在公开源标签事后核验中准确率80.00%、MAE 0.3390。文本在测试集分类间隔的平均净贡献占84.62%，在回归预激活中的占比为71.14%，表明分类与强度判断利用模态的方式不同。上述解释是网络读出层面的数值核算，不等同于输入删除的因果效应。</w:t>
      </w:r>
    </w:p>
    <w:p>
      <w:r>
        <w:t>关键词：多模态情感分析；不确定性融合；局部证据；成对交互；原生可解释性</w:t>
      </w:r>
    </w:p>
    <w:p>
      <w:pPr>
        <w:pStyle w:val="Heading1"/>
      </w:pPr>
      <w:r>
        <w:t>1 问题定义、数据与实验约定</w:t>
      </w:r>
    </w:p>
    <w:p>
      <w:r>
        <w:t>问题三要求在三模态输入条件下，既输出情感极性和强度，又量化三模态作用、确定主要参考模态并定位关键证据。本文仅使用附件2对齐版训练，不以完整CMU-MOSEI替代比赛划分。强度标签y∈[−3,3]，y&lt;0、y=0、y&gt;0依次对应负向、中性、正向，编码为0、1、2；不将接近零但非零的标签重定义为中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集合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样本数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中性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训练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3395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967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758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1670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统计估计与参数学习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验证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728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206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184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338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模型、轮次、决策策略选优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附件2测试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727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207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158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362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冻结预测后的评价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附件4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20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7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13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专项解释与公开源事后核验</w:t>
            </w:r>
          </w:p>
        </w:tc>
      </w:tr>
    </w:tbl>
    <w:p>
      <w:r>
        <w:t>附件2特征每条最多50个对齐位置，文本给定特征768维、语音74维、视觉35维，并提供BERT词元编号、注意力掩码及类型编号。主模型重新通过BERT提取上下文化文本表示。剔除特殊词元和填充位置，在内容位置上保留原source_index；语音、视觉全零行作为无有效数值观测处理，缺失值不纳入训练统计。标准化均值和尺度只由训练集估计，验证、测试和附件4复用同一stats.json。</w:t>
      </w:r>
    </w:p>
    <w:p>
      <w:r>
        <w:t>附件4标签由完整公开CMU-MOSEI[4]数据的文本唯一匹配、特征逐值比对以及SDK标签复核获得。20条均为公开源test样本，其中03、07、08、12、15也在附件2测试集中。故不能将两个测试集直接合并视为747条独立测试；附件4没有中性真值，不能据其80%准确率判断中性识别能力。恢复标签发生在已有预测冻结之后；本研究历史上已多次查看附件2测试结果，且最终主模型是在综合性能与题目解释要求后确定，评价属于探索性比较，不宣称全新盲测或独立确认性优势。</w:t>
      </w:r>
    </w:p>
    <w:p>
      <w:pPr>
        <w:pStyle w:val="Heading1"/>
      </w:pPr>
      <w:r>
        <w:t>2 建模原理与网络结构</w:t>
      </w:r>
    </w:p>
    <w:p>
      <w:r>
        <w:t>借鉴神经可加模型[5]与成对交互建模[6]，采用“局部非线性编码—显式加性读出”的结构。BERT提供语言上下文，局部编码保留证据位置，成对分支表达同位置的跨模态共同作用。可靠性缩放在样本层调整这些读出项，不额外设置无法核算的融合残差。预测及解释共享同一次前向中的实际数值。</w:t>
      </w:r>
    </w:p>
    <w:p>
      <w:r>
        <w:drawing>
          <wp:inline xmlns:a="http://schemas.openxmlformats.org/drawingml/2006/main" xmlns:pic="http://schemas.openxmlformats.org/drawingml/2006/picture">
            <wp:extent cx="5940000" cy="358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图1 不确定性融合网络。T/A/V为文本/语音/视觉；每个分支的4维输出对应q及负向、中性、正向logit。</w:t>
      </w:r>
    </w:p>
    <w:p>
      <w:r>
        <w:t>记m∈{T,A,V}，j为有效内容窗口。当前窗口宽度为1；每模态局部编码器由逐行线性映射与GELU、窗口拼接线性映射与GELU构成，投影维度与局部隐层均为64。文本BERT隐状态先作LayerNorm，再按source_index回填局部位置。用相同观测结构下的零输入编码作为参考，得到下式。参考为特征坐标基准，不代表真实中性情绪。</w:t>
      </w:r>
    </w:p>
    <w:p>
      <w:pPr>
        <w:spacing w:after="180"/>
        <w:jc w:val="center"/>
      </w:pPr>
      <w:r>
        <w:t>dₘⱼ = Eₘ(xₘⱼ, oₘⱼ) − Eₘ(0, oₘⱼ)</w:t>
      </w:r>
    </w:p>
    <w:p>
      <w:r>
        <w:t>单模态读出为无偏置64→4线性映射。均值汇聚权重ωₘⱼ正比于该窗口内有效观测数；成对权重ωₘₙⱼ以两端权重几何均值构造，限制在共同有效窗口，再按样本归一化。TA、TV、AV各使用独立的秩8双线性投影，分别输出4维交互。</w:t>
      </w:r>
    </w:p>
    <w:p>
      <w:pPr>
        <w:spacing w:after="180"/>
        <w:jc w:val="center"/>
      </w:pPr>
      <w:r>
        <w:t>aₘⱼ = ωₘⱼ Wₘdₘⱼ；  iₘₙⱼ = ωₘₙⱼ Vₘₙ[(Pₘₙdₘⱼ) ⊙ (Qₘₙdₙⱼ)]</w:t>
      </w:r>
    </w:p>
    <w:p>
      <w:r>
        <w:t>P、Q、V均不含偏置；某一模态没有有效观测时，该单项与关联交互严格为零。BERT使单个文本读出含有全句上下文，因此不能把一个局部值解释为只由该词自身产生的独立效应。成对模块连接对齐位置，文本上下文来自BERT，模型不另设音视跨位置注意力或三方高阶交互。</w:t>
      </w:r>
    </w:p>
    <w:p>
      <w:pPr>
        <w:pStyle w:val="Heading1"/>
      </w:pPr>
      <w:r>
        <w:t>3 不确定性融合、输出与解释定义</w:t>
      </w:r>
    </w:p>
    <w:p>
      <w:r>
        <w:t>首先从未进行精度缩放的单项计算每模态四维净分数uₘ=β+Σⱼaₘⱼ，同时统计各输出维度局部读出的绝对活性Σⱼ|aₘⱼ|。拼接后得到8维输入，通过每模态一个8→1线性层预测有界对数方差。训练时活性来自模态丢弃后的单项，单模态监督仍使用丢弃前的实际单项。</w:t>
      </w:r>
    </w:p>
    <w:p>
      <w:pPr>
        <w:spacing w:after="180"/>
        <w:jc w:val="center"/>
      </w:pPr>
      <w:r>
        <w:t>vₘ = −1 + 4 tanh(wₘᵀ[uₘ; Σⱼ|aₘⱼ|] + bₘ)； σₘ² = exp(vₘ)</w:t>
      </w:r>
    </w:p>
    <w:p>
      <w:pPr>
        <w:spacing w:after="180"/>
        <w:jc w:val="center"/>
      </w:pPr>
      <w:r>
        <w:t>pₘ = 1ₘ exp(−vₘ) / Σₙ 1ₙ exp(−vₙ)； κₘ = K pₘ，K = Σₘ 1ₘ</w:t>
      </w:r>
    </w:p>
    <w:p>
      <w:r>
        <w:t>1ₘ表示当前保留且可观测的模态。单项按κₘ缩放，成对项按√(κₘκₙ)缩放。精度相同时κₘ=1，恢复基础加性读出；方差被限制在exp(−5)至exp(3)之间。方差监督针对单模态回归残差，它既不是分类概率校准，也不是融合后预测区间。归一化精度pₘ是可靠性系数，不能直接作为模态贡献百分比。</w:t>
      </w:r>
    </w:p>
    <w:p>
      <w:pPr>
        <w:spacing w:after="180"/>
        <w:jc w:val="center"/>
      </w:pPr>
      <w:r>
        <w:t>s = β + Σₘⱼ κₘaₘⱼ + Σₘₙⱼ √(κₘκₙ)iₘₙⱼ； q=s₀； ℓ=(s₁,s₂,s₃)</w:t>
      </w:r>
    </w:p>
    <w:p>
      <w:r>
        <w:t>回归原始输出r=3 tanh(q)。冻结分类策略为中性logit加−0.4后取最大值：ℓ′=ℓ+(0,−0.4,0)，ĉ=argmax ℓ′。最终强度按类别保持符号一致：负向min(r,−10⁻⁶)，中性0，正向max(r,10⁻⁶)。所有主表MAE均评价该最终强度，同时另存raw_intensity。分类和回归共享全部编码及交互参数，输出层有各任务对应的行，联合训练；主模型未启用有序分类头，但保留强度的有序辅助损失。</w:t>
      </w:r>
    </w:p>
    <w:p>
      <w:r>
        <w:t>对每条样本，以预测类别ĉ与最强竞争类别c₂的校准logit差M=ℓ′ĉ−ℓ′c₂为分类解释目标。将所有4维读出投影到这一类别差后，记单模态总项Aₘ、交互总项Iₘₙ。每个成对交互的一半分配给相关两端，得到模态净分数与位置净分数：</w:t>
      </w:r>
    </w:p>
    <w:p>
      <w:pPr>
        <w:spacing w:after="180"/>
        <w:jc w:val="center"/>
      </w:pPr>
      <w:r>
        <w:t>Φₘ = Aₘ + ½ Σₙ≠ₘ Iₘₙ； ψₘⱼ = ãₘⱼ + ½ Σₙ≠ₘ ĩₘₙⱼ； M = βM + ΣₘΦₘ</w:t>
      </w:r>
    </w:p>
    <w:p>
      <w:pPr>
        <w:spacing w:after="180"/>
        <w:jc w:val="center"/>
      </w:pPr>
      <w:r>
        <w:t>ρₘ = |Φₘ| / Σₙ|Φₙ|； principal = argmaxₘ |Φₘ|</w:t>
      </w:r>
    </w:p>
    <w:p>
      <w:r>
        <w:t>ã和ĩ表示已缩放、已投影到解释目标的读出。βM包括两个对应输出偏置之差，以及中性−0.4校准项对该类别差的影响。解释卡同时保留符号：正值支持预测类别相对于竞争类别，负值反对该判断。ρ采用模态净值的绝对值归一化，偏置βM单列；它不同于把所有局部绝对值先相加得到的活性比例。若分母近零则标为未定义，主要模态不能强制指定。回归解释以q为目标同样核算，不能将其比例称为最终非线性强度的线性分配。动态可靠性与BERT上下文均随输入变化，因此当前分数项删除不等于重新运行被修改输入后的输出变化。</w:t>
      </w:r>
    </w:p>
    <w:p>
      <w:pPr>
        <w:pStyle w:val="Heading1"/>
      </w:pPr>
      <w:r>
        <w:t>4 目标函数、训练方案与关键参数</w:t>
      </w:r>
    </w:p>
    <w:p>
      <w:pPr>
        <w:spacing w:after="180"/>
        <w:jc w:val="center"/>
      </w:pPr>
      <w:r>
        <w:t>L = LHuber(r,y) + 0.5 LCE(ℓ,c) + 0.1 Lord + 0.001 Lpair + 0.1 Luni + 0.1 Lneutral + 0.1 Lpolarity + 0.1 LNLL</w:t>
      </w:r>
    </w:p>
    <w:p>
      <w:r>
        <w:t>Huber阈值δ=1。Lpair为每样本所有已缩放成对项回归分量的绝对值之和，再在批内平均。Luni在实际可观测模态上平均Huber单模态回归损失与0.5倍单模态交叉熵；它使用uₘ的回归、分类分量。Lneutral使用中性logit减去正负logsumexp作为二分类log-odds；Lpolarity仅在非中性样本上对正负logit差进行二元交叉熵。Lord用固定带宽0.3、温度0.2构造两个累计logit：((r+0.3)/0.2, (r−0.3)/0.2)，分别以1[c&gt;0]和1[c&gt;1]为目标计算二元交叉熵并平均；该项不是启用独立的可学习有序头。</w:t>
      </w:r>
    </w:p>
    <w:p>
      <w:pPr>
        <w:spacing w:after="180"/>
        <w:jc w:val="center"/>
      </w:pPr>
      <w:r>
        <w:t>LNLL = mean有效模态{ ½[exp(−vₘ)(3 tanh(uₘ,₀)−y)² + vₘ] }</w:t>
      </w:r>
    </w:p>
    <w:p>
      <w:r>
        <w:t>异方差回归的NLL建模[7]用于单模态残差方差，使可靠性模块获得可监督训练信号。该损失不是三模态贡献的监督真值，预测方差的绝对大小不能直接等同于人类对证据可靠性的判断。整个模型用AdamW更新，BERT编码层和其他层使用固定分组学习率，当前实验没有学习率衰减或warmup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参数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冻结主模型设置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随机种子 / 批大小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17 / 32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BERT / 其他层学习率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2×10⁻⁵ / 3×10⁻⁴，固定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AdamW权重衰减 / 梯度裁剪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0.01（二维以上参数）/ 1.0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窗口 / 行投影 / 局部维度 / 交互秩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1 / 64 / 64 / 8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局部dropout / 模态丢弃率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0.2 / 0.1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最大轮次 / 早停耐心值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20 / 连续4轮三个选优目标均无刷新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实际轮数 / 本包检查点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9 / 第5轮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可训练BERT层 / AMP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12层，embedding和pooler冻结 / 关闭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总参数 / 可训练参数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109,555,007 / 85,127,231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分类最终策略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中性logit偏置−0.4；最大logit类别</w:t>
            </w:r>
          </w:p>
        </w:tc>
      </w:tr>
    </w:tbl>
    <w:p>
      <w:r>
        <w:t>每轮仅在验证集搜索策略：441组回归中性阈值和31个中性logit偏置，共472个候选；分别按Macro-F1、Accuracy及最终强度MAE维护独立最佳检查点。任一目标排序刷新即重置早停计数，不是只监测训练损失。本包主表统一取原验证Macro-F1策略，不能混合不同轮次、不同偏置的最好指标。第5轮之后训练损失继续降低但验证原始MAE未刷新，支持保留早停；增加训练上限不自动增加有效训练轮数。</w:t>
      </w:r>
    </w:p>
    <w:p>
      <w:r>
        <w:drawing>
          <wp:inline xmlns:a="http://schemas.openxmlformats.org/drawingml/2006/main" xmlns:pic="http://schemas.openxmlformats.org/drawingml/2006/picture">
            <wp:extent cx="5940000" cy="203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i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图2 主模型训练曲线。虚线为第5轮，实际第9轮停止。右图为原始强度MAE，区别于主表最终强度MAE。</w:t>
      </w:r>
    </w:p>
    <w:p>
      <w:pPr>
        <w:pStyle w:val="Heading1"/>
      </w:pPr>
      <w:r>
        <w:t>5 开源基线及基础性能评价</w:t>
      </w:r>
    </w:p>
    <w:p>
      <w:r>
        <w:t>选择两个具有真实已训练权重的开源适配基线。SELF-MM[2]采用BERT文本编码、音视LSTM、融合及单模态读出和中心驱动动态伪标签；本实现增加比赛三分类读出、有效观测打包与数值稳定处理。TETFN[3]直接使用MMSA固定版本的网络源码，恢复对齐音视位置，增加比赛分类头及有界回归输出，并使用本地联合训练目标。二者均为比赛数据适配实验，不是原论文数据规模、训练目标和配置下的严格复现。</w:t>
      </w:r>
    </w:p>
    <w:p>
      <w:r>
        <w:t>所有方法仅以3395条训练样本学习，在同一728条验证集上选轮次和策略；本表统一使用各自验证Macro-F1版本。主模型最终按分类logit决策，而两基线的验证最优策略为回归阈值决策，策略差异一并列出，避免把结果误认为统一最后一层阈值的比较。未将NAM、MultiBench仓库或简化TETFN另算作新的已复现独立基线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验证集（728条）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Acc(%)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Macro-F1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MAE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Pearson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中性F1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SELF-MM适配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64.56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0.6390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0.5491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0.6910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0.5145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TETFN源码适配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64.01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0.6321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0.5730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0.6569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0.5012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不确定性融合（主）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65.11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0.6323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0.5397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0.6993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0.4822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附件2测试集（727条）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Acc(%)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Macro-F1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MAE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Pearson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中性F1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SELF-MM适配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66.16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0.6389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0.5966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0.6978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0.4712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TETFN源码适配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65.61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0.6285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0.6226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0.6735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0.4355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不确定性融合（主）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68.64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0.6493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0.6006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0.7046</w:t>
            </w:r>
          </w:p>
        </w:tc>
        <w:tc>
          <w:tcPr>
            <w:tcW w:type="dxa" w:w="1587"/>
          </w:tcPr>
          <w:p>
            <w:pPr>
              <w:spacing w:after="60"/>
            </w:pPr>
            <w:r>
              <w:rPr>
                <w:sz w:val="18"/>
              </w:rPr>
              <w:t>0.4506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tblHeader/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模型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检查点轮次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最终策略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附件4 Acc(%)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附件4 MAE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SELF-MM适配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{"decision_mode": "regression", "tau_minus": -0.05, "tau_plus": 0.35}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80.00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0.3610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TETFN源码适配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{"decision_mode": "regression", "tau_minus": 0.0, "tau_plus": 0.55}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70.00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0.4459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不确定性融合（主）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{"decision_mode": "classification", "neutral_bias": -0.4}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80.00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0.3390</w:t>
            </w:r>
          </w:p>
        </w:tc>
      </w:tr>
    </w:tbl>
    <w:p>
      <w:r>
        <w:t>主模型验证Macro-F1并非三者最高：SELF-MM为0.6390，主模型为0.6323。附件2测试中，主模型比SELF-MM准确率高2.48个百分点、Macro-F1高约0.0104，而MAE稍高约0.0040；相比TETFN，测试准确率、Macro-F1和MAE均更优。选择主模型同时考虑其原生可核算解释，不能称其在所有指标上领先。当前为单随机种子的代表配置比较，未给出多种子方差或统计显著性。</w:t>
      </w:r>
    </w:p>
    <w:p>
      <w:r>
        <w:drawing>
          <wp:inline xmlns:a="http://schemas.openxmlformats.org/drawingml/2006/main" xmlns:pic="http://schemas.openxmlformats.org/drawingml/2006/picture">
            <wp:extent cx="5940000" cy="26277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27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图3 三分类混淆矩阵，行是真值、列是预测。中性与正向之间的混淆较突出。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tblHeader/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验证类别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Precision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Recall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F1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支持数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0.7401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0.6359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0.6841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206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中性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0.4524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0.5163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0.4822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184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0.7273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0.7337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0.7305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338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0000" cy="23987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gres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98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图4 验证集最终强度散点与残差分布。预测中性置零，形成ŷ=0的水平带。</w:t>
      </w:r>
    </w:p>
    <w:p>
      <w:pPr>
        <w:pStyle w:val="Heading1"/>
      </w:pPr>
      <w:r>
        <w:t>6 三模态作用差异与局部重要性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集合/解释目标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文本(%)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语音(%)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视觉(%)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valid/分类间隔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84.76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6.88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8.36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valid/回归q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68.16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15.98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15.86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test/分类间隔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84.62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6.71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8.68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test/回归q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71.14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13.58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15.28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special/分类间隔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89.78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4.71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5.51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special/回归q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73.76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10.53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15.71</w:t>
            </w:r>
          </w:p>
        </w:tc>
      </w:tr>
    </w:tbl>
    <w:p>
      <w:r>
        <w:t>上述比例先在每条样本内归一化，再对样本等权平均。验证与测试的分类文本占比均约85%，而回归文本占比约68%—71%，语音和视觉对强度的作用相对更高。附件4分类主要参考模态为文本20/20，回归主要模态为文本18/20、视觉2/20（02、14）；02与14的视觉回归净贡献占比分别为48.12%与41.09%。因此“分类主要看文本”不能推导出“强度估计中的视觉无作用”。</w:t>
      </w:r>
    </w:p>
    <w:p>
      <w:r>
        <w:drawing>
          <wp:inline xmlns:a="http://schemas.openxmlformats.org/drawingml/2006/main" xmlns:pic="http://schemas.openxmlformats.org/drawingml/2006/picture">
            <wp:extent cx="5940000" cy="19927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ribu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2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图5 分类贡献、回归贡献与可靠性权重的对照。三者解释不同对象，不能互换。</w:t>
      </w:r>
    </w:p>
    <w:p>
      <w:r>
        <w:t>附件4平均可靠性权重T/A/V为45.07%/28.80%/26.12%，分类净贡献却为89.78%/4.71%/5.51%。这来自不同模态证据大小、方向和抵消程度的共同影响，表明直接把可靠性权重写成贡献会失真。附件4的13号视觉数组全部为零，视觉单项和交互关闭，其视觉贡献应为0；验证和测试分别有15、28条视觉无有效数值观测。</w:t>
      </w:r>
    </w:p>
    <w:p>
      <w:r>
        <w:drawing>
          <wp:inline xmlns:a="http://schemas.openxmlformats.org/drawingml/2006/main" xmlns:pic="http://schemas.openxmlformats.org/drawingml/2006/picture">
            <wp:extent cx="5940000" cy="17375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cal_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3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图6 附件4样本16的主要参考模态内局部重要性。每行给出原BERT位置和对应原文，负值表示反对当前类别间隔；词的上下文由BERT编码。</w:t>
      </w:r>
    </w:p>
    <w:p>
      <w:r>
        <w:drawing>
          <wp:inline xmlns:a="http://schemas.openxmlformats.org/drawingml/2006/main" xmlns:pic="http://schemas.openxmlformats.org/drawingml/2006/picture">
            <wp:extent cx="5940000" cy="19910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cal_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1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图7 附件4样本02的文本局部重要性。保留正负方向，绝对值大不等于支持当前预测。</w:t>
      </w:r>
    </w:p>
    <w:p>
      <w:pPr>
        <w:pStyle w:val="Heading1"/>
      </w:pPr>
      <w:r>
        <w:t>7 典型样本解释卡与附件4全量结果</w:t>
      </w:r>
    </w:p>
    <w:p>
      <w:r>
        <w:t>解释卡将预测、分类和回归三模态作用、主要模态及关键证据定位放在同一记录中。文本字符区间为原始文本的半开区间；source_index为原BERT序列零基索引。语音时间来自MMS强制对齐，属于机器估计；音视特征没有原始时间戳，视觉只提供同一对齐词段的粗略媒体检索位置，不能断言为生成该特征的精确帧。附件4全20条卡片保存在结果附件中；正文选取02、13、14、16展示模态差异、缺失和误判。</w:t>
      </w:r>
    </w:p>
    <w:p>
      <w:pPr>
        <w:pStyle w:val="Heading2"/>
      </w:pPr>
      <w:r>
        <w:t>样本02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项目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预测 / 公开源真值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正向 +1.0e-06 / 正向 +0.3333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74.42% / 22.81% / 2.76%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回归q贡献T/A/V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30.04% / 21.84% / 48.12%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 / 回归主要模态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T / V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文本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We want to live by each other’s happiness - not by each other’s misery.</w:t>
            </w:r>
          </w:p>
        </w:tc>
      </w:tr>
    </w:tbl>
    <w:p>
      <w:r>
        <w:t>T关键证据：位置[17]，s，字符[[62, 63]]，分数-0.1465；估计2.23—2.43s；</w:t>
        <w:br/>
        <w:t>位置[18]，misery，字符[[64, 70]]，分数-0.1352；估计2.47—2.75s；</w:t>
        <w:br/>
        <w:t>位置[4]，live，字符[[11, 15]]，分数+0.1288；估计0.82—0.94s</w:t>
      </w:r>
    </w:p>
    <w:p>
      <w:r>
        <w:t>A关键证据：位置[18]，misery，字符[[64, 70]]，分数-0.0120；估计2.47—2.75s；</w:t>
        <w:br/>
        <w:t>位置[19]，.，字符[[70, 71]]，分数-0.0119；时间未定位；</w:t>
        <w:br/>
        <w:t>位置[4]，live，字符[[11, 15]]，分数-0.0118；估计0.82—0.94s</w:t>
      </w:r>
    </w:p>
    <w:p>
      <w:r>
        <w:t>V关键证据：位置[16]，’，字符[[61, 62]]，分数-0.0014；估计2.23—2.43s；</w:t>
        <w:br/>
        <w:t>位置[15]，other，字符[[56, 61]]，分数-0.0014；估计2.23—2.43s；</w:t>
        <w:br/>
        <w:t>位置[17]，s，字符[[62, 63]]，分数-0.0014；估计2.23—2.43s</w:t>
      </w:r>
    </w:p>
    <w:p>
      <w:r>
        <w:t>解读：分类与强度使用模态存在差异：分类由文本主导，回归q中视觉净作用最大。局部出现支持与反对证据，不能仅凭单词情感字面解释上下文化读出。</w:t>
      </w:r>
    </w:p>
    <w:p>
      <w:pPr>
        <w:pStyle w:val="Heading2"/>
      </w:pPr>
      <w:r>
        <w:t>样本13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项目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预测 / 公开源真值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中性 +0.0000 / 正向 +0.3333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93.27% / 6.73% / 0.00%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回归q贡献T/A/V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63.07% / 36.93% / 0.00%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 / 回归主要模态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T / 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文本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For example, I could take a set of data and from that data, I can find a relationship between any two of the given factors or more.</w:t>
            </w:r>
          </w:p>
        </w:tc>
      </w:tr>
    </w:tbl>
    <w:p>
      <w:r>
        <w:t>T关键证据：位置[19]，a，字符[[71, 72]]，分数+0.1115；估计5.03—5.05s；</w:t>
        <w:br/>
        <w:t>位置[21]，between，字符[[86, 93]]，分数+0.1050；估计5.75—6.09s；</w:t>
        <w:br/>
        <w:t>位置[25]，the，字符[[105, 108]]，分数+0.0878；估计6.86—6.94s</w:t>
      </w:r>
    </w:p>
    <w:p>
      <w:r>
        <w:t>A关键证据：位置[22]，any，字符[[94, 97]]，分数-0.0107；估计6.29—6.43s；</w:t>
        <w:br/>
        <w:t>位置[23]，two，字符[[98, 101]]，分数-0.0086；估计6.55—6.69s；</w:t>
        <w:br/>
        <w:t>位置[26]，given，字符[[109, 114]]，分数-0.0074；估计6.98—7.22s</w:t>
      </w:r>
    </w:p>
    <w:p>
      <w:r>
        <w:t>V关键证据：无有效视觉观测；不列视觉证据。</w:t>
      </w:r>
    </w:p>
    <w:p>
      <w:r>
        <w:t>解读：公开标签为正向，模型判为中性。原视觉特征全零，视觉贡献为0；可观测的语言是说明性陈述。只能指出模型缺少视觉数值输入并偏向中性，不能据单个样本证明视觉缺失导致误判。</w:t>
      </w:r>
    </w:p>
    <w:p>
      <w:pPr>
        <w:pStyle w:val="Heading2"/>
      </w:pPr>
      <w:r>
        <w:t>样本14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项目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预测 / 公开源真值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中性 +0.0000 / 正向 +0.3333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80.66% / 4.35% / 14.99%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回归q贡献T/A/V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36.71% / 22.20% / 41.09%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 / 回归主要模态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T / V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文本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He is the co-founder of Rossen and Vettese Limited and the former Executive Director of Uniform Final Examination (UFE) courses at Toronto's York University.</w:t>
            </w:r>
          </w:p>
        </w:tc>
      </w:tr>
    </w:tbl>
    <w:p>
      <w:r>
        <w:t>T关键证据：位置[11]，Vet，字符[[35, 38]]，分数+0.1775；估计2.14—2.48s；</w:t>
        <w:br/>
        <w:t>位置[1]，He，字符[[0, 2]]，分数+0.1516；估计0.50—0.56s；</w:t>
        <w:br/>
        <w:t>位置[2]，is，字符[[3, 5]]，分数+0.1426；估计0.60—0.64s</w:t>
      </w:r>
    </w:p>
    <w:p>
      <w:r>
        <w:t>A关键证据：位置[3]，the，字符[[6, 9]]，分数-0.0202；估计0.66—0.72s；</w:t>
        <w:br/>
        <w:t>位置[10]，and，字符[[31, 34]]，分数-0.0190；估计2.02—2.12s；</w:t>
        <w:br/>
        <w:t>位置[6]，founder，字符[[13, 20]]，分数-0.0185；估计1.00—1.34s</w:t>
      </w:r>
    </w:p>
    <w:p>
      <w:r>
        <w:t>V关键证据：位置[19]，Director，字符[[76, 84]]，分数-0.0350；估计4.26—4.66s；</w:t>
        <w:br/>
        <w:t>位置[34]，University，字符[[146, 156]]，分数-0.0321；估计9.07—9.61s；</w:t>
        <w:br/>
        <w:t>位置[33]，York，字符[[141, 145]]，分数-0.0319；估计8.81—9.01s</w:t>
      </w:r>
    </w:p>
    <w:p>
      <w:r>
        <w:t>解读：模型判为中性而公开标签为弱正向。文本主要为人物履历介绍；分类间隔体现中性判断，但回归q中视觉净作用占41.09%。可靠性加权不能消除标签与语义边界的不确定性。</w:t>
      </w:r>
    </w:p>
    <w:p>
      <w:pPr>
        <w:pStyle w:val="Heading2"/>
      </w:pPr>
      <w:r>
        <w:t>样本16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项目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预测 / 公开源真值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负向 -2.6363 / 负向 -3.0000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99.04% / 0.01% / 0.95%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回归q贡献T/A/V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99.06% / 0.94% / 0.00%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分类 / 回归主要模态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T / 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文本</w:t>
            </w:r>
          </w:p>
        </w:tc>
        <w:tc>
          <w:tcPr>
            <w:tcW w:type="dxa" w:w="4762"/>
          </w:tcPr>
          <w:p>
            <w:pPr>
              <w:spacing w:after="60"/>
            </w:pPr>
            <w:r>
              <w:rPr>
                <w:sz w:val="18"/>
              </w:rPr>
              <w:t>It's a terrible, this is a terrible movie</w:t>
            </w:r>
          </w:p>
        </w:tc>
      </w:tr>
    </w:tbl>
    <w:p>
      <w:r>
        <w:t>T关键证据：位置[5]，terrible，字符[[7, 15]]，分数+0.9867；估计0.79—1.21s；</w:t>
        <w:br/>
        <w:t>位置[3]，s，字符[[3, 4]]，分数+0.9829；估计0.08—0.58s；</w:t>
        <w:br/>
        <w:t>位置[10]，terrible，字符[[27, 35]]，分数+0.9827；估计1.79—2.18s</w:t>
      </w:r>
    </w:p>
    <w:p>
      <w:r>
        <w:t>A关键证据：位置[7]，this，字符[[17, 21]]，分数+0.0080；估计1.51—1.61s；</w:t>
        <w:br/>
        <w:t>位置[8]，is，字符[[22, 24]]，分数-0.0041；估计1.61—1.65s；</w:t>
        <w:br/>
        <w:t>位置[1]，It，字符[[0, 2]]，分数-0.0037；估计0.08—0.58s</w:t>
      </w:r>
    </w:p>
    <w:p>
      <w:r>
        <w:t>V关键证据：位置[7]，this，字符[[17, 21]]，分数-0.0160；估计1.51—1.61s；</w:t>
        <w:br/>
        <w:t>位置[5]，terrible，字符[[7, 15]]，分数-0.0153；估计0.79—1.21s；</w:t>
        <w:br/>
        <w:t>位置[6]，,，字符[[15, 16]]，分数-0.0153；时间未定位</w:t>
      </w:r>
    </w:p>
    <w:p>
      <w:r>
        <w:t>解读：直接负面评价样本。预测与公开标签的极性一致；主要参考文本，但局部值还反映整句上下文，不能把高分词元当作独立因果触发词。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tblHeader/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编号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真值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预测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最终强度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T(%)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A(%)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V(%)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主模态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中性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+0.0000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96.4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3.5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+1.0e-06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74.4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22.8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2.8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-0.6588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98.5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-0.4144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98.7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+0.7983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82.0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3.6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14.4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+0.9139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93.6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3.7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2.7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+0.8535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90.5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2.2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7.3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+0.5174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98.5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09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-2.2932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99.5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-2.1598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99.4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-1.7402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99.4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-0.6896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96.6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中性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+0.0000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93.3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6.7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14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中性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+0.0000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80.7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4.3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15.0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+0.6387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73.6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15.1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11.3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-2.6363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99.0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0.9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+1.7645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94.1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1.7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4.2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负向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-0.5241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93.3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0.1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6.6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19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+0.6309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71.3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8.1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20.6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20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正向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+0.5035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62.9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17.3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19.8</w:t>
            </w:r>
          </w:p>
        </w:tc>
        <w:tc>
          <w:tcPr>
            <w:tcW w:type="dxa" w:w="1190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</w:tr>
    </w:tbl>
    <w:p>
      <w:r>
        <w:t>附件4错分为01、04、13、14，共4条；其中01、13、14预测为中性，04预测为负向而公开真值为正向。全20条准确率80.00%，最终MAE 0.3390，Pearson 0.9379。样本少、无中性且与附件2测试有重合，这些数值只用于专项案例核验，不能替代727条测试的总体评价。</w:t>
      </w:r>
    </w:p>
    <w:p>
      <w:pPr>
        <w:pStyle w:val="Heading1"/>
      </w:pPr>
      <w:r>
        <w:t>8 验证集错误归因与解释核算</w:t>
      </w:r>
    </w:p>
    <w:p>
      <w:r>
        <w:t>验证集728条中分类错误254条。真实中性的184条中，89条被判为非中性（23条负向、66条正向），中性召回率51.63%；真实正向338条中67条被判中性，真实负向206条中48条被判中性。中性与正向混淆构成主要误差来源。中性边界校准改善取舍，仍不能解决说明性文本、弱情感与标注差异；继续扩大偏置会同时改变正负样本被归零的比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tblHeader/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验证分组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样本数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分类错误数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错误率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最终MAE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真实负向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206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75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36.41%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0.7233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真实中性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184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89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48.37%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0.2580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真实正向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338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90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26.63%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0.5811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视觉无有效观测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15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6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40.00%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0.4789</w:t>
            </w:r>
          </w:p>
        </w:tc>
      </w:tr>
      <w:tr>
        <w:trPr>
          <w:cantSplit/>
        </w:trPr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视觉存在有效观测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713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248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34.78%</w:t>
            </w:r>
          </w:p>
        </w:tc>
        <w:tc>
          <w:tcPr>
            <w:tcW w:type="dxa" w:w="1905"/>
          </w:tcPr>
          <w:p>
            <w:pPr>
              <w:spacing w:after="60"/>
            </w:pPr>
            <w:r>
              <w:rPr>
                <w:sz w:val="18"/>
              </w:rPr>
              <w:t>0.5410</w:t>
            </w:r>
          </w:p>
        </w:tc>
      </w:tr>
    </w:tbl>
    <w:p>
      <w:r>
        <w:t>分组差异同时受标签分布、语句内容和观测质量影响，只能作为错误诊断线索，不构成模态缺失的因果效应。分类贡献在文本上的集中说明模型更依赖语言判别；语音与视觉的较低分类净贡献也可能来自内部正负项抵消，不能视为它们没有可用信息。强度预测的收缩与中性归零会对强情感样本产生较大残差，图4可用于检查这种系统偏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解释检查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验证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测试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附件4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分类间隔最大核算误差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1.52e-06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1.52e-06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5.29e-07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回归q最大核算误差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1.53e-07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1.53e-07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3.35e-08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逐样本核查数量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728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727</w:t>
            </w:r>
          </w:p>
        </w:tc>
        <w:tc>
          <w:tcPr>
            <w:tcW w:type="dxa" w:w="2381"/>
          </w:tcPr>
          <w:p>
            <w:pPr>
              <w:spacing w:after="60"/>
            </w:pPr>
            <w:r>
              <w:rPr>
                <w:sz w:val="18"/>
              </w:rPr>
              <w:t>20</w:t>
            </w:r>
          </w:p>
        </w:tc>
      </w:tr>
    </w:tbl>
    <w:p>
      <w:r>
        <w:t>1475条重载前向的raw强度及三个logit与冻结输出逐值一致，分解最大差异处于浮点计算误差范围。该检查说明解释忠实于当前读出的数值，不证明某个证据词是人类情感成因。本主模型没有单独完成随机扰动对照、多种子解释稳定性或人类证据标注评价，故不填入其他历史模型的解释分数，也不声称全局最小充分证据已得到验证。</w:t>
      </w:r>
    </w:p>
    <w:p>
      <w:pPr>
        <w:pStyle w:val="Heading1"/>
      </w:pPr>
      <w:r>
        <w:t>9 模型局限与可复现实验说明</w:t>
      </w:r>
    </w:p>
    <w:p>
      <w:r>
        <w:t>本文以较小比赛训练集微调BERT，验证集分布不均衡且用于大量候选比较，存在选择偏差；研究结论需要新的数据或独立重复验证。可靠性模块只增加27个参数，复杂度主要来自BERT，并不自动提供贝叶斯后验或校准置信区间。原生加性读出提高了核算透明度，但不能把上下文化局部值解释成独立词效应；音视位置是给定对齐粒度，没有原始时间戳时只能作估计定位。</w:t>
      </w:r>
    </w:p>
    <w:p>
      <w:r>
        <w:t>复现附件包含三个完整冻结检查点、配置、训练统计、决策策略、必要开源源码、环境版本和操作指南。推理可用本地BERT配置初始化后严格加载完整任务权重；从头重训需另行准备公开BERT预训练参数与比赛训练数据。完整BERT研究交付超过题目三题附件合计50MB限制，不能直接声称满足比赛提交容量。本文报告的精度来自完整浮点检查点，尚无经检验满足该容量的压缩模型，不能把不含权重的精简材料当成等价完整复现。</w:t>
      </w:r>
    </w:p>
    <w:p>
      <w:pPr>
        <w:pStyle w:val="Heading1"/>
      </w:pPr>
      <w:r>
        <w:t>参考文献</w:t>
      </w:r>
    </w:p>
    <w:p>
      <w:r>
        <w:t>[1] Devlin J, Chang M W, Lee K, Toutanova K. BERT: Pre-training of Deep Bidirectional Transformers for Language Understanding. NAACL-HLT, 2019. https://aclanthology.org/N19-1423/</w:t>
      </w:r>
    </w:p>
    <w:p>
      <w:r>
        <w:t>[2] Yu W, Xu H, Yuan Z, Wu J. Learning Modality-Specific Representations with Self-Supervised Multi-Task Learning for Multimodal Sentiment Analysis. AAAI, 2021. https://arxiv.org/abs/2102.04830</w:t>
      </w:r>
    </w:p>
    <w:p>
      <w:r>
        <w:t>[3] Wang D, Guo X, Tian Y, Liu J, He L, Luo X. TETFN: A Text Enhanced Transformer Fusion Network for Multimodal Sentiment Analysis. Pattern Recognition, 2023, 136:109259. https://doi.org/10.1016/j.patcog.2022.109259</w:t>
      </w:r>
    </w:p>
    <w:p>
      <w:r>
        <w:t>[4] Zadeh A B, Liang P P, Poria S, Cambria E, Morency L P. Multimodal Language Analysis in the Wild: CMU-MOSEI Dataset and Interpretable Dynamic Fusion Graph. ACL, 2018. https://aclanthology.org/P18-1208/</w:t>
      </w:r>
    </w:p>
    <w:p>
      <w:r>
        <w:t>[5] Agarwal R, Melnick L, Frosst N, et al. Neural Additive Models: Interpretable Machine Learning with Neural Nets. NeurIPS, 2021. https://arxiv.org/abs/2004.13912</w:t>
      </w:r>
    </w:p>
    <w:p>
      <w:r>
        <w:t>[6] Lou Y, Caruana R, Gehrke J, Hooker G. Accurate Intelligible Models with Pairwise Interactions. KDD, 2013. https://doi.org/10.1145/2487575.2487579</w:t>
      </w:r>
    </w:p>
    <w:p>
      <w:r>
        <w:t>[7] Kendall A, Gal Y. What Uncertainties Do We Need in Bayesian Deep Learning for Computer Vision? NeurIPS, 2017. https://arxiv.org/abs/1703.04977</w:t>
      </w:r>
    </w:p>
    <w:p>
      <w:r>
        <w:t>[8] thuiar. MMSA: Multimodal Sentiment Analysis Toolkit. https://github.com/thuiar/MMSA. 源码版本a94e65d07fa1ae0d44e552390074b29b0898edfd；SELF-MM和TETFN在本文中均作比赛适配。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7384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7384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color w:val="17384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