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E题问题2解决方案与实验报告</w:t>
      </w:r>
    </w:p>
    <w:p>
      <w:pPr>
        <w:pStyle w:val="Heading1"/>
      </w:pPr>
      <w:r>
        <w:t>1 结果与交付范围</w:t>
      </w:r>
    </w:p>
    <w:p>
      <w:r>
        <w:t xml:space="preserve">本报告仅解决模态局部缺失条件下的情感极性与强度预测。最终模型为 </w:t>
      </w:r>
      <w:r>
        <w:rPr>
          <w:rFonts w:ascii="Consolas" w:hAnsi="Consolas"/>
          <w:sz w:val="18"/>
        </w:rPr>
        <w:t>c07_dropout35_s42</w:t>
      </w:r>
      <w:r>
        <w:t>。候选模型通过预先固定的三种子稳定性规则，因此作为最终模型。验证集完整输入 Macro-F1 为 0.4933，MAE 为 0.7267；冻结后测试集对应结果为 0.4553 和 0.8220。附件3共30条预测已生成。这里的完整输入指不额外施加人工缺失，原文件自身的零向量仍按缺失处理。</w:t>
      </w:r>
    </w:p>
    <w:p>
      <w:r>
        <w:t>本次完成可行版、有限候选比较、配对随机种子验证、冻结后测试和可复现交付。需要强调：虽然候选在验证集三种子比较中通过规则，但在封存测试集上，完整输入Macro-F1低于连续缺失基线的0.4857，MAE也高于基线的0.8045。因此，本次仅能确认验证集改进，不能宣称测试泛化提升。按预先固定的协议保留冻结模型，不利用测试结果改选。附件3无标签，不能报告其准确率。</w:t>
      </w:r>
    </w:p>
    <w:p>
      <w:pPr>
        <w:pStyle w:val="Heading1"/>
      </w:pPr>
      <w:r>
        <w:t>2 题目理解与数据接口</w:t>
      </w:r>
    </w:p>
    <w:p>
      <w:r>
        <w:t>问题2关注局部连续片段不可用时的预测稳定性，不要求重做问题1的原始特征提取，也不要求实现问题3的解释输出。缺失模态、缺失位置和缺失比例是需要控制的实验因素。三分类与连续强度是两个并行输出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944"/>
        <w:gridCol w:w="6480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/>
                <w:sz w:val="18"/>
              </w:rPr>
              <w:t>样本数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/>
                <w:sz w:val="18"/>
              </w:rPr>
              <w:t>使用边界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训练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3395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拟合参数及标准化统计量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验证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728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早停和模型选择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测试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727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冻结后最终评价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附件3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接口检查及最终预测，无标签</w:t>
            </w:r>
          </w:p>
        </w:tc>
      </w:tr>
    </w:tbl>
    <w:p>
      <w:pPr>
        <w:spacing w:after="40" w:before="0" w:line="72" w:lineRule="auto"/>
      </w:pPr>
    </w:p>
    <w:p>
      <w:r>
        <w:t>全部使用 aligned_50 版本。文本输入读取 text_bert 的词元编号通道，整数性、取值范围和注意力通道先行验证；不使用连续 text 字段，也不把两者作为不同模态。text_bert 在附件3中为 float32，但其值通过整数性检查。全量4850条编号、注意力掩码和分段编号与本地 bert-base-uncased 分词器逐项一致。轻量模型采用可训练嵌入，而非调用完整BERT编码器；因此没有借用已经看到完整文本的预编码表征。</w:t>
      </w:r>
    </w:p>
    <w:p>
      <w:r>
        <w:t>语音与视觉分别为50×74和50×35。类别0、1、2分别为Negative、Neutral、Positive，且与强度小于0、等于0、大于0逐条一致。三份官方划分没有重复样本ID。附件3以文件名和文件内从0开始的序号命名，例如 附件3_01.pkl::row000，不假造视频ID。</w:t>
      </w:r>
    </w:p>
    <w:p>
      <w:pPr>
        <w:pStyle w:val="Heading1"/>
      </w:pPr>
      <w:r>
        <w:t>3 有效位置与可观测掩码</w:t>
      </w:r>
    </w:p>
    <w:p>
      <w:r>
        <w:t>有效位置掩码回答某个位置是否属于样本内容；模态可观测掩码回答该位置的文本、语音或视觉是否可用。两者不能合并：填充位、CLS和SEP不是缺失的真实内容。有效范围由词元、注意力和其他模态的联合证据确定，排除第0位及可识别特殊词元，内部空缺仍保留为有效位置。</w:t>
      </w:r>
    </w:p>
    <w:p>
      <w:r>
        <w:t>原题将局部整条特征向量全零定义为缺失。因此在有效区间内，音频或视觉整向量为零才判不可用；单个分量为零仍是有效数值。若尾部所有模态同时为零且特殊词元也丢失，无法可靠区分缺失与填充，程序记录边界不确定性，不猜造长度。本批数据均能识别SEP边界。全部模态不可用时采用零汇总与有限数值输出，不能把这种兜底输出解释为可靠识别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2016"/>
        <w:gridCol w:w="2016"/>
        <w:gridCol w:w="2736"/>
      </w:tblGrid>
      <w:tr>
        <w:trPr>
          <w:cantSplit/>
          <w:tblHeader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/>
                <w:sz w:val="18"/>
              </w:rPr>
              <w:t>划分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内容位置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语音零向量位置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视觉零向量位置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train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76882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65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4249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valid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17172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980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test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16855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1024</w:t>
            </w:r>
          </w:p>
        </w:tc>
      </w:tr>
    </w:tbl>
    <w:p>
      <w:pPr>
        <w:spacing w:after="40" w:before="0" w:line="72" w:lineRule="auto"/>
      </w:pPr>
    </w:p>
    <w:p>
      <w:r>
        <w:t>各模态标准化均值和标准差仅用训练集有效且可观测位置计算。标准差下限为0.00001，标准化后固定截断到[-10,10]，不可观测位置重置为零。验证、测试和专项样本均只使用保存的训练统计量。原文件不修改，哈希与处理后文件清单保存在审计记录中。</w:t>
      </w:r>
    </w:p>
    <w:p>
      <w:pPr>
        <w:pStyle w:val="Heading1"/>
      </w:pPr>
      <w:r>
        <w:t>4 模型与训练方法</w:t>
      </w:r>
    </w:p>
    <w:p>
      <w:r>
        <w:t>首版将词元映射为64维嵌入，语音和视觉分别线性投影到64维，经LayerNorm后按可观测位置进行掩码平均。三模态表示与三个可用比例拼接，经128维和64维前馈层，连接三分类头和强度回归头。回归输出为3乘以tanh，限制在[-3,3]。</w:t>
      </w:r>
    </w:p>
    <w:p>
      <w:r>
        <w:t>时序候选用三支小型双向GRU替代直接平均，每个方向隐藏维度32，并把位置可观测指示作为额外输入。打包序列避免尾部填充影响双向递归；缺失位置不参加最终汇总。门控候选用共享小网络读取各模态表示与可用比例，再归一化获得样本级权重；全不可用时权重和汇总均安全归零。</w:t>
      </w:r>
    </w:p>
    <w:p>
      <w:r>
        <w:t>最终配置为 encoder=gru，fusion=gate，augmentation=scattered，dropout=0.35，class_weight=True，regression_weight=1.0。完整配置可直接加载，不依赖论文描述重新猜测。</w:t>
      </w:r>
    </w:p>
    <w:p>
      <w:r>
        <w:t>目标函数由三分类交叉熵和强度Huber损失加权相加，Huber转折点为1。类别加权候选采用训练集类别频次倒数归一化权重。AdamW学习率0.001、权重衰减0.01、初始批量64、最多40轮；梯度范数截断到5。每轮均用相同九种缺失验证场景选优，连续6轮未提高超过0.000001则早停。显存不足时批量减半，不终止其他程序。</w:t>
      </w:r>
    </w:p>
    <w:p>
      <w:r>
        <w:t>连续缺失训练默认对70%的样本随机选一种模态，按10%、30%或50%的有效位置数删除连续片段，其余样本保持原状。零散增强候选保持相同删除数量但分散采样位置。文本ID在嵌入和GRU之前置零，不能先编码完整语义再把结果置零。</w:t>
      </w:r>
    </w:p>
    <w:p>
      <w:pPr>
        <w:pStyle w:val="Heading1"/>
      </w:pPr>
      <w:r>
        <w:t>5 固定评价协议</w:t>
      </w:r>
    </w:p>
    <w:p>
      <w:r>
        <w:t>主验证共九种场景，即文本、语音、视觉分别删除10%、30%、50%的有效位置。每个样本与场景的随机起点由固定种子和样本ID的SHA256确定。数量四舍五入，非空样本至少删除1个位置；报告选中位置数与新增不可观测位置数，以区分原有缺失。补充场景采用前部、中部、后部和多个短段，三档比例均覆盖。没有可靠时间戳，因此仅报告位置数和比例，不换算为秒。</w:t>
      </w:r>
    </w:p>
    <w:p>
      <w:r>
        <w:t>内部选择分数为0.5乘以九场景平均Macro-F1，加上0.5乘以一减九场景平均MAE除以6。该式不是官方评分公式。候选在完整输入下，相对首版连续缺失模型的Macro-F1下降不能超过0.01，MAE增加不能超过0.03。阈值在首轮结果前已保存。</w:t>
      </w:r>
    </w:p>
    <w:p>
      <w:r>
        <w:t>最佳合格候选与基线在42、2026、3407三个相同种子下比较。至少两个种子同时提高内部得分并满足完整输入保护条件，且三种子均值也满足保护条件和得分提高，才接受候选。最终交付固定为选定结构的42种子模型，不从多个种子中挑最好的一次。均值±标准差反映本次随机初始化波动，不是置信区间。</w:t>
      </w:r>
    </w:p>
    <w:p>
      <w:r>
        <w:t>所有模型报告Accuracy、Macro-F1、各类F1、MAE和Pearson。F1固定包含三类，零分母记0。Pearson遇常量向量时未定义，记录原因而不填0。分类概率没有另行校准，不能视为真实正确率。</w:t>
      </w:r>
    </w:p>
    <w:p>
      <w:pPr>
        <w:pStyle w:val="Heading1"/>
      </w:pPr>
      <w:r>
        <w:t>6 对照与单因素比较</w:t>
      </w:r>
    </w:p>
    <w:p>
      <w:r>
        <w:t>多数类参考的验证Accuracy为0.4643、Macro-F1为0.2114；训练均值回归MAE为0.7808，中位数回归MAE为0.7690。常量回归的Pearson未定义。首版完整训练模型的MAE高于朴素参考，因此不能宣称两项任务都已明显改善。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/>
                <w:sz w:val="18"/>
              </w:rPr>
              <w:t>实验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完整F1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完整MAE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缺失F1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缺失MAE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内部分数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mvp_clean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0.4843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0.7896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0.4721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0.7973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0.6696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mvp_span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0.4641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0.7615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0.4696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0.7651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0.6711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c01_gru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0.4890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0.7361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0.4775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0.7383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0.6772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c02_gate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0.4826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0.7588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0.4806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0.7563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0.6773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c03_scattered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0.4977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0.7582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0.4817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0.7597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0.6775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c04_weighted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0.4849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0.7309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0.4808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0.7330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0.6793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c05_reg2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0.4931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0.7338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0.4814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0.7365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0.6793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c06_reg05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0.4869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0.7323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0.4798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0.7327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0.6789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c07_dropout35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0.4933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0.7267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0.4848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0.7296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0.6816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c08_augment100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0.4850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0.7357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0.4833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0.7369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0.6803</w:t>
            </w:r>
          </w:p>
        </w:tc>
      </w:tr>
    </w:tbl>
    <w:p>
      <w:pPr>
        <w:spacing w:after="40" w:before="0" w:line="72" w:lineRule="auto"/>
      </w:pPr>
    </w:p>
    <w:p>
      <w:r>
        <w:t>候选按当前最佳合格配置每次只修改一个主要参数；因此表格是逐步消融路径，不是所有因素的全组合对照。每个实验的父配置和修改项保存在study/search.json，失败或不提升的记录均保留。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4032"/>
        <w:gridCol w:w="1152"/>
      </w:tblGrid>
      <w:tr>
        <w:trPr>
          <w:cantSplit/>
          <w:tblHeader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/>
                <w:sz w:val="18"/>
              </w:rPr>
              <w:t>候选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/>
                <w:sz w:val="18"/>
              </w:rPr>
              <w:t>父配置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/>
                <w:sz w:val="18"/>
              </w:rPr>
              <w:t>唯一修改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/>
                <w:sz w:val="18"/>
              </w:rPr>
              <w:t>刷新最佳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c01_gru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mvp_span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{'encoder': 'gru'}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c02_gate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c01_gru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{'fusion': 'gate'}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c03_scattered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c02_gate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{'augmentation': 'scattered'}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c04_weighted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c03_scattered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{'class_weight': True}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c05_reg2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c04_weighted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{'regression_weight': 2.0}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c06_reg05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c04_weighted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{'regression_weight': 0.5}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c07_dropout35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c04_weighted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{'dropout': 0.35}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c08_augment100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c07_dropout35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{'augmentation_probability': 1.0}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否</w:t>
            </w:r>
          </w:p>
        </w:tc>
      </w:tr>
    </w:tbl>
    <w:p>
      <w:pPr>
        <w:spacing w:after="40" w:before="0" w:line="72" w:lineRule="auto"/>
      </w:pPr>
    </w:p>
    <w:p>
      <w:r>
        <w:t>本次停止新增候选的原因是 candidate_limit。预训练辅助为可选项，本轮没有执行；训练中未使用任何额外情感标注数据，也未开展未对齐版本搜索。</w:t>
      </w:r>
    </w:p>
    <w:p>
      <w:pPr>
        <w:pStyle w:val="Heading1"/>
      </w:pPr>
      <w:r>
        <w:t>7 三种子稳定性与最终选择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728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完整F1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完整MAE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缺失F1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缺失MAE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内部分数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reference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0.4857 ± 0.0188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0.7614 ± 0.0105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0.4796 ± 0.0087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0.7682 ± 0.0105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0.6758 ± 0.0043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candidate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0.4980 ± 0.0100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0.7263 ± 0.0111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0.4920 ± 0.0096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0.7300 ± 0.0080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0.6852 ± 0.0043</w:t>
            </w:r>
          </w:p>
        </w:tc>
      </w:tr>
    </w:tbl>
    <w:p>
      <w:pPr>
        <w:spacing w:after="40" w:before="0" w:line="7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1692"/>
        <w:gridCol w:w="1692"/>
        <w:gridCol w:w="1692"/>
        <w:gridCol w:w="1692"/>
      </w:tblGrid>
      <w:tr>
        <w:trPr>
          <w:cantSplit/>
          <w:tblHeader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/>
                <w:sz w:val="18"/>
              </w:rPr>
              <w:t>种子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得分变化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完整F1变化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完整MAE变化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0.0106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0.0293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-0.0349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2026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0.0131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0.0122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-0.0346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3407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0.0045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-0.0046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-0.0358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是</w:t>
            </w:r>
          </w:p>
        </w:tc>
      </w:tr>
    </w:tbl>
    <w:p>
      <w:pPr>
        <w:spacing w:after="40" w:before="0" w:line="72" w:lineRule="auto"/>
      </w:pPr>
    </w:p>
    <w:p>
      <w:r>
        <w:t>候选模型通过预先固定的三种子稳定性规则，因此作为最终模型。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2414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训练过程中固定缺失验证分数</w:t>
      </w:r>
    </w:p>
    <w:p>
      <w:pPr>
        <w:pStyle w:val="Heading1"/>
      </w:pPr>
      <w:r>
        <w:t>8 冻结后评价与缺失规律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1692"/>
        <w:gridCol w:w="1692"/>
        <w:gridCol w:w="1692"/>
        <w:gridCol w:w="1692"/>
      </w:tblGrid>
      <w:tr>
        <w:trPr>
          <w:cantSplit/>
          <w:tblHeader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/>
                <w:sz w:val="18"/>
              </w:rPr>
              <w:t>划分和场景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Macro-F1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MAE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Pearson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valid 完整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0.5041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0.4933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0.7267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0.3782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test 完整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0.4842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0.4553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0.8220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0.3980</w:t>
            </w:r>
          </w:p>
        </w:tc>
      </w:tr>
    </w:tbl>
    <w:p>
      <w:pPr>
        <w:spacing w:after="40" w:before="0" w:line="7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1692"/>
        <w:gridCol w:w="1692"/>
        <w:gridCol w:w="1692"/>
        <w:gridCol w:w="1692"/>
      </w:tblGrid>
      <w:tr>
        <w:trPr>
          <w:cantSplit/>
          <w:tblHeader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/>
                <w:sz w:val="18"/>
              </w:rPr>
              <w:t>冻结后测试对照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完整F1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完整MAE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缺失F1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缺失MAE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mvp_clean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0.4903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0.8178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0.4846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0.8269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mvp_span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0.4857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0.8045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0.4841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0.8137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c07_dropout35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0.4553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0.8220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0.4477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0.8271</w:t>
            </w:r>
          </w:p>
        </w:tc>
      </w:tr>
    </w:tbl>
    <w:p>
      <w:pPr>
        <w:spacing w:after="40" w:before="0" w:line="72" w:lineRule="auto"/>
      </w:pPr>
    </w:p>
    <w:p>
      <w:r>
        <w:t>上述测试对照仅作冻结后外部检验，不据此重新选择模型。最终候选相对连续缺失基线的完整测试Macro-F1下降约3.04个百分点，MAE增加约0.0175；缺失场景平均F1同样下降。验证集选择偏差、划分之间的分布差异和结构归纳偏好均可能相关，但本轮实验不能区分其因果贡献。所有基线权重和预测保留于本地，供团队如实讨论这一负面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1692"/>
        <w:gridCol w:w="1692"/>
        <w:gridCol w:w="1692"/>
        <w:gridCol w:w="1692"/>
      </w:tblGrid>
      <w:tr>
        <w:trPr>
          <w:cantSplit/>
          <w:tblHeader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/>
                <w:sz w:val="18"/>
              </w:rPr>
              <w:t>缺失场景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验证F1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验证MAE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测试F1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测试MAE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text_10_random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0.4800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0.7312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0.4408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0.8300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text_30_random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0.4868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0.7315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0.4414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0.8401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text_50_random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0.4548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0.7473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0.4308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0.8418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audio_10_random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0.4999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0.7261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0.4601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0.8214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audio_30_random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0.4887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0.7253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0.4595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0.8232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audio_50_random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0.4729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0.7283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0.4492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0.8203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vision_10_random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0.4949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0.7258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0.4555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0.8210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vision_30_random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0.4940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0.7254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0.4475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0.8201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vision_50_random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0.4915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0.7256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0.4444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0.8257</w:t>
            </w:r>
          </w:p>
        </w:tc>
      </w:tr>
    </w:tbl>
    <w:p>
      <w:pPr>
        <w:spacing w:after="40" w:before="0" w:line="72" w:lineRule="auto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22799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impa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79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验证集缺失比例影响</w:t>
      </w:r>
    </w:p>
    <w:p>
      <w:r>
        <w:t>在固定九种验证场景中，Macro-F1最低的是text_50_random，为0.4548；MAE最高的是text_50_random，为0.7473。这是本次模型与固定掩码下的观测，不构成对所有缺失机制的排序。</w:t>
      </w:r>
    </w:p>
    <w:p>
      <w:r>
        <w:t>缺失导致的信息损失与噪声移除可能同时发生，单个场景的曲线不一定单调。应依据完整结果描述哪种模态、哪个比例更敏感，不能用少数起点宣称普遍规律。下表在相同30%预算下对比位置与片段形态，其余比例均保存在逐场景数据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2016"/>
        <w:gridCol w:w="2016"/>
        <w:gridCol w:w="2736"/>
      </w:tblGrid>
      <w:tr>
        <w:trPr>
          <w:cantSplit/>
          <w:tblHeader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/>
                <w:sz w:val="18"/>
              </w:rPr>
              <w:t>模态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位置或形态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验证F1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验证MAE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random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0.4868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0.7315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front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0.4711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0.7257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middle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0.4822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0.7377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back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0.4763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0.7425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multi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0.4800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0.7335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audio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random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0.4887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0.7253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audio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front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0.4817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0.7290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audio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middle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0.4840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0.7262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audio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back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0.4856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0.7228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audio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multi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0.4883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0.7260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vision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random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0.4940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0.7254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vision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front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0.5021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0.7253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vision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middle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0.4840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0.7250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vision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back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0.5007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0.7277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vision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multi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0.4948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0.7244</w:t>
            </w:r>
          </w:p>
        </w:tc>
      </w:tr>
    </w:tbl>
    <w:p>
      <w:pPr>
        <w:spacing w:after="40" w:before="0" w:line="72" w:lineRule="auto"/>
      </w:pPr>
    </w:p>
    <w:p>
      <w:pPr>
        <w:pStyle w:val="Heading1"/>
      </w:pPr>
      <w:r>
        <w:t>9 错误分析与局限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312"/>
        <w:gridCol w:w="3312"/>
      </w:tblGrid>
      <w:tr>
        <w:trPr>
          <w:cantSplit/>
          <w:tblHeader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验证F1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测试F1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Negative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0.5356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0.4930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Neutral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0.3969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0.2979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Positive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0.5475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0.5751</w:t>
            </w:r>
          </w:p>
        </w:tc>
      </w:tr>
    </w:tbl>
    <w:p>
      <w:pPr>
        <w:spacing w:after="40" w:before="0" w:line="72" w:lineRule="auto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06240" cy="26766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val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676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验证集混淆矩阵</w:t>
      </w:r>
    </w:p>
    <w:p>
      <w:r>
        <w:t>验证集两个输出头的类别与强度符号不一致共217条，占29.8%。这包含中性分类而回归仅接近零的样本，不能简单等同于预测错误。当前不强制两个头一致，也不利用附件3的预测分布选择阈值。最大回归误差的10个样本及原文位于largest_valid_regression_errors.csv，便于逐例复核，但不能仅凭原文臆测音视频原因。</w:t>
      </w:r>
    </w:p>
    <w:p>
      <w:r>
        <w:t>官方划分的相同视频ID交集数为{'train_valid': 0, 'train_test': 0, 'valid_test': 0}。本实验保留官方划分；若存在同源视频片段跨划分，结果不应外推为严格跨视频或跨说话人泛化。掩码依赖原题全零定义，真实静默或检测器输出零可能存在语义歧义。人工随机删除不等价于真实传感器故障分布。</w:t>
      </w:r>
    </w:p>
    <w:p>
      <w:r>
        <w:t>模型规模小、随机词元嵌入语义先验弱，训练集只有3395条，复杂否定、长文本截断和模态冲突仍可能带来误判。本轮最多八个候选且仅三种子，不构成充分结构搜索或统计显著性证明。对完全不可用输入仅保证数值有限，不保证准确。</w:t>
      </w:r>
    </w:p>
    <w:p>
      <w:pPr>
        <w:pStyle w:val="Heading1"/>
      </w:pPr>
      <w:r>
        <w:t>10 附件3预测与字段说明</w:t>
      </w:r>
    </w:p>
    <w:p>
      <w:r>
        <w:t>专项CSV共30行。sample_id由文件名与行号构成；class_id取0/1/2；sentiment为对应英文类别；intensity范围[-3,3]；prob_negative、prob_neutral、prob_positive为三类softmax概率且和为1；scenario=clean表示不叠加人工缺失，原始缺失仍保留。表内为便于阅读四舍五入的展示值，提交CSV保留完整数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left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强度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负向概率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中性概率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5EDF3"/>
          </w:tcPr>
          <w:p>
            <w:pPr>
              <w:keepNext/>
              <w:spacing w:after="40" w:before="40" w:line="269" w:lineRule="auto"/>
              <w:jc w:val="center"/>
            </w:pPr>
            <w:r>
              <w:rPr>
                <w:b/>
                <w:sz w:val="18"/>
              </w:rPr>
              <w:t>正向概率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附件3_01.pkl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Negative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-0.4875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0.5483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0.3249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0.1268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附件3_02.pkl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Neutral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0.0447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0.2602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0.4367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0.3031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附件3_03.pkl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Negative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-0.3394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0.5221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0.3194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0.1585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附件3_04.pkl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Positive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0.0949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0.2149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0.3853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0.3998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附件3_05.pkl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Negative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-0.9052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0.7754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0.1506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0.0741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附件3_06.pkl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Positive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0.8337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0.1350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0.1747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0.6903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附件3_07.pkl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Negative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-0.0356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0.4221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0.3659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0.2120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附件3_08.pkl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Negative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-0.3185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0.5418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0.2557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0.2025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附件3_09.pkl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Positive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0.5130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0.1812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0.3101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0.5088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附件3_10.pkl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Negative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-0.1128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0.4407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0.3723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0.1870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附件3_11.pkl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Neutral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-0.0339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0.3263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0.4141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0.2596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附件3_12.pkl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Positive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0.3064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0.2986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0.3117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0.3897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附件3_13.pkl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Neutral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0.1270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0.2296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0.4125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0.3579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附件3_14.pkl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Positive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0.6406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0.2040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0.2475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0.5485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附件3_15.pkl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Positive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0.7138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0.1167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0.2392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0.6440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附件3_16.pkl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Neutral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0.1024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0.2224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0.4184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0.3592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附件3_17.pkl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Positive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0.0833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0.3186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0.2844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0.3970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附件3_18.pkl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Neutral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0.1430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0.2524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0.4098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0.3378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附件3_19.pkl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Positive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0.2200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0.2120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0.3743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0.4137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附件3_20.pkl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Negative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-0.7774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0.6316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0.2734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0.0950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附件3_21.pkl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Negative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-0.0733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0.3835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0.3249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0.2917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附件3_22.pkl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Neutral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-0.2097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0.3685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0.4058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0.2257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附件3_23.pkl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Neutral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0.0181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0.3638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0.3812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0.2550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附件3_24.pkl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Negative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-0.4977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0.6468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0.2070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0.1462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附件3_25.pkl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Positive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0.4796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0.1842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0.2565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0.5593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附件3_26.pkl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Positive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0.3093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0.1599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0.3745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0.4656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附件3_27.pkl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Positive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0.3497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0.2286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0.2941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0.4773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附件3_28.pkl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Neutral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0.1271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0.2793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0.3947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0.3259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附件3_29.pkl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Neutral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-0.1485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0.3637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0.3683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0.2680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left"/>
            </w:pPr>
            <w:r>
              <w:rPr>
                <w:b w:val="0"/>
                <w:sz w:val="18"/>
              </w:rPr>
              <w:t>附件3_30.pkl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Positive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0.3826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0.1894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0.3267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7F8FA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18"/>
              </w:rPr>
              <w:t>0.4839</w:t>
            </w:r>
          </w:p>
        </w:tc>
      </w:tr>
    </w:tbl>
    <w:p>
      <w:pPr>
        <w:spacing w:after="40" w:before="0" w:line="72" w:lineRule="auto"/>
      </w:pPr>
    </w:p>
    <w:p>
      <w:pPr>
        <w:pStyle w:val="Heading1"/>
      </w:pPr>
      <w:r>
        <w:t>11 复现和交付核验</w:t>
      </w:r>
    </w:p>
    <w:p>
      <w:r>
        <w:t>运行环境为WSL2 Ubuntu 22.04，GPU NVIDIA GeForce RTX 5070，Python 3.10，PyTorch 2.8.0，CUDA 12.8。推理只需要模型、训练标准化参数及源码，不需要完整BERT权重。模型参数约200万，实际文件体积以交付清单为准。</w:t>
      </w:r>
    </w:p>
    <w:p>
      <w:r>
        <w:t>统一入口为python -m q2，包含audit、train、evaluate、predict和report。详细命令见README.md；固定配置、依赖版本、每轮日志、逐样本预测和场景掩码可核验。最终模型重载、单条与批量推理、CPU与GPU推理以及同种子重新训练均单独验证。</w:t>
      </w:r>
    </w:p>
    <w:p>
      <w:r>
        <w:t>最终核验发现cuDNN TF32使GRU单条与批量推理的强度相差约0.000038，超出原定0.00001容差。关闭推理TF32后差异降至约0.0000001；模型权重和验收阈值不变。训练保留原数值设置以验证精确重训。三种子选择表来自原训练评估，最终独立评价表来自统一FP32推理，因此小数尾位可能略有差异。</w:t>
      </w:r>
    </w:p>
    <w:p>
      <w:r>
        <w:t>正式参赛包与本地实验档案分开。正式包仅保留核心代码、最终参数、专项预测、方法报告及必要结果；原始数据和多次训练权重留在本地，不重复提交。全队仍需核算总附件不超过50MB，本题体积小于上限并不等于整队已满足。</w:t>
      </w:r>
    </w:p>
    <w:p>
      <w:r>
        <w:t>本报告表格来自保存的JSON和逐样本CSV，图形来源列于figure_sources.json。没有附件3真实标签，不提供其准确率；没有证明稳定提高时，以基线和负面实验结论交付。</w:t>
      </w:r>
    </w:p>
    <w:p>
      <w:pPr>
        <w:pStyle w:val="Heading1"/>
      </w:pPr>
      <w:r>
        <w:t>12 材料与方法依据</w:t>
      </w:r>
    </w:p>
    <w:p>
      <w:r>
        <w:t>题目依据为官方E题题面、附件2 aligned_50.pkl及附件3对齐版本。框架使用PyTorch、NumPy和scikit-learn，具体版本在requirements-lock.txt；本地bert-base-uncased分词器仅用于编号核验。所有性能数字以本项目实际日志为来源。</w:t>
      </w:r>
    </w:p>
    <w:sectPr w:rsidR="00FC693F" w:rsidRPr="0006063C" w:rsidSect="00034616">
      <w:footerReference w:type="default" r:id="rId12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E题问题2解决方案与实验报告</dc:title>
  <dc:subject>模态局部缺失条件下的情感预测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