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局部模态缺失条件下的多模态情感预测建模与验证</w:t>
      </w:r>
    </w:p>
    <w:p>
      <w:pPr>
        <w:pStyle w:val="Heading1"/>
        <w:widowControl/>
      </w:pPr>
      <w:r>
        <w:t>摘要</w:t>
      </w:r>
    </w:p>
    <w:p>
      <w:pPr>
        <w:widowControl/>
      </w:pPr>
      <w:r>
        <w:t>针对文本、语音与视觉在局部连续区间不可用的情感预测任务，我们建立了编码前缺失屏蔽、预训练文本表示与观测感知汇总相结合的多任务模型。方法将有效位置与模态观测状态分别建模，使用训练集统计量标准化音视频特征，并通过同一网络联合预测负向、中性、正向类别及连续情感强度。训练仅使用赛题附件2，专项推理保持与训练相同的对齐特征接口。</w:t>
      </w:r>
    </w:p>
    <w:p>
      <w:pPr>
        <w:widowControl/>
      </w:pPr>
      <w:r>
        <w:t>在按视频分组的内部三折开发后，完整词表12层模型通过三个随机种子的官方验证确认。完整输入Macro-F1为0.5959 ± 0.0059，MAE为0.5783 ± 0.0060；九类连续缺失场景平均Macro-F1为0.5862 ± 0.0018，MAE为0.5906 ± 0.0067。相同种子的第二轮FP32基准完整输入Macro-F1为0.5409 ± 0.0050。</w:t>
      </w:r>
    </w:p>
    <w:p>
      <w:pPr>
        <w:widowControl/>
      </w:pPr>
      <w:r>
        <w:t>我们进一步采用固定缺失位置与形状实验、视频分组配对Bootstrap以及类别和回归误差诊断分析模型边界，并完成附件3全部30条样本预测。结果仅支持本赛题划分与预定缺失机制下的结论；附件3没有标签，输出覆盖率不等同于预测准确率。</w:t>
      </w:r>
    </w:p>
    <w:p>
      <w:pPr>
        <w:widowControl/>
      </w:pPr>
      <w:r>
        <w:t>关键词：多模态情感预测；局部模态缺失；预训练语言模型；多任务学习；配对分组评估</w:t>
      </w:r>
    </w:p>
    <w:p>
      <w:pPr>
        <w:pStyle w:val="Heading1"/>
        <w:widowControl/>
      </w:pPr>
      <w:r>
        <w:t>1 问题分析与建模假设</w:t>
      </w:r>
    </w:p>
    <w:p>
      <w:pPr>
        <w:widowControl/>
      </w:pPr>
      <w:r>
        <w:t>问题2的核心不是在三模态齐全时追求最高分，而是在一个或多个模态的局部连续区间信息不可用时，仍利用其余可见线索输出情感极性和强度，并解释缺失类型、位置及长度变化与性能的关系。局部缺失与整个模态完全不存在不同；本研究的主实验围绕局部缺失展开，全缺失仅用于验证数值与接口安全性。</w:t>
      </w:r>
    </w:p>
    <w:p>
      <w:pPr>
        <w:widowControl/>
      </w:pPr>
      <w:r>
        <w:t>在赛题限定的输入条件下，我们采用附件2与附件3的aligned_50版本。对齐意味着不同模态以相同序列位置组织，不能据此认定各位置具有相同持续秒数。附件2未提供逐词时间戳，因此缺失长度以有效特征位置数及比例表述，且不将位置号伪装为原始视频时间。</w:t>
      </w:r>
    </w:p>
    <w:p>
      <w:pPr>
        <w:widowControl/>
      </w:pPr>
      <w:r>
        <w:t>建模采用以下可检验假设。第一，字段内相同样本索引与相同对齐位置具有一致的组织含义。第二，依题意，有效区域内音视频整条特征向量为零表示不可观测，单个坐标为零仍是合法观测。第三，在未提供可靠时间戳的条件下，可用固定位置规则研究局部缺失敏感性，但不能宣称完整模拟了真实设备故障。第四，监督标签遵循负值、零值、正值分别对应负向、中性、正向的定义。</w:t>
      </w:r>
    </w:p>
    <w:p>
      <w:pPr>
        <w:widowControl/>
      </w:pPr>
      <w:r>
        <w:t>这些假设存在边界：尾部各模态同时为零且缺少分隔词元时，无法可靠区分真实缺失与填充；我们保留审计标记而不猜测原始长度。模型得到的softmax概率未经校准，不能直接解释为真实正确概率。后文同时报告算法构造、实验发现及其限制。</w:t>
      </w:r>
    </w:p>
    <w:p>
      <w:pPr>
        <w:pStyle w:val="Heading1"/>
        <w:widowControl/>
      </w:pPr>
      <w:r>
        <w:t>2 数据组织与数学定义</w:t>
      </w:r>
    </w:p>
    <w:p>
      <w:pPr>
        <w:pStyle w:val="Caption"/>
        <w:keepNext/>
        <w:widowControl/>
        <w:jc w:val="center"/>
      </w:pPr>
      <w:r>
        <w:t>表1 数据划分与使用规则</w:t>
      </w:r>
    </w:p>
    <w:tbl>
      <w:tblPr>
        <w:tblW w:type="auto" w:w="0"/>
        <w:jc w:val="center"/>
        <w:tblLayout w:type="fixed"/>
        <w:tblLook w:firstColumn="1" w:firstRow="1" w:lastColumn="0" w:lastRow="0" w:noHBand="0" w:noVBand="1" w:val="04A0"/>
      </w:tblPr>
      <w:tblGrid>
        <w:gridCol w:w="1905"/>
        <w:gridCol w:w="1143"/>
        <w:gridCol w:w="6477"/>
      </w:tblGrid>
      <w:tr>
        <w:trPr>
          <w:cantSplit/>
          <w:tblHeader/>
        </w:trPr>
        <w:tc>
          <w:tcPr>
            <w:tcW w:type="dxa" w:w="190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数据部分</w:t>
            </w:r>
          </w:p>
        </w:tc>
        <w:tc>
          <w:tcPr>
            <w:tcW w:type="dxa" w:w="114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样本数</w:t>
            </w:r>
          </w:p>
        </w:tc>
        <w:tc>
          <w:tcPr>
            <w:tcW w:type="dxa" w:w="647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作用</w:t>
            </w:r>
          </w:p>
        </w:tc>
      </w:tr>
      <w:tr>
        <w:trPr>
          <w:cantSplit/>
        </w:trPr>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训练集</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3395</w:t>
            </w:r>
          </w:p>
        </w:tc>
        <w:tc>
          <w:tcPr>
            <w:tcW w:type="dxa" w:w="647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拟合模型与预处理统计量；内部三折开发</w:t>
            </w:r>
          </w:p>
        </w:tc>
      </w:tr>
      <w:tr>
        <w:trPr>
          <w:cantSplit/>
        </w:trPr>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验证集</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728</w:t>
            </w:r>
          </w:p>
        </w:tc>
        <w:tc>
          <w:tcPr>
            <w:tcW w:type="dxa" w:w="647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固定候选的三种子确认和规律分析</w:t>
            </w:r>
          </w:p>
        </w:tc>
      </w:tr>
      <w:tr>
        <w:trPr>
          <w:cantSplit/>
        </w:trPr>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测试集</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727</w:t>
            </w:r>
          </w:p>
        </w:tc>
        <w:tc>
          <w:tcPr>
            <w:tcW w:type="dxa" w:w="647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模型冻结后的描述性评价</w:t>
            </w:r>
          </w:p>
        </w:tc>
      </w:tr>
      <w:tr>
        <w:trPr>
          <w:cantSplit/>
        </w:trPr>
        <w:tc>
          <w:tcPr>
            <w:tcW w:type="dxa" w:w="190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附件3</w:t>
            </w:r>
          </w:p>
        </w:tc>
        <w:tc>
          <w:tcPr>
            <w:tcW w:type="dxa" w:w="114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30</w:t>
            </w:r>
          </w:p>
        </w:tc>
        <w:tc>
          <w:tcPr>
            <w:tcW w:type="dxa" w:w="647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无标签专项最终预测</w:t>
            </w:r>
          </w:p>
        </w:tc>
      </w:tr>
    </w:tbl>
    <w:p>
      <w:pPr>
        <w:widowControl/>
        <w:spacing w:after="20"/>
      </w:pPr>
    </w:p>
    <w:p>
      <w:pPr>
        <w:widowControl/>
      </w:pPr>
      <w:r>
        <w:t>训练数据包含text_bert、audio、vision及标签。文本统一使用text_bert中的词元编号；不在训练中使用768维连续text特征后又于专项推理临时更换输入。训练、验证与测试共4850条样本已完成本地BERT分词编号核验。附件3的text_bert虽为浮点存储，读取时先验证数值有限且为整数，再转为整型编号。</w:t>
      </w:r>
    </w:p>
    <w:p>
      <w:pPr>
        <w:widowControl/>
        <w:spacing w:before="80" w:after="160"/>
        <w:ind w:firstLine="0"/>
        <w:jc w:val="center"/>
      </w:pPr>
      <m:oMath xmlns:mml="http://www.w3.org/1998/Math/MathML">
        <m:sSubSup>
          <m:e>
            <m:r>
              <m:t>X</m:t>
            </m:r>
          </m:e>
          <m:sub>
            <m:r>
              <m:t>i</m:t>
            </m:r>
          </m:sub>
          <m:sup>
            <m:r>
              <m:t>a</m:t>
            </m:r>
          </m:sup>
        </m:sSubSup>
        <m:r>
          <m:t>∈</m:t>
        </m:r>
        <m:sSup>
          <m:e>
            <m:r>
              <m:t>ℝ</m:t>
            </m:r>
          </m:e>
          <m:sup>
            <m:r>
              <m:t>T×74</m:t>
            </m:r>
          </m:sup>
        </m:sSup>
        <m:r>
          <m:t>,</m:t>
        </m:r>
        <m:sSubSup>
          <m:e>
            <m:r>
              <m:t>X</m:t>
            </m:r>
          </m:e>
          <m:sub>
            <m:r>
              <m:t>i</m:t>
            </m:r>
          </m:sub>
          <m:sup>
            <m:r>
              <m:t>v</m:t>
            </m:r>
          </m:sup>
        </m:sSubSup>
        <m:r>
          <m:t>∈</m:t>
        </m:r>
        <m:sSup>
          <m:e>
            <m:r>
              <m:t>ℝ</m:t>
            </m:r>
          </m:e>
          <m:sup>
            <m:r>
              <m:t>T×35</m:t>
            </m:r>
          </m:sup>
        </m:sSup>
        <m:r>
          <m:t>,T=50</m:t>
        </m:r>
      </m:oMath>
      <w:r>
        <w:rPr>
          <w:sz w:val="20"/>
        </w:rPr>
        <w:t xml:space="preserve">  (1)</w:t>
      </w:r>
    </w:p>
    <w:p>
      <w:pPr>
        <w:pStyle w:val="Caption"/>
        <w:keepNext/>
        <w:widowControl/>
        <w:jc w:val="center"/>
      </w:pPr>
      <w:r>
        <w:t>表2 主要符号与维度</w:t>
      </w:r>
    </w:p>
    <w:tbl>
      <w:tblPr>
        <w:tblW w:type="auto" w:w="0"/>
        <w:jc w:val="center"/>
        <w:tblLayout w:type="fixed"/>
        <w:tblLook w:firstColumn="1" w:firstRow="1" w:lastColumn="0" w:lastRow="0" w:noHBand="0" w:noVBand="1" w:val="04A0"/>
      </w:tblPr>
      <w:tblGrid>
        <w:gridCol w:w="2191"/>
        <w:gridCol w:w="4476"/>
        <w:gridCol w:w="2857"/>
      </w:tblGrid>
      <w:tr>
        <w:trPr>
          <w:cantSplit/>
          <w:tblHeader/>
        </w:trPr>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符号</w:t>
            </w:r>
          </w:p>
        </w:tc>
        <w:tc>
          <w:tcPr>
            <w:tcW w:type="dxa" w:w="447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含义</w:t>
            </w:r>
          </w:p>
        </w:tc>
        <w:tc>
          <w:tcPr>
            <w:tcW w:type="dxa" w:w="28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维度或范围</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i，j，m</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样本、位置、模态索引</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m∈{t,a,v}</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tᵢ</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文本词元编号</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50；编号0至30521</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Xᵢᵃ，Xᵢᵛ</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语音与视觉输入</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50×74，50×35</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vᵢⱼ</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有效位置标记</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0或1</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oᵢⱼᵐ，dᵢⱼᵐ</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原观测标记与人工缺失标记</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0或1</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õᵢⱼᵐ</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施加缺失后的可用标记</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0或1</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cᵢ，yᵢ</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极性标签与强度标签</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{0,1,2}；[−3,3]</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pᵢ，ŷᵢ</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三类概率与预测强度</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概率单纯形；[−3,3]</w:t>
            </w:r>
          </w:p>
        </w:tc>
      </w:tr>
      <w:tr>
        <w:trPr>
          <w:cantSplit/>
        </w:trPr>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hᵢᵗ，hᵢᵃ，hᵢᵛ</w:t>
            </w:r>
          </w:p>
        </w:tc>
        <w:tc>
          <w:tcPr>
            <w:tcW w:type="dxa" w:w="4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三模态投影表示</w:t>
            </w:r>
          </w:p>
        </w:tc>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128，64，64</w:t>
            </w:r>
          </w:p>
        </w:tc>
      </w:tr>
      <w:tr>
        <w:trPr>
          <w:cantSplit/>
        </w:trPr>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aᵢ，zᵢ</w:t>
            </w:r>
          </w:p>
        </w:tc>
        <w:tc>
          <w:tcPr>
            <w:tcW w:type="dxa" w:w="447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三模态可用比例与融合表示</w:t>
            </w:r>
          </w:p>
        </w:tc>
        <w:tc>
          <w:tcPr>
            <w:tcW w:type="dxa" w:w="28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3，128</w:t>
            </w:r>
          </w:p>
        </w:tc>
      </w:tr>
    </w:tbl>
    <w:p>
      <w:pPr>
        <w:widowControl/>
        <w:spacing w:after="20"/>
      </w:pPr>
    </w:p>
    <w:p>
      <w:pPr>
        <w:widowControl/>
      </w:pPr>
      <w:r>
        <w:t>有效位置通过文本注意力、词元编号及音视频非零观测的并集确定可辨识边界，排除位置0与CLS、SEP特殊词元。区域内部连续全零仍保留其位置，而不压缩序列。观测掩码则分别判断文本注意力与编号有效性、音视频有限性和整向量全零情况。两类掩码分离，使填充、特殊词元与真实缺失具有不同语义。</w:t>
      </w:r>
    </w:p>
    <w:p>
      <w:pPr>
        <w:widowControl/>
        <w:spacing w:before="80" w:after="160"/>
        <w:ind w:firstLine="0"/>
        <w:jc w:val="center"/>
      </w:pPr>
      <m:oMath xmlns:mml="http://www.w3.org/1998/Math/MathML">
        <m:sSubSup>
          <m:e>
            <m:r>
              <m:t>õ</m:t>
            </m:r>
          </m:e>
          <m:sub>
            <m:r>
              <m:rPr>
                <m:sty m:val="p"/>
              </m:rPr>
              <m:t>ij</m:t>
            </m:r>
          </m:sub>
          <m:sup>
            <m:r>
              <m:t>m</m:t>
            </m:r>
          </m:sup>
        </m:sSubSup>
        <m:r>
          <m:t>=</m:t>
        </m:r>
        <m:sSub>
          <m:e>
            <m:r>
              <m:t>v</m:t>
            </m:r>
          </m:e>
          <m:sub>
            <m:r>
              <m:rPr>
                <m:sty m:val="p"/>
              </m:rPr>
              <m:t>ij</m:t>
            </m:r>
          </m:sub>
        </m:sSub>
        <m:sSubSup>
          <m:e>
            <m:r>
              <m:t>o</m:t>
            </m:r>
          </m:e>
          <m:sub>
            <m:r>
              <m:rPr>
                <m:sty m:val="p"/>
              </m:rPr>
              <m:t>ij</m:t>
            </m:r>
          </m:sub>
          <m:sup>
            <m:r>
              <m:t>m</m:t>
            </m:r>
          </m:sup>
        </m:sSubSup>
        <m:r>
          <m:t>(1−</m:t>
        </m:r>
        <m:sSubSup>
          <m:e>
            <m:r>
              <m:t>d</m:t>
            </m:r>
          </m:e>
          <m:sub>
            <m:r>
              <m:rPr>
                <m:sty m:val="p"/>
              </m:rPr>
              <m:t>ij</m:t>
            </m:r>
          </m:sub>
          <m:sup>
            <m:r>
              <m:t>m</m:t>
            </m:r>
          </m:sup>
        </m:sSubSup>
        <m:r>
          <m:t>)</m:t>
        </m:r>
      </m:oMath>
      <w:r>
        <w:rPr>
          <w:sz w:val="20"/>
        </w:rPr>
        <w:t xml:space="preserve">  (2)</w:t>
      </w:r>
    </w:p>
    <w:p>
      <w:pPr>
        <w:widowControl/>
      </w:pPr>
      <w:r>
        <w:t>式（2）中的d=1表示人工移除信息，õ=1表示模型实际可使用该模态位置。人工缺失操作在编码之前生效。原观测掩码在标准化前确定并保存，不能因为标准化后某些数值恰好为零而重新判为缺失。</w:t>
      </w:r>
    </w:p>
    <w:p>
      <w:pPr>
        <w:pStyle w:val="Heading1"/>
        <w:widowControl/>
      </w:pPr>
      <w:r>
        <w:t>3 鲁棒多模态预测模型</w:t>
      </w:r>
    </w:p>
    <w:p>
      <w:pPr>
        <w:pStyle w:val="Heading2"/>
        <w:widowControl/>
      </w:pPr>
      <w:r>
        <w:t>训练集统计量与输入处理</w:t>
      </w:r>
    </w:p>
    <w:p>
      <w:pPr>
        <w:widowControl/>
      </w:pPr>
      <w:r>
        <w:t>不同模态的数值尺度差异会影响优化。我们仅使用当前拟合子集内可观测位置估计每个音视频坐标的均值与总体标准差；内部三折各自重新估计，官方完整训练后固定一份统计量用于验证、测试与附件3。</w:t>
      </w:r>
    </w:p>
    <w:p>
      <w:pPr>
        <w:widowControl/>
        <w:spacing w:before="80" w:after="160"/>
        <w:ind w:firstLine="0"/>
        <w:jc w:val="center"/>
      </w:pPr>
      <m:oMath xmlns:mml="http://www.w3.org/1998/Math/MathML">
        <m:sSubSup>
          <m:e>
            <m:r>
              <m:t>μ</m:t>
            </m:r>
          </m:e>
          <m:sub>
            <m:r>
              <m:t>k</m:t>
            </m:r>
          </m:sub>
          <m:sup>
            <m:r>
              <m:t>m</m:t>
            </m:r>
          </m:sup>
        </m:sSubSup>
        <m:r>
          <m:t>=</m:t>
        </m:r>
        <m:f>
          <m:fPr>
            <m:type m:val="bar"/>
          </m:fPr>
          <m:num>
            <m:nary>
              <m:naryPr>
                <m:chr m:val="∑"/>
                <m:limLoc m:val="subSup"/>
                <m:grow m:val="1"/>
                <m:subHide m:val="off"/>
                <m:supHide m:val="on"/>
              </m:naryPr>
              <m:sub>
                <m:r>
                  <m:rPr>
                    <m:sty m:val="p"/>
                  </m:rPr>
                  <m:t>i,j</m:t>
                </m:r>
              </m:sub>
              <m:sup/>
              <m:e/>
            </m:nary>
            <m:sSubSup>
              <m:e>
                <m:r>
                  <m:t>o</m:t>
                </m:r>
              </m:e>
              <m:sub>
                <m:r>
                  <m:rPr>
                    <m:sty m:val="p"/>
                  </m:rPr>
                  <m:t>ij</m:t>
                </m:r>
              </m:sub>
              <m:sup>
                <m:r>
                  <m:t>m</m:t>
                </m:r>
              </m:sup>
            </m:sSubSup>
            <m:sSubSup>
              <m:e>
                <m:r>
                  <m:t>x</m:t>
                </m:r>
              </m:e>
              <m:sub>
                <m:r>
                  <m:rPr>
                    <m:sty m:val="p"/>
                  </m:rPr>
                  <m:t>ijk</m:t>
                </m:r>
              </m:sub>
              <m:sup>
                <m:r>
                  <m:t>m</m:t>
                </m:r>
              </m:sup>
            </m:sSubSup>
          </m:num>
          <m:den>
            <m:nary>
              <m:naryPr>
                <m:chr m:val="∑"/>
                <m:limLoc m:val="subSup"/>
                <m:grow m:val="1"/>
                <m:subHide m:val="off"/>
                <m:supHide m:val="on"/>
              </m:naryPr>
              <m:sub>
                <m:r>
                  <m:rPr>
                    <m:sty m:val="p"/>
                  </m:rPr>
                  <m:t>i,j</m:t>
                </m:r>
              </m:sub>
              <m:sup/>
              <m:e/>
            </m:nary>
            <m:sSubSup>
              <m:e>
                <m:r>
                  <m:t>o</m:t>
                </m:r>
              </m:e>
              <m:sub>
                <m:r>
                  <m:rPr>
                    <m:sty m:val="p"/>
                  </m:rPr>
                  <m:t>ij</m:t>
                </m:r>
              </m:sub>
              <m:sup>
                <m:r>
                  <m:t>m</m:t>
                </m:r>
              </m:sup>
            </m:sSubSup>
          </m:den>
        </m:f>
      </m:oMath>
      <w:r>
        <w:rPr>
          <w:sz w:val="20"/>
        </w:rPr>
        <w:t xml:space="preserve">  (3)</w:t>
      </w:r>
    </w:p>
    <w:p>
      <w:pPr>
        <w:widowControl/>
        <w:spacing w:before="80" w:after="160"/>
        <w:ind w:firstLine="0"/>
        <w:jc w:val="center"/>
      </w:pPr>
      <m:oMath xmlns:mml="http://www.w3.org/1998/Math/MathML">
        <m:sSubSup>
          <m:e>
            <m:r>
              <m:t>σ</m:t>
            </m:r>
          </m:e>
          <m:sub>
            <m:r>
              <m:t>k</m:t>
            </m:r>
          </m:sub>
          <m:sup>
            <m:r>
              <m:t>m</m:t>
            </m:r>
          </m:sup>
        </m:sSubSup>
        <m:r>
          <m:t>=</m:t>
        </m:r>
        <m:r>
          <m:rPr>
            <m:sty m:val="p"/>
          </m:rPr>
          <m:t>max</m:t>
        </m:r>
        <m:r>
          <m:t>(</m:t>
        </m:r>
        <m:rad>
          <m:radPr>
            <m:degHide m:val="on"/>
          </m:radPr>
          <m:deg/>
          <m:e>
            <m:f>
              <m:fPr>
                <m:type m:val="bar"/>
              </m:fPr>
              <m:num>
                <m:nary>
                  <m:naryPr>
                    <m:chr m:val="∑"/>
                    <m:limLoc m:val="subSup"/>
                    <m:grow m:val="1"/>
                    <m:subHide m:val="off"/>
                    <m:supHide m:val="on"/>
                  </m:naryPr>
                  <m:sub>
                    <m:r>
                      <m:rPr>
                        <m:sty m:val="p"/>
                      </m:rPr>
                      <m:t>i,j</m:t>
                    </m:r>
                  </m:sub>
                  <m:sup/>
                  <m:e/>
                </m:nary>
                <m:sSubSup>
                  <m:e>
                    <m:r>
                      <m:t>o</m:t>
                    </m:r>
                  </m:e>
                  <m:sub>
                    <m:r>
                      <m:rPr>
                        <m:sty m:val="p"/>
                      </m:rPr>
                      <m:t>ij</m:t>
                    </m:r>
                  </m:sub>
                  <m:sup>
                    <m:r>
                      <m:t>m</m:t>
                    </m:r>
                  </m:sup>
                </m:sSubSup>
                <m:sSup>
                  <m:e>
                    <m:r>
                      <m:t>(</m:t>
                    </m:r>
                    <m:sSubSup>
                      <m:e>
                        <m:r>
                          <m:t>x</m:t>
                        </m:r>
                      </m:e>
                      <m:sub>
                        <m:r>
                          <m:rPr>
                            <m:sty m:val="p"/>
                          </m:rPr>
                          <m:t>ijk</m:t>
                        </m:r>
                      </m:sub>
                      <m:sup>
                        <m:r>
                          <m:t>m</m:t>
                        </m:r>
                      </m:sup>
                    </m:sSubSup>
                    <m:r>
                      <m:t>−</m:t>
                    </m:r>
                    <m:sSubSup>
                      <m:e>
                        <m:r>
                          <m:t>μ</m:t>
                        </m:r>
                      </m:e>
                      <m:sub>
                        <m:r>
                          <m:t>k</m:t>
                        </m:r>
                      </m:sub>
                      <m:sup>
                        <m:r>
                          <m:t>m</m:t>
                        </m:r>
                      </m:sup>
                    </m:sSubSup>
                    <m:r>
                      <m:t>)</m:t>
                    </m:r>
                  </m:e>
                  <m:sup>
                    <m:r>
                      <m:t>2</m:t>
                    </m:r>
                  </m:sup>
                </m:sSup>
              </m:num>
              <m:den>
                <m:nary>
                  <m:naryPr>
                    <m:chr m:val="∑"/>
                    <m:limLoc m:val="subSup"/>
                    <m:grow m:val="1"/>
                    <m:subHide m:val="off"/>
                    <m:supHide m:val="on"/>
                  </m:naryPr>
                  <m:sub>
                    <m:r>
                      <m:rPr>
                        <m:sty m:val="p"/>
                      </m:rPr>
                      <m:t>i,j</m:t>
                    </m:r>
                  </m:sub>
                  <m:sup/>
                  <m:e/>
                </m:nary>
                <m:sSubSup>
                  <m:e>
                    <m:r>
                      <m:t>o</m:t>
                    </m:r>
                  </m:e>
                  <m:sub>
                    <m:r>
                      <m:rPr>
                        <m:sty m:val="p"/>
                      </m:rPr>
                      <m:t>ij</m:t>
                    </m:r>
                  </m:sub>
                  <m:sup>
                    <m:r>
                      <m:t>m</m:t>
                    </m:r>
                  </m:sup>
                </m:sSubSup>
              </m:den>
            </m:f>
          </m:e>
        </m:rad>
        <m:r>
          <m:t>,</m:t>
        </m:r>
        <m:sSup>
          <m:e>
            <m:r>
              <m:t>10</m:t>
            </m:r>
          </m:e>
          <m:sup>
            <m:r>
              <m:t>−5</m:t>
            </m:r>
          </m:sup>
        </m:sSup>
        <m:r>
          <m:t>)</m:t>
        </m:r>
      </m:oMath>
      <w:r>
        <w:rPr>
          <w:sz w:val="20"/>
        </w:rPr>
        <w:t xml:space="preserve">  (4)</w:t>
      </w:r>
    </w:p>
    <w:p>
      <w:pPr>
        <w:widowControl/>
        <w:spacing w:before="80" w:after="160"/>
        <w:ind w:firstLine="0"/>
        <w:jc w:val="center"/>
      </w:pPr>
      <m:oMath xmlns:mml="http://www.w3.org/1998/Math/MathML">
        <m:sSubSup>
          <m:e>
            <m:r>
              <m:rPr>
                <m:sty m:val="p"/>
              </m:rPr>
              <m:t>x̃</m:t>
            </m:r>
          </m:e>
          <m:sub>
            <m:r>
              <m:rPr>
                <m:sty m:val="p"/>
              </m:rPr>
              <m:t>ijk</m:t>
            </m:r>
          </m:sub>
          <m:sup>
            <m:r>
              <m:t>m</m:t>
            </m:r>
          </m:sup>
        </m:sSubSup>
        <m:r>
          <m:t>=</m:t>
        </m:r>
        <m:sSubSup>
          <m:e>
            <m:r>
              <m:t>õ</m:t>
            </m:r>
          </m:e>
          <m:sub>
            <m:r>
              <m:rPr>
                <m:sty m:val="p"/>
              </m:rPr>
              <m:t>ij</m:t>
            </m:r>
          </m:sub>
          <m:sup>
            <m:r>
              <m:t>m</m:t>
            </m:r>
          </m:sup>
        </m:sSubSup>
        <m:r>
          <m:rPr>
            <m:sty m:val="p"/>
          </m:rPr>
          <m:t>clip</m:t>
        </m:r>
        <m:r>
          <m:t>(</m:t>
        </m:r>
        <m:f>
          <m:fPr>
            <m:type m:val="bar"/>
          </m:fPr>
          <m:num>
            <m:sSubSup>
              <m:e>
                <m:r>
                  <m:t>x</m:t>
                </m:r>
              </m:e>
              <m:sub>
                <m:r>
                  <m:rPr>
                    <m:sty m:val="p"/>
                  </m:rPr>
                  <m:t>ijk</m:t>
                </m:r>
              </m:sub>
              <m:sup>
                <m:r>
                  <m:t>m</m:t>
                </m:r>
              </m:sup>
            </m:sSubSup>
            <m:r>
              <m:t>−</m:t>
            </m:r>
            <m:sSubSup>
              <m:e>
                <m:r>
                  <m:t>μ</m:t>
                </m:r>
              </m:e>
              <m:sub>
                <m:r>
                  <m:t>k</m:t>
                </m:r>
              </m:sub>
              <m:sup>
                <m:r>
                  <m:t>m</m:t>
                </m:r>
              </m:sup>
            </m:sSubSup>
          </m:num>
          <m:den>
            <m:sSubSup>
              <m:e>
                <m:r>
                  <m:t>σ</m:t>
                </m:r>
              </m:e>
              <m:sub>
                <m:r>
                  <m:t>k</m:t>
                </m:r>
              </m:sub>
              <m:sup>
                <m:r>
                  <m:t>m</m:t>
                </m:r>
              </m:sup>
            </m:sSubSup>
          </m:den>
        </m:f>
        <m:r>
          <m:t>,−10,10)</m:t>
        </m:r>
      </m:oMath>
      <w:r>
        <w:rPr>
          <w:sz w:val="20"/>
        </w:rPr>
        <w:t xml:space="preserve">  (5)</w:t>
      </w:r>
    </w:p>
    <w:p>
      <w:pPr>
        <w:widowControl/>
      </w:pPr>
      <w:r>
        <w:t>式（3）与式（4）的求和仅覆盖拟合子集，m取语音或视觉。标准差下界为10⁻⁵，标准化后固定裁剪至[−10,10]以限制极端数值的影响；该规则在实验前已固定，不依据验证结果改变。不可观测向量置零但另保留掩码，因此模型不会把占位零当成正常测量。</w:t>
      </w:r>
    </w:p>
    <w:p>
      <w:pPr>
        <w:pStyle w:val="Heading2"/>
        <w:widowControl/>
      </w:pPr>
      <w:r>
        <w:t>编码前屏蔽与文本上下文表示</w:t>
      </w:r>
    </w:p>
    <w:p>
      <w:pPr>
        <w:widowControl/>
      </w:pPr>
      <w:r>
        <w:t>文本编码器采用本地bert-base-uncased通用预训练权重初始化[1,2]。词元、位置及全零segment嵌入经LayerNorm与dropout送入Transformer；每层为12个注意力头、768维隐状态和3072维前馈层。只保留前50个位置嵌入以匹配赛题输入。词表裁剪版将拟合子集未出现的编号映射为UNK；完整词表版保留预训练模型原有30522个编号，未读取专项样本建立词表。</w:t>
      </w:r>
    </w:p>
    <w:p>
      <w:pPr>
        <w:widowControl/>
      </w:pPr>
      <w:r>
        <w:t>对于缺失的普通词元，先将编号置为占位值并从注意力键中屏蔽，再进行上下文编码；CLS与可辨认的SEP保留为结构边界，CLS位置始终开启以避免全屏蔽注意力的数值问题。汇总仅使用实际观测词元，特殊词元与缺失位置不进入均值。位置与边界信息仍然可见，因此本文没有宣称模型对缺失长度本身完全不知情。</w:t>
      </w:r>
    </w:p>
    <w:p>
      <w:pPr>
        <w:widowControl/>
        <w:spacing w:before="80" w:after="160"/>
        <w:ind w:firstLine="0"/>
        <w:jc w:val="center"/>
      </w:pPr>
      <m:oMath xmlns:mml="http://www.w3.org/1998/Math/MathML">
        <m:r>
          <m:rPr>
            <m:sty m:val="p"/>
          </m:rPr>
          <m:t>Attn</m:t>
        </m:r>
        <m:r>
          <m:t>(Q,K,V)</m:t>
        </m:r>
        <m:r>
          <m:t>=</m:t>
        </m:r>
        <m:r>
          <m:rPr>
            <m:sty m:val="p"/>
          </m:rPr>
          <m:t>softmax</m:t>
        </m:r>
        <m:r>
          <m:t>(</m:t>
        </m:r>
        <m:f>
          <m:fPr>
            <m:type m:val="bar"/>
          </m:fPr>
          <m:num>
            <m:r>
              <m:t>Q</m:t>
            </m:r>
            <m:sSup>
              <m:e>
                <m:r>
                  <m:t>K</m:t>
                </m:r>
              </m:e>
              <m:sup>
                <m:r>
                  <m:t>T</m:t>
                </m:r>
              </m:sup>
            </m:sSup>
          </m:num>
          <m:den>
            <m:rad>
              <m:radPr>
                <m:degHide m:val="on"/>
              </m:radPr>
              <m:deg/>
              <m:e>
                <m:r>
                  <m:t>64</m:t>
                </m:r>
              </m:e>
            </m:rad>
          </m:den>
        </m:f>
        <m:r>
          <m:t>+B)</m:t>
        </m:r>
        <m:r>
          <m:t>V</m:t>
        </m:r>
      </m:oMath>
      <w:r>
        <w:rPr>
          <w:sz w:val="20"/>
        </w:rPr>
        <w:t xml:space="preserve">  (6)</w:t>
      </w:r>
    </w:p>
    <w:p>
      <w:pPr>
        <w:widowControl/>
      </w:pPr>
      <w:r>
        <w:t>式（6）给出单个注意力头的核心计算。Q、K、V为线性投影，头宽为64；B在不可用键位置取−10000，其余位置取0。实现使用残差连接、后置LayerNorm和GELU前馈变换。对于缺失位置形成的查询隐状态，不在后续池化中采用，也不允许其作为有效键传递给其他位置。</w:t>
      </w:r>
    </w:p>
    <w:p>
      <w:pPr>
        <w:widowControl/>
        <w:spacing w:before="80" w:after="160"/>
        <w:ind w:firstLine="0"/>
        <w:jc w:val="center"/>
      </w:pPr>
      <m:oMath xmlns:mml="http://www.w3.org/1998/Math/MathML">
        <m:sSubSup>
          <m:e>
            <m:acc>
              <m:accPr>
                <m:chr m:val="̅"/>
              </m:accPr>
              <m:e>
                <m:r>
                  <m:t>h</m:t>
                </m:r>
              </m:e>
            </m:acc>
          </m:e>
          <m:sub>
            <m:r>
              <m:t>i</m:t>
            </m:r>
          </m:sub>
          <m:sup>
            <m:r>
              <m:t>t</m:t>
            </m:r>
          </m:sup>
        </m:sSubSup>
        <m:r>
          <m:t>=</m:t>
        </m:r>
        <m:f>
          <m:fPr>
            <m:type m:val="bar"/>
          </m:fPr>
          <m:num>
            <m:nary>
              <m:naryPr>
                <m:chr m:val="∑"/>
                <m:limLoc m:val="undOvr"/>
                <m:grow m:val="1"/>
                <m:subHide m:val="off"/>
                <m:supHide m:val="off"/>
              </m:naryPr>
              <m:sub>
                <m:r>
                  <m:t>j=1</m:t>
                </m:r>
              </m:sub>
              <m:sup>
                <m:r>
                  <m:t>T</m:t>
                </m:r>
              </m:sup>
              <m:e/>
            </m:nary>
            <m:sSubSup>
              <m:e>
                <m:r>
                  <m:t>õ</m:t>
                </m:r>
              </m:e>
              <m:sub>
                <m:r>
                  <m:rPr>
                    <m:sty m:val="p"/>
                  </m:rPr>
                  <m:t>ij</m:t>
                </m:r>
              </m:sub>
              <m:sup>
                <m:r>
                  <m:t>t</m:t>
                </m:r>
              </m:sup>
            </m:sSubSup>
            <m:sSub>
              <m:e>
                <m:r>
                  <m:t>H</m:t>
                </m:r>
              </m:e>
              <m:sub>
                <m:r>
                  <m:rPr>
                    <m:sty m:val="p"/>
                  </m:rPr>
                  <m:t>ij</m:t>
                </m:r>
              </m:sub>
            </m:sSub>
          </m:num>
          <m:den>
            <m:r>
              <m:rPr>
                <m:sty m:val="p"/>
              </m:rPr>
              <m:t>max</m:t>
            </m:r>
            <m:r>
              <m:t>(1,</m:t>
            </m:r>
            <m:nary>
              <m:naryPr>
                <m:chr m:val="∑"/>
                <m:limLoc m:val="undOvr"/>
                <m:grow m:val="1"/>
                <m:subHide m:val="off"/>
                <m:supHide m:val="off"/>
              </m:naryPr>
              <m:sub>
                <m:r>
                  <m:t>j=1</m:t>
                </m:r>
              </m:sub>
              <m:sup>
                <m:r>
                  <m:t>T</m:t>
                </m:r>
              </m:sup>
              <m:e/>
            </m:nary>
            <m:sSubSup>
              <m:e>
                <m:r>
                  <m:t>õ</m:t>
                </m:r>
              </m:e>
              <m:sub>
                <m:r>
                  <m:rPr>
                    <m:sty m:val="p"/>
                  </m:rPr>
                  <m:t>ij</m:t>
                </m:r>
              </m:sub>
              <m:sup>
                <m:r>
                  <m:t>t</m:t>
                </m:r>
              </m:sup>
            </m:sSubSup>
            <m:r>
              <m:t>)</m:t>
            </m:r>
          </m:den>
        </m:f>
      </m:oMath>
      <w:r>
        <w:rPr>
          <w:sz w:val="20"/>
        </w:rPr>
        <w:t xml:space="preserve">  (7)</w:t>
      </w:r>
    </w:p>
    <w:p>
      <w:pPr>
        <w:widowControl/>
      </w:pPr>
      <w:r>
        <w:t>H为最终文本隐状态。式（7）的分母截为至少1避免空序列除零，池化结果经768→128线性层、LayerNorm与GELU；若文本完全不可用，投影后的表示再次乘以可用性指示，使其严格为零。BERT是已有方法，本文的具体实现与缓存原模型在核验样例上的最大绝对差为8.11×10⁻⁶，该检查用于验证实现兼容性，并非预测性能证据。</w:t>
      </w:r>
    </w:p>
    <w:p>
      <w:pPr>
        <w:pStyle w:val="Heading2"/>
        <w:widowControl/>
      </w:pPr>
      <w:r>
        <w:t>音视频汇总与多模态融合</w:t>
      </w:r>
    </w:p>
    <w:p>
      <w:pPr>
        <w:widowControl/>
        <w:spacing w:before="80" w:after="160"/>
        <w:ind w:firstLine="0"/>
        <w:jc w:val="center"/>
      </w:pPr>
      <m:oMath xmlns:mml="http://www.w3.org/1998/Math/MathML">
        <m:sSubSup>
          <m:e>
            <m:acc>
              <m:accPr>
                <m:chr m:val="̅"/>
              </m:accPr>
              <m:e>
                <m:r>
                  <m:t>x</m:t>
                </m:r>
              </m:e>
            </m:acc>
          </m:e>
          <m:sub>
            <m:r>
              <m:t>i</m:t>
            </m:r>
          </m:sub>
          <m:sup>
            <m:r>
              <m:t>m</m:t>
            </m:r>
          </m:sup>
        </m:sSubSup>
        <m:r>
          <m:t>=</m:t>
        </m:r>
        <m:f>
          <m:fPr>
            <m:type m:val="bar"/>
          </m:fPr>
          <m:num>
            <m:nary>
              <m:naryPr>
                <m:chr m:val="∑"/>
                <m:limLoc m:val="undOvr"/>
                <m:grow m:val="1"/>
                <m:subHide m:val="off"/>
                <m:supHide m:val="off"/>
              </m:naryPr>
              <m:sub>
                <m:r>
                  <m:t>j=1</m:t>
                </m:r>
              </m:sub>
              <m:sup>
                <m:r>
                  <m:t>T</m:t>
                </m:r>
              </m:sup>
              <m:e/>
            </m:nary>
            <m:sSubSup>
              <m:e>
                <m:r>
                  <m:t>õ</m:t>
                </m:r>
              </m:e>
              <m:sub>
                <m:r>
                  <m:rPr>
                    <m:sty m:val="p"/>
                  </m:rPr>
                  <m:t>ij</m:t>
                </m:r>
              </m:sub>
              <m:sup>
                <m:r>
                  <m:t>m</m:t>
                </m:r>
              </m:sup>
            </m:sSubSup>
            <m:sSubSup>
              <m:e>
                <m:r>
                  <m:rPr>
                    <m:sty m:val="p"/>
                  </m:rPr>
                  <m:t>x̃</m:t>
                </m:r>
              </m:e>
              <m:sub>
                <m:r>
                  <m:rPr>
                    <m:sty m:val="p"/>
                  </m:rPr>
                  <m:t>ij</m:t>
                </m:r>
              </m:sub>
              <m:sup>
                <m:r>
                  <m:t>m</m:t>
                </m:r>
              </m:sup>
            </m:sSubSup>
          </m:num>
          <m:den>
            <m:r>
              <m:rPr>
                <m:sty m:val="p"/>
              </m:rPr>
              <m:t>max</m:t>
            </m:r>
            <m:r>
              <m:t>(1,</m:t>
            </m:r>
            <m:nary>
              <m:naryPr>
                <m:chr m:val="∑"/>
                <m:limLoc m:val="undOvr"/>
                <m:grow m:val="1"/>
                <m:subHide m:val="off"/>
                <m:supHide m:val="off"/>
              </m:naryPr>
              <m:sub>
                <m:r>
                  <m:t>j=1</m:t>
                </m:r>
              </m:sub>
              <m:sup>
                <m:r>
                  <m:t>T</m:t>
                </m:r>
              </m:sup>
              <m:e/>
            </m:nary>
            <m:sSubSup>
              <m:e>
                <m:r>
                  <m:t>õ</m:t>
                </m:r>
              </m:e>
              <m:sub>
                <m:r>
                  <m:rPr>
                    <m:sty m:val="p"/>
                  </m:rPr>
                  <m:t>ij</m:t>
                </m:r>
              </m:sub>
              <m:sup>
                <m:r>
                  <m:t>m</m:t>
                </m:r>
              </m:sup>
            </m:sSubSup>
            <m:r>
              <m:t>)</m:t>
            </m:r>
          </m:den>
        </m:f>
        <m:r>
          <m:t>,m∈{a,v}</m:t>
        </m:r>
      </m:oMath>
      <w:r>
        <w:rPr>
          <w:sz w:val="20"/>
        </w:rPr>
        <w:t xml:space="preserve">  (8)</w:t>
      </w:r>
    </w:p>
    <w:p>
      <w:pPr>
        <w:widowControl/>
      </w:pPr>
      <w:r>
        <w:t>语音和视觉采用观测掩码均值汇总，再分别通过74→64与35→64的线性层、LayerNorm和GELU。均值编码在小样本条件下参数量较低、实现稳定，但不显式区分可见片段内部的细粒度顺序，不能将其描述为精细时序建模。完全缺失的模态输出置零。</w:t>
      </w:r>
    </w:p>
    <w:p>
      <w:pPr>
        <w:widowControl/>
        <w:spacing w:before="80" w:after="160"/>
        <w:ind w:firstLine="0"/>
        <w:jc w:val="center"/>
      </w:pPr>
      <m:oMath xmlns:mml="http://www.w3.org/1998/Math/MathML">
        <m:sSubSup>
          <m:e>
            <m:r>
              <m:t>a</m:t>
            </m:r>
          </m:e>
          <m:sub>
            <m:r>
              <m:t>i</m:t>
            </m:r>
          </m:sub>
          <m:sup>
            <m:r>
              <m:t>m</m:t>
            </m:r>
          </m:sup>
        </m:sSubSup>
        <m:r>
          <m:t>=</m:t>
        </m:r>
        <m:f>
          <m:fPr>
            <m:type m:val="bar"/>
          </m:fPr>
          <m:num>
            <m:nary>
              <m:naryPr>
                <m:chr m:val="∑"/>
                <m:limLoc m:val="subSup"/>
                <m:grow m:val="1"/>
                <m:subHide m:val="off"/>
                <m:supHide m:val="on"/>
              </m:naryPr>
              <m:sub>
                <m:r>
                  <m:t>j</m:t>
                </m:r>
              </m:sub>
              <m:sup/>
              <m:e/>
            </m:nary>
            <m:sSubSup>
              <m:e>
                <m:r>
                  <m:t>õ</m:t>
                </m:r>
              </m:e>
              <m:sub>
                <m:r>
                  <m:rPr>
                    <m:sty m:val="p"/>
                  </m:rPr>
                  <m:t>ij</m:t>
                </m:r>
              </m:sub>
              <m:sup>
                <m:r>
                  <m:t>m</m:t>
                </m:r>
              </m:sup>
            </m:sSubSup>
          </m:num>
          <m:den>
            <m:r>
              <m:rPr>
                <m:sty m:val="p"/>
              </m:rPr>
              <m:t>max</m:t>
            </m:r>
            <m:r>
              <m:t>(1,</m:t>
            </m:r>
            <m:nary>
              <m:naryPr>
                <m:chr m:val="∑"/>
                <m:limLoc m:val="subSup"/>
                <m:grow m:val="1"/>
                <m:subHide m:val="off"/>
                <m:supHide m:val="on"/>
              </m:naryPr>
              <m:sub>
                <m:r>
                  <m:t>j</m:t>
                </m:r>
              </m:sub>
              <m:sup/>
              <m:e/>
            </m:nary>
            <m:sSub>
              <m:e>
                <m:r>
                  <m:t>v</m:t>
                </m:r>
              </m:e>
              <m:sub>
                <m:r>
                  <m:rPr>
                    <m:sty m:val="p"/>
                  </m:rPr>
                  <m:t>ij</m:t>
                </m:r>
              </m:sub>
            </m:sSub>
            <m:r>
              <m:t>)</m:t>
            </m:r>
          </m:den>
        </m:f>
        <m:r>
          <m:t>,</m:t>
        </m:r>
        <m:sSub>
          <m:e>
            <m:r>
              <m:t>z</m:t>
            </m:r>
          </m:e>
          <m:sub>
            <m:r>
              <m:t>i</m:t>
            </m:r>
          </m:sub>
        </m:sSub>
        <m:r>
          <m:t>=</m:t>
        </m:r>
        <m:r>
          <m:rPr>
            <m:sty m:val="p"/>
          </m:rPr>
          <m:t>GELU</m:t>
        </m:r>
        <m:r>
          <m:t>(</m:t>
        </m:r>
        <m:sSub>
          <m:e>
            <m:r>
              <m:t>W</m:t>
            </m:r>
          </m:e>
          <m:sub>
            <m:r>
              <m:t>f</m:t>
            </m:r>
          </m:sub>
        </m:sSub>
        <m:r>
          <m:t>[</m:t>
        </m:r>
        <m:sSubSup>
          <m:e>
            <m:r>
              <m:t>h</m:t>
            </m:r>
          </m:e>
          <m:sub>
            <m:r>
              <m:t>i</m:t>
            </m:r>
          </m:sub>
          <m:sup>
            <m:r>
              <m:t>t</m:t>
            </m:r>
          </m:sup>
        </m:sSubSup>
        <m:r>
          <m:t>;</m:t>
        </m:r>
        <m:sSubSup>
          <m:e>
            <m:r>
              <m:t>h</m:t>
            </m:r>
          </m:e>
          <m:sub>
            <m:r>
              <m:t>i</m:t>
            </m:r>
          </m:sub>
          <m:sup>
            <m:r>
              <m:t>a</m:t>
            </m:r>
          </m:sup>
        </m:sSubSup>
        <m:r>
          <m:t>;</m:t>
        </m:r>
        <m:sSubSup>
          <m:e>
            <m:r>
              <m:t>h</m:t>
            </m:r>
          </m:e>
          <m:sub>
            <m:r>
              <m:t>i</m:t>
            </m:r>
          </m:sub>
          <m:sup>
            <m:r>
              <m:t>v</m:t>
            </m:r>
          </m:sup>
        </m:sSubSup>
        <m:r>
          <m:t>;</m:t>
        </m:r>
        <m:sSub>
          <m:e>
            <m:r>
              <m:t>a</m:t>
            </m:r>
          </m:e>
          <m:sub>
            <m:r>
              <m:t>i</m:t>
            </m:r>
          </m:sub>
        </m:sSub>
        <m:r>
          <m:t>]+</m:t>
        </m:r>
        <m:sSub>
          <m:e>
            <m:r>
              <m:t>b</m:t>
            </m:r>
          </m:e>
          <m:sub>
            <m:r>
              <m:t>f</m:t>
            </m:r>
          </m:sub>
        </m:sSub>
        <m:r>
          <m:t>)</m:t>
        </m:r>
      </m:oMath>
      <w:r>
        <w:rPr>
          <w:sz w:val="20"/>
        </w:rPr>
        <w:t xml:space="preserve">  (9)</w:t>
      </w:r>
    </w:p>
    <w:p>
      <w:pPr>
        <w:widowControl/>
      </w:pPr>
      <w:r>
        <w:t>式（9）将128维文本、64维语音、64维视觉和3维可用比例拼接为259维向量，再映射为128维融合表示，训练时使用0.2的dropout。可用比例告知融合层各模态剩余观测量，但此结构是带可用信息的拼接融合，不是显式门控或动态专家模型，也不构成模态重要性的因果解释。</w:t>
      </w:r>
    </w:p>
    <w:p>
      <w:pPr>
        <w:widowControl/>
        <w:spacing w:before="80" w:after="160"/>
        <w:ind w:firstLine="0"/>
        <w:jc w:val="center"/>
      </w:pPr>
      <m:oMath xmlns:mml="http://www.w3.org/1998/Math/MathML">
        <m:sSub>
          <m:e>
            <m:r>
              <m:t>p</m:t>
            </m:r>
          </m:e>
          <m:sub>
            <m:r>
              <m:t>i</m:t>
            </m:r>
          </m:sub>
        </m:sSub>
        <m:r>
          <m:t>=</m:t>
        </m:r>
        <m:r>
          <m:rPr>
            <m:sty m:val="p"/>
          </m:rPr>
          <m:t>softmax</m:t>
        </m:r>
        <m:r>
          <m:t>(</m:t>
        </m:r>
        <m:sSub>
          <m:e>
            <m:r>
              <m:t>W</m:t>
            </m:r>
          </m:e>
          <m:sub>
            <m:r>
              <m:t>c</m:t>
            </m:r>
          </m:sub>
        </m:sSub>
        <m:sSub>
          <m:e>
            <m:r>
              <m:t>z</m:t>
            </m:r>
          </m:e>
          <m:sub>
            <m:r>
              <m:t>i</m:t>
            </m:r>
          </m:sub>
        </m:sSub>
        <m:r>
          <m:t>+</m:t>
        </m:r>
        <m:sSub>
          <m:e>
            <m:r>
              <m:t>b</m:t>
            </m:r>
          </m:e>
          <m:sub>
            <m:r>
              <m:t>c</m:t>
            </m:r>
          </m:sub>
        </m:sSub>
        <m:r>
          <m:t>)</m:t>
        </m:r>
        <m:r>
          <m:t>,</m:t>
        </m:r>
        <m:sSub>
          <m:e>
            <m:acc>
              <m:accPr>
                <m:chr m:val="̂"/>
              </m:accPr>
              <m:e>
                <m:r>
                  <m:t>c</m:t>
                </m:r>
              </m:e>
            </m:acc>
          </m:e>
          <m:sub>
            <m:r>
              <m:t>i</m:t>
            </m:r>
          </m:sub>
        </m:sSub>
        <m:r>
          <m:t>=</m:t>
        </m:r>
        <m:sSub>
          <m:e>
            <m:r>
              <m:rPr>
                <m:sty m:val="p"/>
              </m:rPr>
              <m:t>argmax</m:t>
            </m:r>
          </m:e>
          <m:sub>
            <m:r>
              <m:t>k</m:t>
            </m:r>
          </m:sub>
        </m:sSub>
        <m:sSub>
          <m:e>
            <m:r>
              <m:t>p</m:t>
            </m:r>
          </m:e>
          <m:sub>
            <m:r>
              <m:rPr>
                <m:sty m:val="p"/>
              </m:rPr>
              <m:t>ik</m:t>
            </m:r>
          </m:sub>
        </m:sSub>
        <m:r>
          <m:t>,</m:t>
        </m:r>
        <m:sSub>
          <m:e>
            <m:acc>
              <m:accPr>
                <m:chr m:val="̂"/>
              </m:accPr>
              <m:e>
                <m:r>
                  <m:t>y</m:t>
                </m:r>
              </m:e>
            </m:acc>
          </m:e>
          <m:sub>
            <m:r>
              <m:t>i</m:t>
            </m:r>
          </m:sub>
        </m:sSub>
        <m:r>
          <m:t>=3</m:t>
        </m:r>
        <m:r>
          <m:rPr>
            <m:sty m:val="p"/>
          </m:rPr>
          <m:t>tanh</m:t>
        </m:r>
        <m:r>
          <m:t>(</m:t>
        </m:r>
        <m:sSubSup>
          <m:e>
            <m:r>
              <m:t>w</m:t>
            </m:r>
          </m:e>
          <m:sub>
            <m:r>
              <m:t>r</m:t>
            </m:r>
          </m:sub>
          <m:sup>
            <m:r>
              <m:t>T</m:t>
            </m:r>
          </m:sup>
        </m:sSubSup>
        <m:sSub>
          <m:e>
            <m:r>
              <m:t>z</m:t>
            </m:r>
          </m:e>
          <m:sub>
            <m:r>
              <m:t>i</m:t>
            </m:r>
          </m:sub>
        </m:sSub>
        <m:r>
          <m:t>+</m:t>
        </m:r>
        <m:sSub>
          <m:e>
            <m:r>
              <m:t>b</m:t>
            </m:r>
          </m:e>
          <m:sub>
            <m:r>
              <m:t>r</m:t>
            </m:r>
          </m:sub>
        </m:sSub>
        <m:r>
          <m:t>)</m:t>
        </m:r>
      </m:oMath>
      <w:r>
        <w:rPr>
          <w:sz w:val="20"/>
        </w:rPr>
        <w:t xml:space="preserve">  (10)</w:t>
      </w:r>
    </w:p>
    <w:p>
      <w:pPr>
        <w:keepNext/>
        <w:widowControl/>
        <w:ind w:firstLine="0"/>
        <w:jc w:val="center"/>
      </w:pPr>
      <w:r>
        <w:drawing>
          <wp:inline xmlns:a="http://schemas.openxmlformats.org/drawingml/2006/main" xmlns:pic="http://schemas.openxmlformats.org/drawingml/2006/picture">
            <wp:extent cx="5940000" cy="3035155"/>
            <wp:docPr id="1" name="Picture 1" descr="图1 模型结构与编码前缺失处理。长度50为特征位置上限，不代表50秒。融合为拼接与可用比例输入，不包含动态门控。"/>
            <wp:cNvGraphicFramePr>
              <a:graphicFrameLocks noChangeAspect="1"/>
            </wp:cNvGraphicFramePr>
            <a:graphic>
              <a:graphicData uri="http://schemas.openxmlformats.org/drawingml/2006/picture">
                <pic:pic>
                  <pic:nvPicPr>
                    <pic:cNvPr id="0" name="fig01_architecture.png"/>
                    <pic:cNvPicPr/>
                  </pic:nvPicPr>
                  <pic:blipFill>
                    <a:blip r:embed="rId9"/>
                    <a:stretch>
                      <a:fillRect/>
                    </a:stretch>
                  </pic:blipFill>
                  <pic:spPr>
                    <a:xfrm>
                      <a:off x="0" y="0"/>
                      <a:ext cx="5940000" cy="3035155"/>
                    </a:xfrm>
                    <a:prstGeom prst="rect"/>
                  </pic:spPr>
                </pic:pic>
              </a:graphicData>
            </a:graphic>
          </wp:inline>
        </w:drawing>
      </w:r>
    </w:p>
    <w:p>
      <w:pPr>
        <w:pStyle w:val="Caption"/>
        <w:keepLines/>
        <w:widowControl/>
        <w:jc w:val="left"/>
      </w:pPr>
      <w:r>
        <w:t>图1 模型结构与编码前缺失处理。长度50为特征位置上限，不代表50秒。融合为拼接与可用比例输入，不包含动态门控。</w:t>
      </w:r>
    </w:p>
    <w:p>
      <w:pPr>
        <w:widowControl/>
      </w:pPr>
      <w:r>
        <w:t>分类头输出三类softmax概率，回归头通过3tanh限制强度范围。标签约定0、1、2分别为负向、中性、正向。两头共享融合表示但分别监督，因而可能出现类别与强度符号不一致；本研究原样保存两头输出，不以事后阈值修饰预测。</w:t>
      </w:r>
    </w:p>
    <w:p>
      <w:pPr>
        <w:pStyle w:val="Heading2"/>
        <w:widowControl/>
      </w:pPr>
      <w:r>
        <w:t>联合目标函数与缺失增强</w:t>
      </w:r>
    </w:p>
    <w:p>
      <w:pPr>
        <w:widowControl/>
        <w:spacing w:before="80" w:after="160"/>
        <w:ind w:firstLine="0"/>
        <w:jc w:val="center"/>
      </w:pPr>
      <m:oMath xmlns:mml="http://www.w3.org/1998/Math/MathML">
        <m:r>
          <m:t>ℒ=</m:t>
        </m:r>
        <m:f>
          <m:fPr>
            <m:type m:val="bar"/>
          </m:fPr>
          <m:num>
            <m:r>
              <m:t>1</m:t>
            </m:r>
          </m:num>
          <m:den>
            <m:r>
              <m:t>N</m:t>
            </m:r>
          </m:den>
        </m:f>
        <m:nary>
          <m:naryPr>
            <m:chr m:val="∑"/>
            <m:limLoc m:val="undOvr"/>
            <m:grow m:val="1"/>
            <m:subHide m:val="off"/>
            <m:supHide m:val="off"/>
          </m:naryPr>
          <m:sub>
            <m:r>
              <m:t>i=1</m:t>
            </m:r>
          </m:sub>
          <m:sup>
            <m:r>
              <m:t>N</m:t>
            </m:r>
          </m:sup>
          <m:e/>
        </m:nary>
        <m:r>
          <m:t>[−</m:t>
        </m:r>
        <m:r>
          <m:rPr>
            <m:sty m:val="p"/>
          </m:rPr>
          <m:t>log</m:t>
        </m:r>
        <m:sSub>
          <m:e>
            <m:r>
              <m:t>p</m:t>
            </m:r>
          </m:e>
          <m:sub>
            <m:r>
              <m:rPr>
                <m:sty m:val="p"/>
              </m:rPr>
              <m:t>i,cᵢ</m:t>
            </m:r>
          </m:sub>
        </m:sSub>
        <m:r>
          <m:t>+</m:t>
        </m:r>
        <m:sSub>
          <m:e>
            <m:r>
              <m:t>H</m:t>
            </m:r>
          </m:e>
          <m:sub>
            <m:r>
              <m:t>1</m:t>
            </m:r>
          </m:sub>
        </m:sSub>
        <m:r>
          <m:t>(</m:t>
        </m:r>
        <m:sSub>
          <m:e>
            <m:acc>
              <m:accPr>
                <m:chr m:val="̂"/>
              </m:accPr>
              <m:e>
                <m:r>
                  <m:t>y</m:t>
                </m:r>
              </m:e>
            </m:acc>
          </m:e>
          <m:sub>
            <m:r>
              <m:t>i</m:t>
            </m:r>
          </m:sub>
        </m:sSub>
        <m:r>
          <m:t>−</m:t>
        </m:r>
        <m:sSub>
          <m:e>
            <m:r>
              <m:t>y</m:t>
            </m:r>
          </m:e>
          <m:sub>
            <m:r>
              <m:t>i</m:t>
            </m:r>
          </m:sub>
        </m:sSub>
        <m:r>
          <m:t>)</m:t>
        </m:r>
        <m:r>
          <m:t>]</m:t>
        </m:r>
      </m:oMath>
      <w:r>
        <w:rPr>
          <w:sz w:val="20"/>
        </w:rPr>
        <w:t xml:space="preserve">  (11)</w:t>
      </w:r>
    </w:p>
    <w:p>
      <w:pPr>
        <w:widowControl/>
        <w:spacing w:before="80" w:after="160"/>
        <w:ind w:firstLine="0"/>
        <w:jc w:val="center"/>
      </w:pPr>
      <m:oMath xmlns:mml="http://www.w3.org/1998/Math/MathML">
        <m:sSub>
          <m:e>
            <m:r>
              <m:t>H</m:t>
            </m:r>
          </m:e>
          <m:sub>
            <m:r>
              <m:t>1</m:t>
            </m:r>
          </m:sub>
        </m:sSub>
        <m:r>
          <m:t>(e)</m:t>
        </m:r>
        <m:r>
          <m:t>=</m:t>
        </m:r>
        <m:d>
          <m:dPr>
            <m:begChr m:val="{"/>
            <m:sepChr m:val=","/>
            <m:endChr m:val=""/>
          </m:dPr>
          <m:e>
            <m:m>
              <m:mPr>
                <m:baseJc m:val="center"/>
                <m:plcHide m:val="on"/>
                <m:mcs>
                  <m:mc>
                    <m:mcPr>
                      <m:count m:val="2"/>
                      <m:mcJc m:val="center"/>
                    </m:mcPr>
                  </m:mc>
                </m:mcs>
              </m:mPr>
              <m:mr>
                <m:e>
                  <m:f>
                    <m:fPr>
                      <m:type m:val="bar"/>
                    </m:fPr>
                    <m:num>
                      <m:sSup>
                        <m:e>
                          <m:r>
                            <m:t>e</m:t>
                          </m:r>
                        </m:e>
                        <m:sup>
                          <m:r>
                            <m:t>2</m:t>
                          </m:r>
                        </m:sup>
                      </m:sSup>
                    </m:num>
                    <m:den>
                      <m:r>
                        <m:t>2</m:t>
                      </m:r>
                    </m:den>
                  </m:f>
                </m:e>
                <m:e>
                  <m:r>
                    <m:t>|e|≤1</m:t>
                  </m:r>
                </m:e>
              </m:mr>
              <m:mr>
                <m:e>
                  <m:r>
                    <m:t>|e|−</m:t>
                  </m:r>
                  <m:f>
                    <m:fPr>
                      <m:type m:val="bar"/>
                    </m:fPr>
                    <m:num>
                      <m:r>
                        <m:t>1</m:t>
                      </m:r>
                    </m:num>
                    <m:den>
                      <m:r>
                        <m:t>2</m:t>
                      </m:r>
                    </m:den>
                  </m:f>
                </m:e>
                <m:e>
                  <m:r>
                    <m:t>|e|&gt;1</m:t>
                  </m:r>
                </m:e>
              </m:mr>
            </m:m>
          </m:e>
        </m:d>
      </m:oMath>
      <w:r>
        <w:rPr>
          <w:sz w:val="20"/>
        </w:rPr>
        <w:t xml:space="preserve">  (12)</w:t>
      </w:r>
    </w:p>
    <w:p>
      <w:pPr>
        <w:widowControl/>
      </w:pPr>
      <w:r>
        <w:t>交叉熵利用离散类别监督，Huber损失在小残差区间提供平滑二次惩罚，在大残差区间降低异常误差的梯度增长。两项损失等权，Huber阈值为1。三类未使用额外类别权重，本阶段也未基于官方验证的中性类别表现事后搜索权重或分类阈值。</w:t>
      </w:r>
    </w:p>
    <w:p>
      <w:pPr>
        <w:widowControl/>
        <w:spacing w:before="80" w:after="160"/>
        <w:ind w:firstLine="0"/>
        <w:jc w:val="center"/>
      </w:pPr>
      <m:oMath xmlns:mml="http://www.w3.org/1998/Math/MathML">
        <m:sSub>
          <m:e>
            <m:r>
              <m:t>k</m:t>
            </m:r>
          </m:e>
          <m:sub>
            <m:r>
              <m:t>i</m:t>
            </m:r>
          </m:sub>
        </m:sSub>
        <m:r>
          <m:t>=</m:t>
        </m:r>
        <m:r>
          <m:rPr>
            <m:sty m:val="p"/>
          </m:rPr>
          <m:t>min</m:t>
        </m:r>
        <m:r>
          <m:t>(</m:t>
        </m:r>
        <m:sSub>
          <m:e>
            <m:r>
              <m:t>n</m:t>
            </m:r>
          </m:e>
          <m:sub>
            <m:r>
              <m:t>i</m:t>
            </m:r>
          </m:sub>
        </m:sSub>
        <m:r>
          <m:t>,</m:t>
        </m:r>
        <m:r>
          <m:rPr>
            <m:sty m:val="p"/>
          </m:rPr>
          <m:t>max</m:t>
        </m:r>
        <m:r>
          <m:t>(1,⌊r</m:t>
        </m:r>
        <m:sSub>
          <m:e>
            <m:r>
              <m:t>n</m:t>
            </m:r>
          </m:e>
          <m:sub>
            <m:r>
              <m:t>i</m:t>
            </m:r>
          </m:sub>
        </m:sSub>
        <m:r>
          <m:t>+0.5⌋)</m:t>
        </m:r>
        <m:r>
          <m:t>)</m:t>
        </m:r>
        <m:r>
          <m:t>,</m:t>
        </m:r>
        <m:sSub>
          <m:e>
            <m:r>
              <m:t>n</m:t>
            </m:r>
          </m:e>
          <m:sub>
            <m:r>
              <m:t>i</m:t>
            </m:r>
          </m:sub>
        </m:sSub>
        <m:r>
          <m:t>=</m:t>
        </m:r>
        <m:nary>
          <m:naryPr>
            <m:chr m:val="∑"/>
            <m:limLoc m:val="subSup"/>
            <m:grow m:val="1"/>
            <m:subHide m:val="off"/>
            <m:supHide m:val="on"/>
          </m:naryPr>
          <m:sub>
            <m:r>
              <m:t>j</m:t>
            </m:r>
          </m:sub>
          <m:sup/>
          <m:e/>
        </m:nary>
        <m:sSub>
          <m:e>
            <m:r>
              <m:t>v</m:t>
            </m:r>
          </m:e>
          <m:sub>
            <m:r>
              <m:rPr>
                <m:sty m:val="p"/>
              </m:rPr>
              <m:t>ij</m:t>
            </m:r>
          </m:sub>
        </m:sSub>
      </m:oMath>
      <w:r>
        <w:rPr>
          <w:sz w:val="20"/>
        </w:rPr>
        <w:t xml:space="preserve">  (13)</w:t>
      </w:r>
    </w:p>
    <w:p>
      <w:pPr>
        <w:widowControl/>
      </w:pPr>
      <w:r>
        <w:t>对每个训练样本，以0.7概率选取一个模态施加连续缺失，模态均匀抽样，比例r从0.1、0.3、0.5中均匀抽样。式（13）适用于有效长度nᵢ&gt;0；空序列不额外移除位置。连续性按有效位置的顺序定义，随机起点保证所选片段在边界内。该增强使优化目标包含人工缺失下的监督风险，但不能保证所有缺失条件都改善，其作用由消融实验判断。</w:t>
      </w:r>
    </w:p>
    <w:p>
      <w:pPr>
        <w:pStyle w:val="Heading1"/>
        <w:widowControl/>
      </w:pPr>
      <w:r>
        <w:t>4 求解流程与实验协议</w:t>
      </w:r>
    </w:p>
    <w:p>
      <w:pPr>
        <w:pStyle w:val="Caption"/>
        <w:keepNext/>
        <w:widowControl/>
        <w:jc w:val="center"/>
      </w:pPr>
      <w:r>
        <w:t>算法1 模型训练与选择</w:t>
      </w:r>
    </w:p>
    <w:tbl>
      <w:tblPr>
        <w:tblW w:type="auto" w:w="0"/>
        <w:jc w:val="center"/>
        <w:tblLayout w:type="fixed"/>
        <w:tblLook w:firstColumn="1" w:firstRow="1" w:lastColumn="0" w:lastRow="0" w:noHBand="0" w:noVBand="1" w:val="04A0"/>
      </w:tblPr>
      <w:tblGrid>
        <w:gridCol w:w="762"/>
        <w:gridCol w:w="8762"/>
      </w:tblGrid>
      <w:tr>
        <w:trPr>
          <w:cantSplit/>
          <w:tblHeader/>
        </w:trPr>
        <w:tc>
          <w:tcPr>
            <w:tcW w:type="dxa" w:w="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步骤</w:t>
            </w:r>
          </w:p>
        </w:tc>
        <w:tc>
          <w:tcPr>
            <w:tcW w:type="dxa" w:w="8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操作</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1</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固定官方划分；在训练集内按原视频标识生成三折，各折视频组不重叠。</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各折只以拟合样本估计标准化参数；按候选定义设置裁剪或完整预训练词表。</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3</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初始化预训练编码器和预测头；每个批量在编码前按规则生成局部缺失掩码。</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4</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计算分类与Huber损失，反向传播、梯度裁剪及AdamW更新。</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5</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内部每轮评价完整输入和九类固定缺失场景；按预定分数保存最佳轮次并早停。</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6</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对完成三折且满足保护条件的候选排序；以最佳轮数中位数固定正式训练轮数。</w:t>
            </w:r>
          </w:p>
        </w:tc>
      </w:tr>
      <w:tr>
        <w:trPr>
          <w:cantSplit/>
        </w:trPr>
        <w:tc>
          <w:tcPr>
            <w:tcW w:type="dxa" w:w="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7</w:t>
            </w:r>
          </w:p>
        </w:tc>
        <w:tc>
          <w:tcPr>
            <w:tcW w:type="dxa" w:w="8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仅在官方训练集重新拟合，完成三个种子的验证确认；冻结模型后才开展描述性测试。</w:t>
            </w:r>
          </w:p>
        </w:tc>
      </w:tr>
    </w:tbl>
    <w:p>
      <w:pPr>
        <w:widowControl/>
        <w:spacing w:after="20"/>
      </w:pPr>
    </w:p>
    <w:p>
      <w:pPr>
        <w:pStyle w:val="Caption"/>
        <w:keepNext/>
        <w:widowControl/>
        <w:jc w:val="center"/>
      </w:pPr>
      <w:r>
        <w:t>表3 固定训练参数</w:t>
      </w:r>
    </w:p>
    <w:tbl>
      <w:tblPr>
        <w:tblW w:type="auto" w:w="0"/>
        <w:jc w:val="center"/>
        <w:tblLayout w:type="fixed"/>
        <w:tblLook w:firstColumn="1" w:firstRow="1" w:lastColumn="0" w:lastRow="0" w:noHBand="0" w:noVBand="1" w:val="04A0"/>
      </w:tblPr>
      <w:tblGrid>
        <w:gridCol w:w="3334"/>
        <w:gridCol w:w="6191"/>
      </w:tblGrid>
      <w:tr>
        <w:trPr>
          <w:cantSplit/>
          <w:tblHeader/>
        </w:trPr>
        <w:tc>
          <w:tcPr>
            <w:tcW w:type="dxa" w:w="333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项目</w:t>
            </w:r>
          </w:p>
        </w:tc>
        <w:tc>
          <w:tcPr>
            <w:tcW w:type="dxa" w:w="6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取值</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编码器学习率</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2×10⁻⁵</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投影与预测头学习率</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5×10⁻⁴</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优化器与权重衰减</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AdamW；0.01；偏置和归一化参数不衰减</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有效批量与梯度裁剪</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32；梯度范数上限1</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学习率计划</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前10%更新线性预热，其后线性衰减</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内部训练预算</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12层模型最多6轮；连续3轮无改善早停</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训练与推理精度</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CUDA BF16自动混合精度训练；FP32评价；关闭TF32</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随机种子</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三折分组240924；确认42、2026、3407</w:t>
            </w:r>
          </w:p>
        </w:tc>
      </w:tr>
      <w:tr>
        <w:trPr>
          <w:cantSplit/>
        </w:trPr>
        <w:tc>
          <w:tcPr>
            <w:tcW w:type="dxa" w:w="333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连续缺失增强</w:t>
            </w:r>
          </w:p>
        </w:tc>
        <w:tc>
          <w:tcPr>
            <w:tcW w:type="dxa" w:w="6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概率0.7；三模态与三个比例均匀抽样</w:t>
            </w:r>
          </w:p>
        </w:tc>
      </w:tr>
      <w:tr>
        <w:trPr>
          <w:cantSplit/>
        </w:trPr>
        <w:tc>
          <w:tcPr>
            <w:tcW w:type="dxa" w:w="333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损失权重</w:t>
            </w:r>
          </w:p>
        </w:tc>
        <w:tc>
          <w:tcPr>
            <w:tcW w:type="dxa" w:w="6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交叉熵∶Huber=1∶1</w:t>
            </w:r>
          </w:p>
        </w:tc>
      </w:tr>
    </w:tbl>
    <w:p>
      <w:pPr>
        <w:widowControl/>
        <w:spacing w:after="20"/>
      </w:pPr>
    </w:p>
    <w:p>
      <w:pPr>
        <w:widowControl/>
      </w:pPr>
      <w:r>
        <w:t>AdamW采用解耦权重衰减[3]。显存不足时预设微批量从32降为16或8，并以样本数加权累积梯度，保持有效批量32；实际是否触发降批量以日志为准。固定轮数确认期间不逐轮读取官方验证指标选取检查点，训练结束后一次性评价。</w:t>
      </w:r>
    </w:p>
    <w:p>
      <w:pPr>
        <w:widowControl/>
        <w:spacing w:before="80" w:after="160"/>
        <w:ind w:firstLine="0"/>
        <w:jc w:val="center"/>
      </w:pPr>
      <m:oMath xmlns:mml="http://www.w3.org/1998/Math/MathML">
        <m:r>
          <m:rPr>
            <m:sty m:val="p"/>
          </m:rPr>
          <m:t>MacroF1</m:t>
        </m:r>
        <m:r>
          <m:t>=</m:t>
        </m:r>
        <m:f>
          <m:fPr>
            <m:type m:val="bar"/>
          </m:fPr>
          <m:num>
            <m:r>
              <m:t>1</m:t>
            </m:r>
          </m:num>
          <m:den>
            <m:r>
              <m:t>3</m:t>
            </m:r>
          </m:den>
        </m:f>
        <m:nary>
          <m:naryPr>
            <m:chr m:val="∑"/>
            <m:limLoc m:val="undOvr"/>
            <m:grow m:val="1"/>
            <m:subHide m:val="off"/>
            <m:supHide m:val="off"/>
          </m:naryPr>
          <m:sub>
            <m:r>
              <m:t>c=0</m:t>
            </m:r>
          </m:sub>
          <m:sup>
            <m:r>
              <m:t>2</m:t>
            </m:r>
          </m:sup>
          <m:e/>
        </m:nary>
        <m:f>
          <m:fPr>
            <m:type m:val="bar"/>
          </m:fPr>
          <m:num>
            <m:r>
              <m:t>2</m:t>
            </m:r>
            <m:sSub>
              <m:e>
                <m:r>
                  <m:rPr>
                    <m:sty m:val="p"/>
                  </m:rPr>
                  <m:t>TP</m:t>
                </m:r>
              </m:e>
              <m:sub>
                <m:r>
                  <m:t>c</m:t>
                </m:r>
              </m:sub>
            </m:sSub>
          </m:num>
          <m:den>
            <m:r>
              <m:t>2</m:t>
            </m:r>
            <m:sSub>
              <m:e>
                <m:r>
                  <m:rPr>
                    <m:sty m:val="p"/>
                  </m:rPr>
                  <m:t>TP</m:t>
                </m:r>
              </m:e>
              <m:sub>
                <m:r>
                  <m:t>c</m:t>
                </m:r>
              </m:sub>
            </m:sSub>
            <m:r>
              <m:t>+</m:t>
            </m:r>
            <m:sSub>
              <m:e>
                <m:r>
                  <m:rPr>
                    <m:sty m:val="p"/>
                  </m:rPr>
                  <m:t>FP</m:t>
                </m:r>
              </m:e>
              <m:sub>
                <m:r>
                  <m:t>c</m:t>
                </m:r>
              </m:sub>
            </m:sSub>
            <m:r>
              <m:t>+</m:t>
            </m:r>
            <m:sSub>
              <m:e>
                <m:r>
                  <m:rPr>
                    <m:sty m:val="p"/>
                  </m:rPr>
                  <m:t>FN</m:t>
                </m:r>
              </m:e>
              <m:sub>
                <m:r>
                  <m:t>c</m:t>
                </m:r>
              </m:sub>
            </m:sSub>
          </m:den>
        </m:f>
      </m:oMath>
      <w:r>
        <w:rPr>
          <w:sz w:val="20"/>
        </w:rPr>
        <w:t xml:space="preserve">  (14)</w:t>
      </w:r>
    </w:p>
    <w:p>
      <w:pPr>
        <w:widowControl/>
        <w:spacing w:before="80" w:after="160"/>
        <w:ind w:firstLine="0"/>
        <w:jc w:val="center"/>
      </w:pPr>
      <m:oMath xmlns:mml="http://www.w3.org/1998/Math/MathML">
        <m:r>
          <m:rPr>
            <m:sty m:val="p"/>
          </m:rPr>
          <m:t>MAE</m:t>
        </m:r>
        <m:r>
          <m:t>=</m:t>
        </m:r>
        <m:f>
          <m:fPr>
            <m:type m:val="bar"/>
          </m:fPr>
          <m:num>
            <m:r>
              <m:t>1</m:t>
            </m:r>
          </m:num>
          <m:den>
            <m:r>
              <m:t>N</m:t>
            </m:r>
          </m:den>
        </m:f>
        <m:nary>
          <m:naryPr>
            <m:chr m:val="∑"/>
            <m:limLoc m:val="subSup"/>
            <m:grow m:val="1"/>
            <m:subHide m:val="off"/>
            <m:supHide m:val="on"/>
          </m:naryPr>
          <m:sub>
            <m:r>
              <m:t>i</m:t>
            </m:r>
          </m:sub>
          <m:sup/>
          <m:e/>
        </m:nary>
        <m:r>
          <m:t>|</m:t>
        </m:r>
        <m:sSub>
          <m:e>
            <m:acc>
              <m:accPr>
                <m:chr m:val="̂"/>
              </m:accPr>
              <m:e>
                <m:r>
                  <m:t>y</m:t>
                </m:r>
              </m:e>
            </m:acc>
          </m:e>
          <m:sub>
            <m:r>
              <m:t>i</m:t>
            </m:r>
          </m:sub>
        </m:sSub>
        <m:r>
          <m:t>−</m:t>
        </m:r>
        <m:sSub>
          <m:e>
            <m:r>
              <m:t>y</m:t>
            </m:r>
          </m:e>
          <m:sub>
            <m:r>
              <m:t>i</m:t>
            </m:r>
          </m:sub>
        </m:sSub>
        <m:r>
          <m:t>|,S=</m:t>
        </m:r>
        <m:f>
          <m:fPr>
            <m:type m:val="bar"/>
          </m:fPr>
          <m:num>
            <m:r>
              <m:t>1</m:t>
            </m:r>
          </m:num>
          <m:den>
            <m:r>
              <m:t>2</m:t>
            </m:r>
          </m:den>
        </m:f>
        <m:sSub>
          <m:e>
            <m:acc>
              <m:accPr>
                <m:chr m:val="̅"/>
              </m:accPr>
              <m:e>
                <m:r>
                  <m:rPr>
                    <m:sty m:val="p"/>
                  </m:rPr>
                  <m:t>F1</m:t>
                </m:r>
              </m:e>
            </m:acc>
          </m:e>
          <m:sub>
            <m:r>
              <m:rPr>
                <m:sty m:val="p"/>
              </m:rPr>
              <m:t>miss</m:t>
            </m:r>
          </m:sub>
        </m:sSub>
        <m:r>
          <m:t>+</m:t>
        </m:r>
        <m:f>
          <m:fPr>
            <m:type m:val="bar"/>
          </m:fPr>
          <m:num>
            <m:r>
              <m:t>1</m:t>
            </m:r>
          </m:num>
          <m:den>
            <m:r>
              <m:t>2</m:t>
            </m:r>
          </m:den>
        </m:f>
        <m:r>
          <m:t>(1−</m:t>
        </m:r>
        <m:f>
          <m:fPr>
            <m:type m:val="bar"/>
          </m:fPr>
          <m:num>
            <m:sSub>
              <m:e>
                <m:acc>
                  <m:accPr>
                    <m:chr m:val="̅"/>
                  </m:accPr>
                  <m:e>
                    <m:r>
                      <m:rPr>
                        <m:sty m:val="p"/>
                      </m:rPr>
                      <m:t>MAE</m:t>
                    </m:r>
                  </m:e>
                </m:acc>
              </m:e>
              <m:sub>
                <m:r>
                  <m:rPr>
                    <m:sty m:val="p"/>
                  </m:rPr>
                  <m:t>miss</m:t>
                </m:r>
              </m:sub>
            </m:sSub>
          </m:num>
          <m:den>
            <m:r>
              <m:t>6</m:t>
            </m:r>
          </m:den>
        </m:f>
        <m:r>
          <m:t>)</m:t>
        </m:r>
      </m:oMath>
      <w:r>
        <w:rPr>
          <w:sz w:val="20"/>
        </w:rPr>
        <w:t xml:space="preserve">  (15)</w:t>
      </w:r>
    </w:p>
    <w:p>
      <w:pPr>
        <w:widowControl/>
      </w:pPr>
      <w:r>
        <w:t>除式（14）与式（15）外，同时报告Accuracy、各类别F1和Pearson相关系数。F1对三类等权求平均，分母为零的类别按0计；Pearson在样本不足或真值、预测恒定时记为未定义并说明原因，不填造数值。内部选择分数S仅是团队预先固定的比较准则，不是比赛官方评分公式。</w:t>
      </w:r>
    </w:p>
    <w:p>
      <w:pPr>
        <w:widowControl/>
      </w:pPr>
      <w:r>
        <w:t>验证主场景为文本、语音、视觉分别缺失10%、30%、50%，共9类；每个样本的随机起点由固定种子、样本ID和场景名称的SHA256确定。补充场景采用前部、中部、后部以及分成最多三段的多个短区间，共36类。多个短片段不保证彼此间隔非零，极短样本中可能合并，报告按实际移除位置统计而非假定严格分离。</w:t>
      </w:r>
    </w:p>
    <w:p>
      <w:pPr>
        <w:widowControl/>
      </w:pPr>
      <w:r>
        <w:t>所有候选共享场景定义与样本顺序。S取九场景指标的算术平均，不是将场景样本拼接后计算一次F1。完整输入clean表示没有额外人工缺失，仍可能包含原始自然缺失。人工选择的位置若原本不可观测，不会产生额外的信息移除；因此同时记录所选位置数和新增不可观测位置数。</w:t>
      </w:r>
    </w:p>
    <w:p>
      <w:pPr>
        <w:widowControl/>
      </w:pPr>
      <w:r>
        <w:t>候选至少在两个内部折提高S，且三折完整输入平均F1下降不超过0.01、MAE增加不超过0.03。比较基准为第二轮两层蒸馏FP32模型，不混用量化模型结果。只确认一个内部最佳候选；三种子至少两组配对通过相同条件，平均结果也通过，才替换基准。官方测试在前期已被观察，本轮冻结后结果只能作描述性评价。内部交叉验证已用于选择，官方验证也已多轮使用，两者均不能表述为全新独立验证。</w:t>
      </w:r>
    </w:p>
    <w:p>
      <w:pPr>
        <w:pStyle w:val="Heading1"/>
        <w:widowControl/>
      </w:pPr>
      <w:r>
        <w:t>5 实验结果与消融分析</w:t>
      </w:r>
    </w:p>
    <w:p>
      <w:pPr>
        <w:pStyle w:val="Caption"/>
        <w:keepNext/>
        <w:widowControl/>
        <w:jc w:val="center"/>
      </w:pPr>
      <w:r>
        <w:t>表4 内部三折平均结果</w:t>
      </w:r>
    </w:p>
    <w:tbl>
      <w:tblPr>
        <w:tblW w:type="auto" w:w="0"/>
        <w:jc w:val="center"/>
        <w:tblLayout w:type="fixed"/>
        <w:tblLook w:firstColumn="1" w:firstRow="1" w:lastColumn="0" w:lastRow="0" w:noHBand="0" w:noVBand="1" w:val="04A0"/>
      </w:tblPr>
      <w:tblGrid>
        <w:gridCol w:w="3238"/>
        <w:gridCol w:w="1257"/>
        <w:gridCol w:w="1257"/>
        <w:gridCol w:w="1257"/>
        <w:gridCol w:w="1257"/>
        <w:gridCol w:w="1257"/>
      </w:tblGrid>
      <w:tr>
        <w:trPr>
          <w:cantSplit/>
          <w:tblHeader/>
        </w:trPr>
        <w:tc>
          <w:tcPr>
            <w:tcW w:type="dxa" w:w="3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模型</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完整F1</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完整MAE</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缺失F1</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缺失MAE</w:t>
            </w:r>
          </w:p>
        </w:tc>
        <w:tc>
          <w:tcPr>
            <w:tcW w:type="dxa" w:w="12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S</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第二轮两层蒸馏FP32</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0.5575</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0.6938</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0.5475</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0.7073</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0.7148</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12层裁剪词表＋缺失训练</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0.6025</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0.6094</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0.5857</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0.6301</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0.7403</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12层完整词表＋缺失训练</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0.6218</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0.6050</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0.6038</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0.6241</w:t>
            </w:r>
          </w:p>
        </w:tc>
        <w:tc>
          <w:tcPr>
            <w:tcW w:type="dxa" w:w="12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0.7499</w:t>
            </w:r>
          </w:p>
        </w:tc>
      </w:tr>
      <w:tr>
        <w:trPr>
          <w:cantSplit/>
        </w:trPr>
        <w:tc>
          <w:tcPr>
            <w:tcW w:type="dxa" w:w="3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12层完整词表 无缺失增强</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0.6231</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0.6031</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0.6044</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0.6227</w:t>
            </w:r>
          </w:p>
        </w:tc>
        <w:tc>
          <w:tcPr>
            <w:tcW w:type="dxa" w:w="12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0.7503</w:t>
            </w:r>
          </w:p>
        </w:tc>
      </w:tr>
    </w:tbl>
    <w:p>
      <w:pPr>
        <w:widowControl/>
        <w:spacing w:after="20"/>
      </w:pPr>
    </w:p>
    <w:p>
      <w:pPr>
        <w:widowControl/>
      </w:pPr>
      <w:r>
        <w:t>表4中的F1为Macro-F1，各数值为三折指标的算术平均。裁剪词表12层模型复用已完成的相同六轮协议记录；完整词表方案与关闭增强方案均在三折上训练。关闭增强方案预先指定为消融，不因其结果改变主候选集合。三折分别包含1205、1093、1097条验证样本，折间难度差异通过逐折配对展示。</w:t>
      </w:r>
    </w:p>
    <w:p>
      <w:pPr>
        <w:widowControl/>
      </w:pPr>
      <w:r>
        <w:t>完整词表相对于裁剪词表12层模型，三折平均S变化为+0.0096，完整F1变化为+0.0193，完整MAE变化为-0.0044。该比较提供词表保留策略的经验依据；由于词表维度变化也会影响同种子下后续随机初始化序列，且开发阶段只使用一个训练种子，不能将差异完全归因为未见词元本身。</w:t>
      </w:r>
    </w:p>
    <w:p>
      <w:pPr>
        <w:widowControl/>
      </w:pPr>
      <w:r>
        <w:t>连续缺失训练相对于不增强方案的三折平均S变化为-0.0004，缺失平均F1变化为-0.0006，缺失平均MAE变化为+0.0015。该结果未显示连续缺失训练在本配置下具有更高的综合得分，不能把缺失增强描述为已被充分证明有效的创新点。 两组模型均按自己的内部验证分数选最佳轮次，因此这里比较的是包含早停的训练策略，而非同一固定轮数的纯损失扰动。</w:t>
      </w:r>
    </w:p>
    <w:p>
      <w:pPr>
        <w:keepNext/>
        <w:widowControl/>
        <w:ind w:firstLine="0"/>
        <w:jc w:val="center"/>
      </w:pPr>
      <w:r>
        <w:drawing>
          <wp:inline xmlns:a="http://schemas.openxmlformats.org/drawingml/2006/main" xmlns:pic="http://schemas.openxmlformats.org/drawingml/2006/picture">
            <wp:extent cx="5940000" cy="2933492"/>
            <wp:docPr id="2" name="Picture 2" descr="图2 内部三折对照。蓝点为各折，橙色菱形为三折算术平均；右图灰线连接同一折。左图与右图训练预算不同，不能将其差异解释为单一因素的因果效应。"/>
            <wp:cNvGraphicFramePr>
              <a:graphicFrameLocks noChangeAspect="1"/>
            </wp:cNvGraphicFramePr>
            <a:graphic>
              <a:graphicData uri="http://schemas.openxmlformats.org/drawingml/2006/picture">
                <pic:pic>
                  <pic:nvPicPr>
                    <pic:cNvPr id="0" name="fig05_ablation.png"/>
                    <pic:cNvPicPr/>
                  </pic:nvPicPr>
                  <pic:blipFill>
                    <a:blip r:embed="rId10"/>
                    <a:stretch>
                      <a:fillRect/>
                    </a:stretch>
                  </pic:blipFill>
                  <pic:spPr>
                    <a:xfrm>
                      <a:off x="0" y="0"/>
                      <a:ext cx="5940000" cy="2933492"/>
                    </a:xfrm>
                    <a:prstGeom prst="rect"/>
                  </pic:spPr>
                </pic:pic>
              </a:graphicData>
            </a:graphic>
          </wp:inline>
        </w:drawing>
      </w:r>
    </w:p>
    <w:p>
      <w:pPr>
        <w:pStyle w:val="Caption"/>
        <w:keepLines/>
        <w:widowControl/>
        <w:jc w:val="left"/>
      </w:pPr>
      <w:r>
        <w:t>图2 内部三折对照。蓝点为各折，橙色菱形为三折算术平均；右图灰线连接同一折。左图与右图训练预算不同，不能将其差异解释为单一因素的因果效应。</w:t>
      </w:r>
    </w:p>
    <w:p>
      <w:pPr>
        <w:widowControl/>
      </w:pPr>
      <w:r>
        <w:t>保留的两层实验分别检验文本单模态、多模态输入、连续缺失增强、蒸馏与随机初始化；四层实验检验另一种编码深度。蒸馏模型与四层模型的内部S差距很小，不能仅凭排序宣称其具有显著优势。两层与12层模型训练轮数及训练目标可能不同，跨结构的总差异不应包装成严格的单因素消融。</w:t>
      </w:r>
    </w:p>
    <w:p>
      <w:pPr>
        <w:pStyle w:val="Heading2"/>
        <w:widowControl/>
      </w:pPr>
      <w:r>
        <w:t>三种子确认与效果区间</w:t>
      </w:r>
    </w:p>
    <w:p>
      <w:pPr>
        <w:pStyle w:val="Caption"/>
        <w:keepNext/>
        <w:widowControl/>
        <w:jc w:val="center"/>
      </w:pPr>
      <w:r>
        <w:t>表5 官方验证集种子均值与样本标准差</w:t>
      </w:r>
    </w:p>
    <w:tbl>
      <w:tblPr>
        <w:tblW w:type="auto" w:w="0"/>
        <w:jc w:val="center"/>
        <w:tblLayout w:type="fixed"/>
        <w:tblLook w:firstColumn="1" w:firstRow="1" w:lastColumn="0" w:lastRow="0" w:noHBand="0" w:noVBand="1" w:val="04A0"/>
      </w:tblPr>
      <w:tblGrid>
        <w:gridCol w:w="2286"/>
        <w:gridCol w:w="1810"/>
        <w:gridCol w:w="1810"/>
        <w:gridCol w:w="1810"/>
        <w:gridCol w:w="1810"/>
      </w:tblGrid>
      <w:tr>
        <w:trPr>
          <w:cantSplit/>
          <w:tblHeader/>
        </w:trPr>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模型</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完整MAE</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缺失MAE</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第二轮FP32基准</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0.5409 ± 0.0050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0.6534 ± 0.0012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0.5291 ± 0.0043</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0.6621 ± 0.0013</w:t>
            </w:r>
          </w:p>
        </w:tc>
      </w:tr>
      <w:tr>
        <w:trPr>
          <w:cantSplit/>
        </w:trPr>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本轮候选</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0.5959 ± 0.0059</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0.5783 ± 0.0060</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0.5862 ± 0.0018</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0.5906 ± 0.0067</w:t>
            </w:r>
          </w:p>
        </w:tc>
      </w:tr>
    </w:tbl>
    <w:p>
      <w:pPr>
        <w:widowControl/>
        <w:spacing w:after="20"/>
      </w:pPr>
    </w:p>
    <w:p>
      <w:pPr>
        <w:pStyle w:val="Caption"/>
        <w:keepNext/>
        <w:widowControl/>
        <w:jc w:val="center"/>
      </w:pPr>
      <w:r>
        <w:t>表6 三种子配对确认</w:t>
      </w:r>
    </w:p>
    <w:tbl>
      <w:tblPr>
        <w:tblW w:type="auto" w:w="0"/>
        <w:jc w:val="center"/>
        <w:tblLayout w:type="fixed"/>
        <w:tblLook w:firstColumn="1" w:firstRow="1" w:lastColumn="0" w:lastRow="0" w:noHBand="0" w:noVBand="1" w:val="04A0"/>
      </w:tblPr>
      <w:tblGrid>
        <w:gridCol w:w="1143"/>
        <w:gridCol w:w="2095"/>
        <w:gridCol w:w="2095"/>
        <w:gridCol w:w="2381"/>
        <w:gridCol w:w="1810"/>
      </w:tblGrid>
      <w:tr>
        <w:trPr>
          <w:cantSplit/>
          <w:tblHeader/>
        </w:trPr>
        <w:tc>
          <w:tcPr>
            <w:tcW w:type="dxa" w:w="114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种子</w:t>
            </w:r>
          </w:p>
        </w:tc>
        <w:tc>
          <w:tcPr>
            <w:tcW w:type="dxa" w:w="209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ΔS</w:t>
            </w:r>
          </w:p>
        </w:tc>
        <w:tc>
          <w:tcPr>
            <w:tcW w:type="dxa" w:w="209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Δ完整F1</w:t>
            </w:r>
          </w:p>
        </w:tc>
        <w:tc>
          <w:tcPr>
            <w:tcW w:type="dxa" w:w="238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Δ完整MAE</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通过</w:t>
            </w:r>
          </w:p>
        </w:tc>
      </w:tr>
      <w:tr>
        <w:trPr>
          <w:cantSplit/>
        </w:trPr>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42</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+0.0356</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+0.0502</w:t>
            </w:r>
          </w:p>
        </w:tc>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-0.0772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是</w:t>
            </w:r>
          </w:p>
        </w:tc>
      </w:tr>
      <w:tr>
        <w:trPr>
          <w:cantSplit/>
        </w:trPr>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2026</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+0.0318</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+0.0503</w:t>
            </w:r>
          </w:p>
        </w:tc>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-0.0673</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是</w:t>
            </w:r>
          </w:p>
        </w:tc>
      </w:tr>
      <w:tr>
        <w:trPr>
          <w:cantSplit/>
        </w:trPr>
        <w:tc>
          <w:tcPr>
            <w:tcW w:type="dxa" w:w="114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3407</w:t>
            </w:r>
          </w:p>
        </w:tc>
        <w:tc>
          <w:tcPr>
            <w:tcW w:type="dxa" w:w="209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+0.0360</w:t>
            </w:r>
          </w:p>
        </w:tc>
        <w:tc>
          <w:tcPr>
            <w:tcW w:type="dxa" w:w="209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+0.0646</w:t>
            </w:r>
          </w:p>
        </w:tc>
        <w:tc>
          <w:tcPr>
            <w:tcW w:type="dxa" w:w="238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-0.0807</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是</w:t>
            </w:r>
          </w:p>
        </w:tc>
      </w:tr>
    </w:tbl>
    <w:p>
      <w:pPr>
        <w:widowControl/>
        <w:spacing w:after="20"/>
      </w:pPr>
    </w:p>
    <w:p>
      <w:pPr>
        <w:keepNext/>
        <w:widowControl/>
        <w:ind w:firstLine="0"/>
        <w:jc w:val="center"/>
      </w:pPr>
      <w:r>
        <w:drawing>
          <wp:inline xmlns:a="http://schemas.openxmlformats.org/drawingml/2006/main" xmlns:pic="http://schemas.openxmlformats.org/drawingml/2006/picture">
            <wp:extent cx="5940000" cy="4565597"/>
            <wp:docPr id="3" name="Picture 3" descr="图3 验证集模型比较。上排为空心逐种子点与均值±样本标准差，下排为固定种子42模型差异的95%视频分组Bootstrap区间。两种不确定性含义不同。"/>
            <wp:cNvGraphicFramePr>
              <a:graphicFrameLocks noChangeAspect="1"/>
            </wp:cNvGraphicFramePr>
            <a:graphic>
              <a:graphicData uri="http://schemas.openxmlformats.org/drawingml/2006/picture">
                <pic:pic>
                  <pic:nvPicPr>
                    <pic:cNvPr id="0" name="fig02_comparison.png"/>
                    <pic:cNvPicPr/>
                  </pic:nvPicPr>
                  <pic:blipFill>
                    <a:blip r:embed="rId11"/>
                    <a:stretch>
                      <a:fillRect/>
                    </a:stretch>
                  </pic:blipFill>
                  <pic:spPr>
                    <a:xfrm>
                      <a:off x="0" y="0"/>
                      <a:ext cx="5940000" cy="4565597"/>
                    </a:xfrm>
                    <a:prstGeom prst="rect"/>
                  </pic:spPr>
                </pic:pic>
              </a:graphicData>
            </a:graphic>
          </wp:inline>
        </w:drawing>
      </w:r>
    </w:p>
    <w:p>
      <w:pPr>
        <w:pStyle w:val="Caption"/>
        <w:keepLines/>
        <w:widowControl/>
        <w:jc w:val="left"/>
      </w:pPr>
      <w:r>
        <w:t>图3 验证集模型比较。上排为空心逐种子点与均值±样本标准差，下排为固定种子42模型差异的95%视频分组Bootstrap区间。两种不确定性含义不同。</w:t>
      </w:r>
    </w:p>
    <w:p>
      <w:pPr>
        <w:pStyle w:val="Caption"/>
        <w:keepNext/>
        <w:widowControl/>
        <w:jc w:val="center"/>
      </w:pPr>
      <w:r>
        <w:t>表7 固定种子模型差异的95% Bootstrap区间</w:t>
      </w:r>
    </w:p>
    <w:tbl>
      <w:tblPr>
        <w:tblW w:type="auto" w:w="0"/>
        <w:jc w:val="center"/>
        <w:tblLayout w:type="fixed"/>
        <w:tblLook w:firstColumn="1" w:firstRow="1" w:lastColumn="0" w:lastRow="0" w:noHBand="0" w:noVBand="1" w:val="04A0"/>
      </w:tblPr>
      <w:tblGrid>
        <w:gridCol w:w="4191"/>
        <w:gridCol w:w="1714"/>
        <w:gridCol w:w="3619"/>
      </w:tblGrid>
      <w:tr>
        <w:trPr>
          <w:cantSplit/>
          <w:tblHeader/>
        </w:trPr>
        <w:tc>
          <w:tcPr>
            <w:tcW w:type="dxa" w:w="4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范围与指标</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差值</w:t>
            </w:r>
          </w:p>
        </w:tc>
        <w:tc>
          <w:tcPr>
            <w:tcW w:type="dxa" w:w="361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95%区间</w:t>
            </w:r>
          </w:p>
        </w:tc>
      </w:tr>
      <w:tr>
        <w:trPr>
          <w:cantSplit/>
        </w:trPr>
        <w:tc>
          <w:tcPr>
            <w:tcW w:type="dxa" w:w="4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完整 Macro-F1</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+0.0502</w:t>
            </w:r>
          </w:p>
        </w:tc>
        <w:tc>
          <w:tcPr>
            <w:tcW w:type="dxa" w:w="3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[+0.0142, +0.0901]</w:t>
            </w:r>
          </w:p>
        </w:tc>
      </w:tr>
      <w:tr>
        <w:trPr>
          <w:cantSplit/>
        </w:trPr>
        <w:tc>
          <w:tcPr>
            <w:tcW w:type="dxa" w:w="4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完整 MAE</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-0.0772</w:t>
            </w:r>
          </w:p>
        </w:tc>
        <w:tc>
          <w:tcPr>
            <w:tcW w:type="dxa" w:w="3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[-0.1149, -0.0400]</w:t>
            </w:r>
          </w:p>
        </w:tc>
      </w:tr>
      <w:tr>
        <w:trPr>
          <w:cantSplit/>
        </w:trPr>
        <w:tc>
          <w:tcPr>
            <w:tcW w:type="dxa" w:w="4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缺失均值 Macro-F1</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+0.0587</w:t>
            </w:r>
          </w:p>
        </w:tc>
        <w:tc>
          <w:tcPr>
            <w:tcW w:type="dxa" w:w="3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[+0.0293, +0.0906]</w:t>
            </w:r>
          </w:p>
        </w:tc>
      </w:tr>
      <w:tr>
        <w:trPr>
          <w:cantSplit/>
        </w:trPr>
        <w:tc>
          <w:tcPr>
            <w:tcW w:type="dxa" w:w="4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缺失均值 MAE</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-0.0756</w:t>
            </w:r>
          </w:p>
        </w:tc>
        <w:tc>
          <w:tcPr>
            <w:tcW w:type="dxa" w:w="361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[-0.1087, -0.0416]</w:t>
            </w:r>
          </w:p>
        </w:tc>
      </w:tr>
    </w:tbl>
    <w:p>
      <w:pPr>
        <w:widowControl/>
        <w:spacing w:after="20"/>
      </w:pPr>
    </w:p>
    <w:p>
      <w:pPr>
        <w:widowControl/>
      </w:pPr>
      <w:r>
        <w:t>区间估计以原视频为重采样单位，在验证集239个视频组中有放回抽取相同数量的组，保留组内全部片段及重复次数，共进行2000次。每次对两个模型和所有场景使用完全相同的抽样组，然后重新计算F1与MAE的差值。该配对设计保留组内相关性和模型比较的样本配对。95%区间取差值分布的2.5%与97.5%分位点，不是三个种子均值的置信区间，也未校正此前模型搜索带来的选择偏差。</w:t>
      </w:r>
    </w:p>
    <w:p>
      <w:pPr>
        <w:pStyle w:val="Heading2"/>
        <w:widowControl/>
      </w:pPr>
      <w:r>
        <w:t>缺失模态与比例的影响</w:t>
      </w:r>
    </w:p>
    <w:p>
      <w:pPr>
        <w:keepNext/>
        <w:widowControl/>
        <w:ind w:firstLine="0"/>
        <w:jc w:val="center"/>
      </w:pPr>
      <w:r>
        <w:drawing>
          <wp:inline xmlns:a="http://schemas.openxmlformats.org/drawingml/2006/main" xmlns:pic="http://schemas.openxmlformats.org/drawingml/2006/picture">
            <wp:extent cx="5940000" cy="4050195"/>
            <wp:docPr id="4" name="Picture 4" descr="图4 验证集随机连续缺失的比例响应。折线为三个种子的均值，阴影为±一个样本标准差；0%表示不额外施加缺失。各行坐标范围相同。"/>
            <wp:cNvGraphicFramePr>
              <a:graphicFrameLocks noChangeAspect="1"/>
            </wp:cNvGraphicFramePr>
            <a:graphic>
              <a:graphicData uri="http://schemas.openxmlformats.org/drawingml/2006/picture">
                <pic:pic>
                  <pic:nvPicPr>
                    <pic:cNvPr id="0" name="fig03_missing_rates.png"/>
                    <pic:cNvPicPr/>
                  </pic:nvPicPr>
                  <pic:blipFill>
                    <a:blip r:embed="rId12"/>
                    <a:stretch>
                      <a:fillRect/>
                    </a:stretch>
                  </pic:blipFill>
                  <pic:spPr>
                    <a:xfrm>
                      <a:off x="0" y="0"/>
                      <a:ext cx="5940000" cy="4050195"/>
                    </a:xfrm>
                    <a:prstGeom prst="rect"/>
                  </pic:spPr>
                </pic:pic>
              </a:graphicData>
            </a:graphic>
          </wp:inline>
        </w:drawing>
      </w:r>
    </w:p>
    <w:p>
      <w:pPr>
        <w:pStyle w:val="Caption"/>
        <w:keepLines/>
        <w:widowControl/>
        <w:jc w:val="left"/>
      </w:pPr>
      <w:r>
        <w:t>图4 验证集随机连续缺失的比例响应。折线为三个种子的均值，阴影为±一个样本标准差；0%表示不额外施加缺失。各行坐标范围相同。</w:t>
      </w:r>
    </w:p>
    <w:p>
      <w:pPr>
        <w:pStyle w:val="Caption"/>
        <w:keepNext/>
        <w:widowControl/>
        <w:jc w:val="center"/>
      </w:pPr>
      <w:r>
        <w:t>表8 最终种子42验证集主缺失场景</w:t>
      </w:r>
    </w:p>
    <w:tbl>
      <w:tblPr>
        <w:tblW w:type="auto" w:w="0"/>
        <w:jc w:val="center"/>
        <w:tblLayout w:type="fixed"/>
        <w:tblLook w:firstColumn="1" w:firstRow="1" w:lastColumn="0" w:lastRow="0" w:noHBand="0" w:noVBand="1" w:val="04A0"/>
      </w:tblPr>
      <w:tblGrid>
        <w:gridCol w:w="1333"/>
        <w:gridCol w:w="1333"/>
        <w:gridCol w:w="1714"/>
        <w:gridCol w:w="1714"/>
        <w:gridCol w:w="1714"/>
        <w:gridCol w:w="1714"/>
      </w:tblGrid>
      <w:tr>
        <w:trPr>
          <w:cantSplit/>
          <w:tblHeader/>
        </w:trPr>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模态</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比例</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F1</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ΔF1</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MAE</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ΔMAE</w:t>
            </w:r>
          </w:p>
        </w:tc>
      </w:tr>
      <w:tr>
        <w:trPr>
          <w:cantSplit/>
        </w:trPr>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文本</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0.5704</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-0.0193</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0.5884</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+0.0125</w:t>
            </w:r>
          </w:p>
        </w:tc>
      </w:tr>
      <w:tr>
        <w:trPr>
          <w:cantSplit/>
        </w:trPr>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文本</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30%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0.5678</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-0.0219</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0.6091</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+0.0333</w:t>
            </w:r>
          </w:p>
        </w:tc>
      </w:tr>
      <w:tr>
        <w:trPr>
          <w:cantSplit/>
        </w:trPr>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文本</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50%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0.5562</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-0.0335</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0.6396</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+0.0638</w:t>
            </w:r>
          </w:p>
        </w:tc>
      </w:tr>
      <w:tr>
        <w:trPr>
          <w:cantSplit/>
        </w:trPr>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语音</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0.5991</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+0.0094</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0.5758</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-0.0000</w:t>
            </w:r>
          </w:p>
        </w:tc>
      </w:tr>
      <w:tr>
        <w:trPr>
          <w:cantSplit/>
        </w:trPr>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语音</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30%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0.5911</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+0.0014</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0.5764</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+0.0006</w:t>
            </w:r>
          </w:p>
        </w:tc>
      </w:tr>
      <w:tr>
        <w:trPr>
          <w:cantSplit/>
        </w:trPr>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语音</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50%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0.5962</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+0.0065</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0.5767</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+0.0009</w:t>
            </w:r>
          </w:p>
        </w:tc>
      </w:tr>
      <w:tr>
        <w:trPr>
          <w:cantSplit/>
        </w:trPr>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视觉</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0.5898</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+0.0001</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0.5749</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-0.0010</w:t>
            </w:r>
          </w:p>
        </w:tc>
      </w:tr>
      <w:tr>
        <w:trPr>
          <w:cantSplit/>
        </w:trPr>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视觉</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30%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0.5984</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+0.0087</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0.5733</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-0.0025</w:t>
            </w:r>
          </w:p>
        </w:tc>
      </w:tr>
      <w:tr>
        <w:trPr>
          <w:cantSplit/>
        </w:trPr>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视觉</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50%</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0.5881</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-0.0016</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0.5749</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-0.0009</w:t>
            </w:r>
          </w:p>
        </w:tc>
      </w:tr>
    </w:tbl>
    <w:p>
      <w:pPr>
        <w:widowControl/>
        <w:spacing w:after="20"/>
      </w:pPr>
    </w:p>
    <w:p>
      <w:pPr>
        <w:widowControl/>
      </w:pPr>
      <w:r>
        <w:t>在种子42的50%连续缺失条件下，F1下降最大的模态为文本，下降0.0335。这一现象说明当前模型对该模态的依赖更强，但并不说明该模态在所有真实交互任务中天然最重要。若音视频缺失曲线接近完整输入，应同时考虑其均值表示能力有限、文本主导及噪声移除等可能性；本实验不能独立区分这些机制。</w:t>
      </w:r>
    </w:p>
    <w:p>
      <w:pPr>
        <w:widowControl/>
      </w:pPr>
      <w:r>
        <w:t>曲线中的局部非单调变化予以保留。移除信息后某一分类指标小幅上升并不自动构成错误，也不等于缺失有益；可能涉及错误边界变化、被移除的噪声与有限样本波动。本文以所有预定场景和两个任务的联合结果判断鲁棒性，不仅选择符合预期的曲线。</w:t>
      </w:r>
    </w:p>
    <w:p>
      <w:pPr>
        <w:pStyle w:val="Heading2"/>
        <w:widowControl/>
      </w:pPr>
      <w:r>
        <w:t>缺失位置与连续形状的影响</w:t>
      </w:r>
    </w:p>
    <w:p>
      <w:pPr>
        <w:keepNext/>
        <w:widowControl/>
        <w:ind w:firstLine="0"/>
        <w:jc w:val="center"/>
      </w:pPr>
      <w:r>
        <w:drawing>
          <wp:inline xmlns:a="http://schemas.openxmlformats.org/drawingml/2006/main" xmlns:pic="http://schemas.openxmlformats.org/drawingml/2006/picture">
            <wp:extent cx="5940000" cy="4221996"/>
            <wp:docPr id="5" name="Picture 5" descr="图5 最终模型在验证集36类补充场景中的变化，均相对于同模型完整输入。上排ΔF1越负表示损失越大，下排ΔMAE越正表示损失越大。同一指标共用色标。此图为种子42描述性结果。"/>
            <wp:cNvGraphicFramePr>
              <a:graphicFrameLocks noChangeAspect="1"/>
            </wp:cNvGraphicFramePr>
            <a:graphic>
              <a:graphicData uri="http://schemas.openxmlformats.org/drawingml/2006/picture">
                <pic:pic>
                  <pic:nvPicPr>
                    <pic:cNvPr id="0" name="fig04_missing_shapes.png"/>
                    <pic:cNvPicPr/>
                  </pic:nvPicPr>
                  <pic:blipFill>
                    <a:blip r:embed="rId13"/>
                    <a:stretch>
                      <a:fillRect/>
                    </a:stretch>
                  </pic:blipFill>
                  <pic:spPr>
                    <a:xfrm>
                      <a:off x="0" y="0"/>
                      <a:ext cx="5940000" cy="4221996"/>
                    </a:xfrm>
                    <a:prstGeom prst="rect"/>
                  </pic:spPr>
                </pic:pic>
              </a:graphicData>
            </a:graphic>
          </wp:inline>
        </w:drawing>
      </w:r>
    </w:p>
    <w:p>
      <w:pPr>
        <w:pStyle w:val="Caption"/>
        <w:keepLines/>
        <w:widowControl/>
        <w:jc w:val="left"/>
      </w:pPr>
      <w:r>
        <w:t>图5 最终模型在验证集36类补充场景中的变化，均相对于同模型完整输入。上排ΔF1越负表示损失越大，下排ΔMAE越正表示损失越大。同一指标共用色标。此图为种子42描述性结果。</w:t>
      </w:r>
    </w:p>
    <w:p>
      <w:pPr>
        <w:pStyle w:val="Caption"/>
        <w:keepNext/>
        <w:widowControl/>
        <w:jc w:val="center"/>
      </w:pPr>
      <w:r>
        <w:t>表9 预定补充场景中的描述性范围</w:t>
      </w:r>
    </w:p>
    <w:tbl>
      <w:tblPr>
        <w:tblW w:type="auto" w:w="0"/>
        <w:jc w:val="center"/>
        <w:tblLayout w:type="fixed"/>
        <w:tblLook w:firstColumn="1" w:firstRow="1" w:lastColumn="0" w:lastRow="0" w:noHBand="0" w:noVBand="1" w:val="04A0"/>
      </w:tblPr>
      <w:tblGrid>
        <w:gridCol w:w="952"/>
        <w:gridCol w:w="3238"/>
        <w:gridCol w:w="952"/>
        <w:gridCol w:w="3238"/>
        <w:gridCol w:w="1143"/>
      </w:tblGrid>
      <w:tr>
        <w:trPr>
          <w:cantSplit/>
          <w:tblHeader/>
        </w:trPr>
        <w:tc>
          <w:tcPr>
            <w:tcW w:type="dxa" w:w="95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模态</w:t>
            </w:r>
          </w:p>
        </w:tc>
        <w:tc>
          <w:tcPr>
            <w:tcW w:type="dxa" w:w="3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最低F1场景</w:t>
            </w:r>
          </w:p>
        </w:tc>
        <w:tc>
          <w:tcPr>
            <w:tcW w:type="dxa" w:w="95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F1</w:t>
            </w:r>
          </w:p>
        </w:tc>
        <w:tc>
          <w:tcPr>
            <w:tcW w:type="dxa" w:w="3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最高F1场景</w:t>
            </w:r>
          </w:p>
        </w:tc>
        <w:tc>
          <w:tcPr>
            <w:tcW w:type="dxa" w:w="114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F1</w:t>
            </w:r>
          </w:p>
        </w:tc>
      </w:tr>
      <w:tr>
        <w:trPr>
          <w:cantSplit/>
        </w:trPr>
        <w:tc>
          <w:tcPr>
            <w:tcW w:type="dxa" w:w="95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文本</w:t>
            </w:r>
          </w:p>
        </w:tc>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text_50_back</w:t>
            </w:r>
          </w:p>
        </w:tc>
        <w:tc>
          <w:tcPr>
            <w:tcW w:type="dxa" w:w="95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0.5392</w:t>
            </w:r>
          </w:p>
        </w:tc>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text_10_middle</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0.6001</w:t>
            </w:r>
          </w:p>
        </w:tc>
      </w:tr>
      <w:tr>
        <w:trPr>
          <w:cantSplit/>
        </w:trPr>
        <w:tc>
          <w:tcPr>
            <w:tcW w:type="dxa" w:w="95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语音</w:t>
            </w:r>
          </w:p>
        </w:tc>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audio_50_multi</w:t>
            </w:r>
          </w:p>
        </w:tc>
        <w:tc>
          <w:tcPr>
            <w:tcW w:type="dxa" w:w="95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0.5897</w:t>
            </w:r>
          </w:p>
        </w:tc>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audio_50_front</w:t>
            </w:r>
          </w:p>
        </w:tc>
        <w:tc>
          <w:tcPr>
            <w:tcW w:type="dxa" w:w="114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0.6018</w:t>
            </w:r>
          </w:p>
        </w:tc>
      </w:tr>
      <w:tr>
        <w:trPr>
          <w:cantSplit/>
        </w:trPr>
        <w:tc>
          <w:tcPr>
            <w:tcW w:type="dxa" w:w="95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视觉</w:t>
            </w:r>
          </w:p>
        </w:tc>
        <w:tc>
          <w:tcPr>
            <w:tcW w:type="dxa" w:w="3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vision_10_front</w:t>
            </w:r>
          </w:p>
        </w:tc>
        <w:tc>
          <w:tcPr>
            <w:tcW w:type="dxa" w:w="95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0.5892</w:t>
            </w:r>
          </w:p>
        </w:tc>
        <w:tc>
          <w:tcPr>
            <w:tcW w:type="dxa" w:w="3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vision_30_front</w:t>
            </w:r>
          </w:p>
        </w:tc>
        <w:tc>
          <w:tcPr>
            <w:tcW w:type="dxa" w:w="114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0.5954</w:t>
            </w:r>
          </w:p>
        </w:tc>
      </w:tr>
    </w:tbl>
    <w:p>
      <w:pPr>
        <w:widowControl/>
        <w:spacing w:after="20"/>
      </w:pPr>
    </w:p>
    <w:p>
      <w:pPr>
        <w:widowControl/>
      </w:pPr>
      <w:r>
        <w:t>位置影响应在相同模态和比例下比较，而形状影响应比较随机单长片段与multi场景。表9仅用于定位预定网格内的极值，并非经验证的普遍最差或最佳位置；极值是观察后描述，不参与模型选择。正文图5覆盖全部36类场景，逐场景数值和实际缺失率保存在分析数据中。有效长度较短时，至少移除一个位置会使实际比例偏离名义比例；该偏差已单独统计，不能忽略。</w:t>
      </w:r>
    </w:p>
    <w:p>
      <w:pPr>
        <w:widowControl/>
      </w:pPr>
      <w:r>
        <w:t>固定文本缺失比例为50%时，前部、中部、后部缺失的F1依次为0.5622、0.5537、0.5392。本模型在该验证划分上对后部文本缺失更敏感，但没有原始逐词时间戳及专项定位核验，不能进一步断言后部对应特定情绪转折或结尾词。语音、视觉的位置变化幅度较小，也不能据此推断这些模态完全无用。</w:t>
      </w:r>
    </w:p>
    <w:p>
      <w:pPr>
        <w:pStyle w:val="Caption"/>
        <w:keepNext/>
        <w:widowControl/>
        <w:jc w:val="center"/>
      </w:pPr>
      <w:r>
        <w:t>表10 同等缺失比例下的单长片段与多个短片段</w:t>
      </w:r>
    </w:p>
    <w:tbl>
      <w:tblPr>
        <w:tblW w:type="auto" w:w="0"/>
        <w:jc w:val="center"/>
        <w:tblLayout w:type="fixed"/>
        <w:tblLook w:firstColumn="1" w:firstRow="1" w:lastColumn="0" w:lastRow="0" w:noHBand="0" w:noVBand="1" w:val="04A0"/>
      </w:tblPr>
      <w:tblGrid>
        <w:gridCol w:w="1238"/>
        <w:gridCol w:w="1238"/>
        <w:gridCol w:w="1714"/>
        <w:gridCol w:w="1714"/>
        <w:gridCol w:w="1810"/>
        <w:gridCol w:w="1810"/>
      </w:tblGrid>
      <w:tr>
        <w:trPr>
          <w:cantSplit/>
          <w:tblHeader/>
        </w:trPr>
        <w:tc>
          <w:tcPr>
            <w:tcW w:type="dxa" w:w="1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模态</w:t>
            </w:r>
          </w:p>
        </w:tc>
        <w:tc>
          <w:tcPr>
            <w:tcW w:type="dxa" w:w="1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比例</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单段F1</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多段F1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ΔMAE</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文本</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0.5704</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0.5775</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+0.0071</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+0.0010</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文本</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30%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0.5678</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0.5848</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+0.0169</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+0.0045</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文本</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50%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0.5562</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0.5622</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+0.0061</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-0.0039</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语音</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0.5991</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0.5914</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-0.0076</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+0.0005</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语音</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30%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0.5911</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0.5966</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+0.0055</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+0.0016</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语音</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50%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0.5962</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0.5897</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-0.0065</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+0.0015</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视觉</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0.5898</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0.5914</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+0.0017</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+0.0005</w:t>
            </w:r>
          </w:p>
        </w:tc>
      </w:tr>
      <w:tr>
        <w:trPr>
          <w:cantSplit/>
        </w:trPr>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视觉</w:t>
            </w:r>
          </w:p>
        </w:tc>
        <w:tc>
          <w:tcPr>
            <w:tcW w:type="dxa" w:w="1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30%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0.5984</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0.5919</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-0.0065</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+0.0020</w:t>
            </w:r>
          </w:p>
        </w:tc>
      </w:tr>
      <w:tr>
        <w:trPr>
          <w:cantSplit/>
        </w:trPr>
        <w:tc>
          <w:tcPr>
            <w:tcW w:type="dxa" w:w="1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视觉</w:t>
            </w:r>
          </w:p>
        </w:tc>
        <w:tc>
          <w:tcPr>
            <w:tcW w:type="dxa" w:w="1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50%</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0.5881</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0.5906</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+0.0025</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-0.0002</w:t>
            </w:r>
          </w:p>
        </w:tc>
      </w:tr>
    </w:tbl>
    <w:p>
      <w:pPr>
        <w:widowControl/>
        <w:spacing w:after="20"/>
      </w:pPr>
    </w:p>
    <w:p>
      <w:pPr>
        <w:widowControl/>
      </w:pPr>
      <w:r>
        <w:t>表10的差值均为多个短片段减去随机单长片段。文本的三个比例下，多段缺失的F1均略高，但10%和30%时MAE并未同步下降；音视频的变化方向也不一致。因此，缺失形状的影响依赖模态、比例及评价任务，不能给出“多段一定优于单段”的普遍结论。这些比较使用预定随机起点的一组实现，尚未覆盖缺失起点本身的重复抽样不确定性。</w:t>
      </w:r>
    </w:p>
    <w:p>
      <w:pPr>
        <w:widowControl/>
      </w:pPr>
      <w:r>
        <w:t>名义缺失率10%、30%、50%对应的样本平均实际位置比例分别为11.20%、30.74%、51.64%。这些差异来自按有效长度取整和至少移除一个位置的规则，而不是修改场景定义；实际新增不可观测位置数另见完整分析表。</w:t>
      </w:r>
    </w:p>
    <w:p>
      <w:pPr>
        <w:pStyle w:val="Heading1"/>
        <w:widowControl/>
      </w:pPr>
      <w:r>
        <w:t>6 分类错误与回归诊断</w:t>
      </w:r>
    </w:p>
    <w:p>
      <w:pPr>
        <w:keepNext/>
        <w:widowControl/>
        <w:ind w:firstLine="0"/>
        <w:jc w:val="center"/>
      </w:pPr>
      <w:r>
        <w:drawing>
          <wp:inline xmlns:a="http://schemas.openxmlformats.org/drawingml/2006/main" xmlns:pic="http://schemas.openxmlformats.org/drawingml/2006/picture">
            <wp:extent cx="5940000" cy="2847592"/>
            <wp:docPr id="6" name="Picture 6" descr="图6 最终模型种子42的完整验证集分类诊断。混淆矩阵同时标注计数和真实类别内百分比；类别F1与第二轮FP32基准使用相同样本。"/>
            <wp:cNvGraphicFramePr>
              <a:graphicFrameLocks noChangeAspect="1"/>
            </wp:cNvGraphicFramePr>
            <a:graphic>
              <a:graphicData uri="http://schemas.openxmlformats.org/drawingml/2006/picture">
                <pic:pic>
                  <pic:nvPicPr>
                    <pic:cNvPr id="0" name="fig06_classification.png"/>
                    <pic:cNvPicPr/>
                  </pic:nvPicPr>
                  <pic:blipFill>
                    <a:blip r:embed="rId14"/>
                    <a:stretch>
                      <a:fillRect/>
                    </a:stretch>
                  </pic:blipFill>
                  <pic:spPr>
                    <a:xfrm>
                      <a:off x="0" y="0"/>
                      <a:ext cx="5940000" cy="2847592"/>
                    </a:xfrm>
                    <a:prstGeom prst="rect"/>
                  </pic:spPr>
                </pic:pic>
              </a:graphicData>
            </a:graphic>
          </wp:inline>
        </w:drawing>
      </w:r>
    </w:p>
    <w:p>
      <w:pPr>
        <w:pStyle w:val="Caption"/>
        <w:keepLines/>
        <w:widowControl/>
        <w:jc w:val="left"/>
      </w:pPr>
      <w:r>
        <w:t>图6 最终模型种子42的完整验证集分类诊断。混淆矩阵同时标注计数和真实类别内百分比；类别F1与第二轮FP32基准使用相同样本。</w:t>
      </w:r>
    </w:p>
    <w:p>
      <w:pPr>
        <w:widowControl/>
      </w:pPr>
      <w:r>
        <w:t>最终模型完整验证集的负向、中性、正向F1分别为0.6650、0.3810、0.7231。真实中性样本共184条，其中29条被判为负向，95条被判为正向。中性采用强度严格等于零的定义，不能通过把接近零的标签事后合并为中性来改善指标。</w:t>
      </w:r>
    </w:p>
    <w:p>
      <w:pPr>
        <w:widowControl/>
      </w:pPr>
      <w:r>
        <w:t>分类头与回归符号的精确一致性检查发现140/728条输出不一致，占19.23%。该检查将回归值严格为零才计为中性，因此也包含分类头预测中性但回归头给出小幅非零值的情形；它是接口诊断，不等同于所有这些样本均预测错误。若未来采用一致性损失或阈值联结，需要在独立开发协议下比较，本轮未进行这种事后修改。</w:t>
      </w:r>
    </w:p>
    <w:p>
      <w:pPr>
        <w:pStyle w:val="Caption"/>
        <w:keepNext/>
        <w:widowControl/>
        <w:jc w:val="center"/>
      </w:pPr>
      <w:r>
        <w:t>表11 按固定规则选择的验证案例</w:t>
      </w:r>
    </w:p>
    <w:tbl>
      <w:tblPr>
        <w:tblW w:type="auto" w:w="0"/>
        <w:jc w:val="center"/>
        <w:tblLayout w:type="fixed"/>
        <w:tblLook w:firstColumn="1" w:firstRow="1" w:lastColumn="0" w:lastRow="0" w:noHBand="0" w:noVBand="1" w:val="04A0"/>
      </w:tblPr>
      <w:tblGrid>
        <w:gridCol w:w="3238"/>
        <w:gridCol w:w="2095"/>
        <w:gridCol w:w="1333"/>
        <w:gridCol w:w="1429"/>
        <w:gridCol w:w="1429"/>
      </w:tblGrid>
      <w:tr>
        <w:trPr>
          <w:cantSplit/>
          <w:tblHeader/>
        </w:trPr>
        <w:tc>
          <w:tcPr>
            <w:tcW w:type="dxa" w:w="3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样本标识</w:t>
            </w:r>
          </w:p>
        </w:tc>
        <w:tc>
          <w:tcPr>
            <w:tcW w:type="dxa" w:w="209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类型</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真类→预测</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真实强度</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预测强度</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266791$_$23</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错误最大MAE</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0→2</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-2.6667</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0.3308</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243646$_$12</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正确中位MAE</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-1.3333</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-0.8578</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x2lOwQaAn4g$_$4</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错误最大MAE</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1→2</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1.8582</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273539$_$2</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正确中位MAE</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1→1</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-0.1461</w:t>
            </w:r>
          </w:p>
        </w:tc>
      </w:tr>
      <w:tr>
        <w:trPr>
          <w:cantSplit/>
        </w:trPr>
        <w:tc>
          <w:tcPr>
            <w:tcW w:type="dxa" w:w="323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f_ZJ7L14oYQ$_$21</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错误最大MAE</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2→0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2.0000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-1.7774</w:t>
            </w:r>
          </w:p>
        </w:tc>
      </w:tr>
      <w:tr>
        <w:trPr>
          <w:cantSplit/>
        </w:trPr>
        <w:tc>
          <w:tcPr>
            <w:tcW w:type="dxa" w:w="3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4dV3slGSc60$_$10</w:t>
            </w:r>
          </w:p>
        </w:tc>
        <w:tc>
          <w:tcPr>
            <w:tcW w:type="dxa" w:w="209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正确中位MAE</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2→2</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1.0000</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0.6207</w:t>
            </w:r>
          </w:p>
        </w:tc>
      </w:tr>
    </w:tbl>
    <w:p>
      <w:pPr>
        <w:widowControl/>
        <w:spacing w:after="20"/>
      </w:pPr>
    </w:p>
    <w:p>
      <w:pPr>
        <w:widowControl/>
      </w:pPr>
      <w:r>
        <w:t>案例按每个真实类别分别选择最大MAE的误分类样本与MAE居中的分类正确样本。分类正确不代表强度误差小；反之，轻微跨越零点的预测也可能造成极性错误。此处只根据已有数值证据讨论错误类型，不在缺乏原始视频核查时断言讽刺、语气、否定范围或特定面部表情是原因。</w:t>
      </w:r>
    </w:p>
    <w:p>
      <w:pPr>
        <w:pStyle w:val="Heading1"/>
        <w:widowControl/>
      </w:pPr>
      <w:r>
        <w:t>7 专项预测与结果接口</w:t>
      </w:r>
    </w:p>
    <w:p>
      <w:pPr>
        <w:pStyle w:val="Caption"/>
        <w:keepNext/>
        <w:widowControl/>
        <w:jc w:val="center"/>
      </w:pPr>
      <w:r>
        <w:t>算法2 附件3统一推理</w:t>
      </w:r>
    </w:p>
    <w:tbl>
      <w:tblPr>
        <w:tblW w:type="auto" w:w="0"/>
        <w:jc w:val="center"/>
        <w:tblLayout w:type="fixed"/>
        <w:tblLook w:firstColumn="1" w:firstRow="1" w:lastColumn="0" w:lastRow="0" w:noHBand="0" w:noVBand="1" w:val="04A0"/>
      </w:tblPr>
      <w:tblGrid>
        <w:gridCol w:w="762"/>
        <w:gridCol w:w="8762"/>
      </w:tblGrid>
      <w:tr>
        <w:trPr>
          <w:cantSplit/>
          <w:tblHeader/>
        </w:trPr>
        <w:tc>
          <w:tcPr>
            <w:tcW w:type="dxa" w:w="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步骤</w:t>
            </w:r>
          </w:p>
        </w:tc>
        <w:tc>
          <w:tcPr>
            <w:tcW w:type="dxa" w:w="8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操作</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1</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按文件名排序读取全部PKL；以文件名和文件内序号构造稳定样本标识。</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执行与训练相同的整数性、形状、有限性和掩码规则检查。</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3</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加载冻结的训练集标准化参数及FP32模型；不在线下载或调用教师。</w:t>
            </w:r>
          </w:p>
        </w:tc>
      </w:tr>
      <w:tr>
        <w:trPr>
          <w:cantSplit/>
        </w:trPr>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4</w:t>
            </w:r>
          </w:p>
        </w:tc>
        <w:tc>
          <w:tcPr>
            <w:tcW w:type="dxa" w:w="8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按统一接口输出类别、强度和三类概率；核对30条覆盖率与唯一性。</w:t>
            </w:r>
          </w:p>
        </w:tc>
      </w:tr>
      <w:tr>
        <w:trPr>
          <w:cantSplit/>
        </w:trPr>
        <w:tc>
          <w:tcPr>
            <w:tcW w:type="dxa" w:w="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5</w:t>
            </w:r>
          </w:p>
        </w:tc>
        <w:tc>
          <w:tcPr>
            <w:tcW w:type="dxa" w:w="8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重载、单条与批量、CPU与GPU结果对照；保存校验记录和摘要。</w:t>
            </w:r>
          </w:p>
        </w:tc>
      </w:tr>
    </w:tbl>
    <w:p>
      <w:pPr>
        <w:widowControl/>
        <w:spacing w:after="20"/>
      </w:pPr>
    </w:p>
    <w:p>
      <w:pPr>
        <w:pStyle w:val="Caption"/>
        <w:keepNext/>
        <w:widowControl/>
        <w:jc w:val="center"/>
      </w:pPr>
      <w:r>
        <w:t>表12 附件3全量预测</w:t>
      </w:r>
    </w:p>
    <w:tbl>
      <w:tblPr>
        <w:tblW w:type="auto" w:w="0"/>
        <w:jc w:val="center"/>
        <w:tblLayout w:type="fixed"/>
        <w:tblLook w:firstColumn="1" w:firstRow="1" w:lastColumn="0" w:lastRow="0" w:noHBand="0" w:noVBand="1" w:val="04A0"/>
      </w:tblPr>
      <w:tblGrid>
        <w:gridCol w:w="2953"/>
        <w:gridCol w:w="1905"/>
        <w:gridCol w:w="2191"/>
        <w:gridCol w:w="2476"/>
      </w:tblGrid>
      <w:tr>
        <w:trPr>
          <w:cantSplit/>
          <w:tblHeader/>
        </w:trPr>
        <w:tc>
          <w:tcPr>
            <w:tcW w:type="dxa" w:w="295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文件编号</w:t>
            </w:r>
          </w:p>
        </w:tc>
        <w:tc>
          <w:tcPr>
            <w:tcW w:type="dxa" w:w="190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预测类别</w:t>
            </w:r>
          </w:p>
        </w:tc>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情感强度</w:t>
            </w:r>
          </w:p>
        </w:tc>
        <w:tc>
          <w:tcPr>
            <w:tcW w:type="dxa" w:w="247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最大类概率</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附件3_01</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-0.9591</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0.9050</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附件3_02</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-0.0254</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0.7089</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附件3_03</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0.2856</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0.5314</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附件3_04</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0.4391</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0.6478</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附件3_05</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-1.3739</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0.9412</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附件3_06</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0.7524</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0.8653</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附件3_07</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0.2239</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0.4855</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附件3_08</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-0.0107</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0.3936</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附件3_09</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1.2030</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0.9599</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附件3_10</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-0.0749</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0.8008</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附件3_11</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0.4757</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0.6067</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附件3_12</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0.4196</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0.6136</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附件3_13</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0.3204</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0.6448</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附件3_14</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-0.8851</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0.9291</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附件3_15</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0.5062</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0.8431</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附件3_16</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1.4735</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0.9670</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附件3_17</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0.3088</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0.5146</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附件3_18</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0.4731</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0.6765</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附件3_19</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-0.0173</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0.4735</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附件3_20</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0.1110</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0.6254</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附件3_21</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0.3000</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0.6414</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附件3_22</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0.4672</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0.6727</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附件3_23</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0.3222</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0.5496</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附件3_24</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负向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-0.1405</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0.4105</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附件3_25</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中性</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0.4231</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0.5026</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附件3_26</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0.6986</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0.8453</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附件3_27</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0.4242</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0.6904</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附件3_28</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0.4591</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0.5862</w:t>
            </w:r>
          </w:p>
        </w:tc>
      </w:tr>
      <w:tr>
        <w:trPr>
          <w:cantSplit/>
        </w:trPr>
        <w:tc>
          <w:tcPr>
            <w:tcW w:type="dxa" w:w="295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附件3_29</w:t>
            </w:r>
          </w:p>
        </w:tc>
        <w:tc>
          <w:tcPr>
            <w:tcW w:type="dxa" w:w="190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正向</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0.7166</w:t>
            </w:r>
          </w:p>
        </w:tc>
        <w:tc>
          <w:tcPr>
            <w:tcW w:type="dxa" w:w="247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0.7981</w:t>
            </w:r>
          </w:p>
        </w:tc>
      </w:tr>
      <w:tr>
        <w:trPr>
          <w:cantSplit/>
        </w:trPr>
        <w:tc>
          <w:tcPr>
            <w:tcW w:type="dxa" w:w="295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附件3_30</w:t>
            </w:r>
          </w:p>
        </w:tc>
        <w:tc>
          <w:tcPr>
            <w:tcW w:type="dxa" w:w="190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中性</w:t>
            </w:r>
          </w:p>
        </w:tc>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0.4129</w:t>
            </w:r>
          </w:p>
        </w:tc>
        <w:tc>
          <w:tcPr>
            <w:tcW w:type="dxa" w:w="247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0.5350</w:t>
            </w:r>
          </w:p>
        </w:tc>
      </w:tr>
    </w:tbl>
    <w:p>
      <w:pPr>
        <w:widowControl/>
        <w:spacing w:after="20"/>
      </w:pPr>
    </w:p>
    <w:p>
      <w:pPr>
        <w:widowControl/>
      </w:pPr>
      <w:r>
        <w:t>专项CSV保留sample_id、scenario、class_id、sentiment、intensity、prob_negative、prob_neutral、prob_positive字段。表12为阅读方便保留四位小数，CSV保留计算精度。文件内序号row000不是原始视频ID，最大类概率也不是经过统计校准的置信度。全部30条无标签样本的预测分布未用于调参。</w:t>
      </w:r>
    </w:p>
    <w:p>
      <w:pPr>
        <w:pStyle w:val="Heading1"/>
        <w:widowControl/>
      </w:pPr>
      <w:r>
        <w:t>8 模型复杂度与适用边界</w:t>
      </w:r>
    </w:p>
    <w:p>
      <w:pPr>
        <w:widowControl/>
      </w:pPr>
      <w:r>
        <w:t>设序列长T、隐宽d、前馈宽d_ff、层数L。忽略常数与批量因子，文本编码主要计算量为O(L(Td²+T²d+Td·d_ff))；标准注意力实现保存的注意力矩阵规模为O(LhT²)。词表嵌入参数量为Vd，完整词表增加嵌入存储及优化器状态，但不直接增加长度为T的注意力矩阵规模。音视频汇总计算量分别为O(T·74)与O(T·35)，相对于文本编码较小。</w:t>
      </w:r>
    </w:p>
    <w:p>
      <w:pPr>
        <w:widowControl/>
      </w:pPr>
      <w:r>
        <w:t>本轮取消文件体积筛选，仅保存FP32研究模型，不据权重压缩推断速度或显存收益。实际耗时受显卡共享占用、批量和数据加载影响，日志中的进程累计峰值不能归因于单一模型。本阶段未开展统一硬件隔离条件下的效率基准，因此不作推理加速结论。</w:t>
      </w:r>
    </w:p>
    <w:p>
      <w:pPr>
        <w:widowControl/>
      </w:pPr>
      <w:r>
        <w:t>模型仍有四项重要局限。第一，音视频均值表示忽略细粒度时序，文本缺失较重时可能难以充分补偿。第二，主要场景一次只移除一个模态，尚未系统覆盖多模态同步局部故障。第三，模拟机制是预定位置遮蔽，不代表真实噪声、分布偏移和设备故障的全部形式。第四，样本规模与重复使用验证集限制了泛化证据强度。三种子改善不能保证未知专项样本或比赛排名。</w:t>
      </w:r>
    </w:p>
    <w:p>
      <w:pPr>
        <w:pStyle w:val="Heading1"/>
        <w:widowControl/>
      </w:pPr>
      <w:r>
        <w:t>9 结论</w:t>
      </w:r>
    </w:p>
    <w:p>
      <w:pPr>
        <w:widowControl/>
      </w:pPr>
      <w:r>
        <w:t>本轮在不以附件体积筛选的条件下，确认了较强12层文本编码器作为多模态模型组成部分的稳定收益。 方法的可复现要点在于编码前严格移除缺失信息、有效位置与观测状态分离、仅拟合训练集预处理统计量，以及使用相同缺失场景配对比较。通过类别与强度的联合评价、缺失位置和形状分析以及原样保留负面消融，结论的适用范围可以明确核验。</w:t>
      </w:r>
    </w:p>
    <w:p>
      <w:pPr>
        <w:widowControl/>
      </w:pPr>
      <w:r>
        <w:t>本研究的贡献定位为面向赛题接口的鲁棒预测流程构建与系统实证分析，而不是提出新的预训练基础模型、证明理论最优性或实现因果解释。附件3全量预测已形成统一结果文件；最终准确性仍须以赛方隐藏标签评价为准。</w:t>
      </w:r>
    </w:p>
    <w:p>
      <w:pPr>
        <w:pStyle w:val="Heading1"/>
        <w:widowControl/>
      </w:pPr>
      <w:r>
        <w:t>参考文献</w:t>
      </w:r>
    </w:p>
    <w:p>
      <w:pPr>
        <w:widowControl/>
      </w:pPr>
      <w:r>
        <w:t>[1] Devlin J, Chang M W, Lee K, Toutanova K. BERT: Pre-training of Deep Bidirectional Transformers for Language Understanding[C]. NAACL-HLT, 2019: 4171–4186. DOI: 10.18653/v1/N19-1423. https://aclanthology.org/N19-1423/</w:t>
      </w:r>
    </w:p>
    <w:p>
      <w:pPr>
        <w:widowControl/>
      </w:pPr>
      <w:r>
        <w:t>[2] Google. bert-base-uncased model card[EB/OL]. https://huggingface.co/google-bert/bert-base-uncased. 使用本地固定快照86b5e0934494bd15c9632b12f734a8a67f723594，Apache-2.0许可，访问核验日期2026-09-24。</w:t>
      </w:r>
    </w:p>
    <w:p>
      <w:pPr>
        <w:widowControl/>
      </w:pPr>
      <w:r>
        <w:t>[3] Loshchilov I, Hutter F. Decoupled Weight Decay Regularization[C]. ICLR, 2019. https://arxiv.org/abs/1711.05101.</w:t>
      </w:r>
    </w:p>
    <w:p>
      <w:pPr>
        <w:widowControl/>
      </w:pPr>
      <w:r>
        <w:t>[4] Hinton G, Vinyals O, Dean J. Distilling the Knowledge in a Neural Network[EB/OL]. arXiv:1503.02531, 2015. https://arxiv.org/abs/1503.02531.</w:t>
      </w:r>
    </w:p>
    <w:p>
      <w:pPr>
        <w:widowControl/>
      </w:pPr>
      <w:r>
        <w:t>[5] Sun S, Cheng Y, Gan Z, Liu J. Patient Knowledge Distillation for BERT Model Compression[C]. EMNLP-IJCNLP, 2019: 4323–4332. DOI: 10.18653/v1/D19-1441. https://aclanthology.org/D19-1441/</w:t>
      </w:r>
    </w:p>
    <w:p>
      <w:pPr>
        <w:pStyle w:val="Heading1"/>
        <w:widowControl/>
      </w:pPr>
      <w:r>
        <w:t>附录A 蒸馏基准与补充诊断</w:t>
      </w:r>
    </w:p>
    <w:p>
      <w:pPr>
        <w:widowControl/>
      </w:pPr>
      <w:r>
        <w:t>第二轮基准抽取预训练BERT第0和第11层构成两层文本编码器，其他汇总与融合结构保持一致。教师为相同拟合子集训练的12层模型；教师和学生接收完全相同的缺失输入，防止教师利用完整文本绕过缺失条件。蒸馏思想参考[4,5]，本实现只使用类别分布、回归输出与最终文本池化表示，不宣称复现逐层Patient Knowledge Distillation。</w:t>
      </w:r>
    </w:p>
    <w:p>
      <w:pPr>
        <w:widowControl/>
        <w:spacing w:before="80" w:after="160"/>
        <w:ind w:firstLine="0"/>
        <w:jc w:val="center"/>
      </w:pPr>
      <m:oMath xmlns:mml="http://www.w3.org/1998/Math/MathML">
        <m:sSub>
          <m:e>
            <m:r>
              <m:t>ℒ</m:t>
            </m:r>
          </m:e>
          <m:sub>
            <m:r>
              <m:rPr>
                <m:sty m:val="p"/>
              </m:rPr>
              <m:t>student</m:t>
            </m:r>
          </m:sub>
        </m:sSub>
        <m:r>
          <m:t>=ℒ+0.5</m:t>
        </m:r>
        <m:sSubSup>
          <m:e>
            <m:r>
              <m:t>T</m:t>
            </m:r>
          </m:e>
          <m:sub>
            <m:r>
              <m:t>d</m:t>
            </m:r>
          </m:sub>
          <m:sup>
            <m:r>
              <m:t>2</m:t>
            </m:r>
          </m:sup>
        </m:sSubSup>
        <m:sSub>
          <m:e>
            <m:r>
              <m:t>D</m:t>
            </m:r>
          </m:e>
          <m:sub>
            <m:r>
              <m:rPr>
                <m:sty m:val="p"/>
              </m:rPr>
              <m:t>KL</m:t>
            </m:r>
          </m:sub>
        </m:sSub>
        <m:r>
          <m:t>(</m:t>
        </m:r>
        <m:sSubSup>
          <m:e>
            <m:r>
              <m:t>p</m:t>
            </m:r>
          </m:e>
          <m:sub>
            <m:r>
              <m:t>T</m:t>
            </m:r>
          </m:sub>
          <m:sup>
            <m:r>
              <m:rPr>
                <m:sty m:val="p"/>
              </m:rPr>
              <m:t>(Td)</m:t>
            </m:r>
          </m:sup>
        </m:sSubSup>
        <m:r>
          <m:t>∥</m:t>
        </m:r>
        <m:sSubSup>
          <m:e>
            <m:r>
              <m:t>p</m:t>
            </m:r>
          </m:e>
          <m:sub>
            <m:r>
              <m:t>S</m:t>
            </m:r>
          </m:sub>
          <m:sup>
            <m:r>
              <m:rPr>
                <m:sty m:val="p"/>
              </m:rPr>
              <m:t>(Td)</m:t>
            </m:r>
          </m:sup>
        </m:sSubSup>
        <m:r>
          <m:t>)</m:t>
        </m:r>
        <m:r>
          <m:t>+0.25</m:t>
        </m:r>
        <m:sSub>
          <m:e>
            <m:r>
              <m:t>ℒ</m:t>
            </m:r>
          </m:e>
          <m:sub>
            <m:r>
              <m:rPr>
                <m:sty m:val="p"/>
              </m:rPr>
              <m:t>reg</m:t>
            </m:r>
          </m:sub>
        </m:sSub>
        <m:r>
          <m:t>+0.1</m:t>
        </m:r>
        <m:sSub>
          <m:e>
            <m:r>
              <m:t>ℒ</m:t>
            </m:r>
          </m:e>
          <m:sub>
            <m:r>
              <m:rPr>
                <m:sty m:val="p"/>
              </m:rPr>
              <m:t>feat</m:t>
            </m:r>
          </m:sub>
        </m:sSub>
      </m:oMath>
      <w:r>
        <w:rPr>
          <w:sz w:val="20"/>
        </w:rPr>
        <w:t xml:space="preserve">  (16)</w:t>
      </w:r>
    </w:p>
    <w:p>
      <w:pPr>
        <w:widowControl/>
      </w:pPr>
      <w:r>
        <w:t>式（16）中温度T_d=2，KL按类别求和再对批量取平均；回归蒸馏为教师与学生强度输出的均方误差，特征蒸馏为各自768维池化表示经过无仿射LayerNorm后的均方误差。教师停止梯度。基准正式训练7轮，新增候选的轮数由内部三折中位数单独确定，因此两者的对比反映整体训练方案差异。</w:t>
      </w:r>
    </w:p>
    <w:p>
      <w:pPr>
        <w:keepNext/>
        <w:widowControl/>
        <w:ind w:firstLine="0"/>
        <w:jc w:val="center"/>
      </w:pPr>
      <w:r>
        <w:drawing>
          <wp:inline xmlns:a="http://schemas.openxmlformats.org/drawingml/2006/main" xmlns:pic="http://schemas.openxmlformats.org/drawingml/2006/picture">
            <wp:extent cx="5940000" cy="2675792"/>
            <wp:docPr id="7" name="Picture 7" descr="图7 完整词表连续缺失模型的三折学习曲线。损失为训练样本平均监督损失，选择分数来自内部验证的固定九类缺失场景。"/>
            <wp:cNvGraphicFramePr>
              <a:graphicFrameLocks noChangeAspect="1"/>
            </wp:cNvGraphicFramePr>
            <a:graphic>
              <a:graphicData uri="http://schemas.openxmlformats.org/drawingml/2006/picture">
                <pic:pic>
                  <pic:nvPicPr>
                    <pic:cNvPr id="0" name="fig07_learning.png"/>
                    <pic:cNvPicPr/>
                  </pic:nvPicPr>
                  <pic:blipFill>
                    <a:blip r:embed="rId15"/>
                    <a:stretch>
                      <a:fillRect/>
                    </a:stretch>
                  </pic:blipFill>
                  <pic:spPr>
                    <a:xfrm>
                      <a:off x="0" y="0"/>
                      <a:ext cx="5940000" cy="2675792"/>
                    </a:xfrm>
                    <a:prstGeom prst="rect"/>
                  </pic:spPr>
                </pic:pic>
              </a:graphicData>
            </a:graphic>
          </wp:inline>
        </w:drawing>
      </w:r>
    </w:p>
    <w:p>
      <w:pPr>
        <w:pStyle w:val="Caption"/>
        <w:keepLines/>
        <w:widowControl/>
        <w:jc w:val="left"/>
      </w:pPr>
      <w:r>
        <w:t>图7 完整词表连续缺失模型的三折学习曲线。损失为训练样本平均监督损失，选择分数来自内部验证的固定九类缺失场景。</w:t>
      </w:r>
    </w:p>
    <w:p>
      <w:pPr>
        <w:keepNext/>
        <w:widowControl/>
        <w:ind w:firstLine="0"/>
        <w:jc w:val="center"/>
      </w:pPr>
      <w:r>
        <w:drawing>
          <wp:inline xmlns:a="http://schemas.openxmlformats.org/drawingml/2006/main" xmlns:pic="http://schemas.openxmlformats.org/drawingml/2006/picture">
            <wp:extent cx="5940000" cy="2661678"/>
            <wp:docPr id="8" name="Picture 8" descr="图8 最终模型种子42的完整验证集回归诊断。左图为二维计数而非平滑拟合，虚线为理想预测；右图按真实类别展示残差，保留离群点。"/>
            <wp:cNvGraphicFramePr>
              <a:graphicFrameLocks noChangeAspect="1"/>
            </wp:cNvGraphicFramePr>
            <a:graphic>
              <a:graphicData uri="http://schemas.openxmlformats.org/drawingml/2006/picture">
                <pic:pic>
                  <pic:nvPicPr>
                    <pic:cNvPr id="0" name="fig08_regression.png"/>
                    <pic:cNvPicPr/>
                  </pic:nvPicPr>
                  <pic:blipFill>
                    <a:blip r:embed="rId16"/>
                    <a:stretch>
                      <a:fillRect/>
                    </a:stretch>
                  </pic:blipFill>
                  <pic:spPr>
                    <a:xfrm>
                      <a:off x="0" y="0"/>
                      <a:ext cx="5940000" cy="2661678"/>
                    </a:xfrm>
                    <a:prstGeom prst="rect"/>
                  </pic:spPr>
                </pic:pic>
              </a:graphicData>
            </a:graphic>
          </wp:inline>
        </w:drawing>
      </w:r>
    </w:p>
    <w:p>
      <w:pPr>
        <w:pStyle w:val="Caption"/>
        <w:keepLines/>
        <w:widowControl/>
        <w:jc w:val="left"/>
      </w:pPr>
      <w:r>
        <w:t>图8 最终模型种子42的完整验证集回归诊断。左图为二维计数而非平滑拟合，虚线为理想预测；右图按真实类别展示残差，保留离群点。</w:t>
      </w:r>
    </w:p>
    <w:p>
      <w:pPr>
        <w:pStyle w:val="Heading1"/>
        <w:widowControl/>
      </w:pPr>
      <w:r>
        <w:t>附录B 冻结后的描述性测试</w:t>
      </w:r>
    </w:p>
    <w:p>
      <w:pPr>
        <w:pStyle w:val="Caption"/>
        <w:keepNext/>
        <w:widowControl/>
        <w:jc w:val="center"/>
      </w:pPr>
      <w:r>
        <w:t>表B1 已观察测试集上的冻结模型描述性结果</w:t>
      </w:r>
    </w:p>
    <w:tbl>
      <w:tblPr>
        <w:tblW w:type="auto" w:w="0"/>
        <w:jc w:val="center"/>
        <w:tblLayout w:type="fixed"/>
        <w:tblLook w:firstColumn="1" w:firstRow="1" w:lastColumn="0" w:lastRow="0" w:noHBand="0" w:noVBand="1" w:val="04A0"/>
      </w:tblPr>
      <w:tblGrid>
        <w:gridCol w:w="2667"/>
        <w:gridCol w:w="1714"/>
        <w:gridCol w:w="1714"/>
        <w:gridCol w:w="1714"/>
        <w:gridCol w:w="1714"/>
      </w:tblGrid>
      <w:tr>
        <w:trPr>
          <w:cantSplit/>
          <w:tblHeader/>
        </w:trPr>
        <w:tc>
          <w:tcPr>
            <w:tcW w:type="dxa" w:w="266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模型</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Accuracy</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Macro-F1</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MAE</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Pearson</w:t>
            </w:r>
          </w:p>
        </w:tc>
      </w:tr>
      <w:tr>
        <w:trPr>
          <w:cantSplit/>
        </w:trPr>
        <w:tc>
          <w:tcPr>
            <w:tcW w:type="dxa" w:w="266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第二轮FP32基准</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0.6300</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0.5667</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0.7118</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0.5738</w:t>
            </w:r>
          </w:p>
        </w:tc>
      </w:tr>
      <w:tr>
        <w:trPr>
          <w:cantSplit/>
        </w:trPr>
        <w:tc>
          <w:tcPr>
            <w:tcW w:type="dxa" w:w="266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冻结最终模型</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0.6988</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0.6321</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0.6130</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0.7064</w:t>
            </w:r>
          </w:p>
        </w:tc>
      </w:tr>
    </w:tbl>
    <w:p>
      <w:pPr>
        <w:widowControl/>
        <w:spacing w:after="20"/>
      </w:pPr>
    </w:p>
    <w:p>
      <w:pPr>
        <w:widowControl/>
      </w:pPr>
      <w:r>
        <w:t>测试集727条样本的上述结果来自模型冻结后的统一计算，不用于结构、超参数、阈值、种子或集成权重选择。该测试集在前轮已被查看，不能将本表作为从未触碰留出集的无偏性能估计。验证、测试各46场景与两个模型共184组指标均从逐样本预测独立复算。</w:t>
      </w:r>
    </w:p>
    <w:p>
      <w:pPr>
        <w:pStyle w:val="Heading1"/>
        <w:widowControl/>
      </w:pPr>
      <w:r>
        <w:t>附录C 复现与材料索引</w:t>
      </w:r>
    </w:p>
    <w:p>
      <w:pPr>
        <w:widowControl/>
      </w:pPr>
      <w:r>
        <w:t>实验在WSL2 Ubuntu 22.04及RTX 5070上完成。核心环境为Python 3.10.18、PyTorch 2.8.0+CUDA 12.8、NumPy 2.2.6、scikit-learn 1.7.2。原始题目数据未修改，预训练权重来源与SHA256、数据划分、种子、参数、逐轮日志和冻结摘要均保存。推理只需冻结模型、标准化参数与三模态输入，不依赖教师或网络连接。</w:t>
      </w:r>
    </w:p>
    <w:p>
      <w:pPr>
        <w:pStyle w:val="Caption"/>
        <w:keepNext/>
        <w:widowControl/>
        <w:jc w:val="center"/>
      </w:pPr>
      <w:r>
        <w:t>表C1 实验材料与复现入口</w:t>
      </w:r>
    </w:p>
    <w:tbl>
      <w:tblPr>
        <w:tblW w:type="auto" w:w="0"/>
        <w:jc w:val="center"/>
        <w:tblLayout w:type="fixed"/>
        <w:tblLook w:firstColumn="1" w:firstRow="1" w:lastColumn="0" w:lastRow="0" w:noHBand="0" w:noVBand="1" w:val="04A0"/>
      </w:tblPr>
      <w:tblGrid>
        <w:gridCol w:w="4095"/>
        <w:gridCol w:w="5429"/>
      </w:tblGrid>
      <w:tr>
        <w:trPr>
          <w:cantSplit/>
          <w:tblHeader/>
        </w:trPr>
        <w:tc>
          <w:tcPr>
            <w:tcW w:type="dxa" w:w="409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材料或入口</w:t>
            </w:r>
          </w:p>
        </w:tc>
        <w:tc>
          <w:tcPr>
            <w:tcW w:type="dxa" w:w="5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用途</w:t>
            </w:r>
          </w:p>
        </w:tc>
      </w:tr>
      <w:tr>
        <w:trPr>
          <w:cantSplit/>
        </w:trPr>
        <w:tc>
          <w:tcPr>
            <w:tcW w:type="dxa" w:w="4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study/protocol.json 与 frozen.json</w:t>
            </w:r>
          </w:p>
        </w:tc>
        <w:tc>
          <w:tcPr>
            <w:tcW w:type="dxa" w:w="5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固定规则、模型选择及冻结证据</w:t>
            </w:r>
          </w:p>
        </w:tc>
      </w:tr>
      <w:tr>
        <w:trPr>
          <w:cantSplit/>
        </w:trPr>
        <w:tc>
          <w:tcPr>
            <w:tcW w:type="dxa" w:w="4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runs 与 evidence/round2</w:t>
            </w:r>
          </w:p>
        </w:tc>
        <w:tc>
          <w:tcPr>
            <w:tcW w:type="dxa" w:w="5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本轮日志及保留的旧轮对照记录</w:t>
            </w:r>
          </w:p>
        </w:tc>
      </w:tr>
      <w:tr>
        <w:trPr>
          <w:cantSplit/>
        </w:trPr>
        <w:tc>
          <w:tcPr>
            <w:tcW w:type="dxa" w:w="4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evaluation 与 analysis</w:t>
            </w:r>
          </w:p>
        </w:tc>
        <w:tc>
          <w:tcPr>
            <w:tcW w:type="dxa" w:w="5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逐样本预测、指标、Bootstrap抽样和案例</w:t>
            </w:r>
          </w:p>
        </w:tc>
      </w:tr>
      <w:tr>
        <w:trPr>
          <w:cantSplit/>
        </w:trPr>
        <w:tc>
          <w:tcPr>
            <w:tcW w:type="dxa" w:w="4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figures 与 figure_manifest.json</w:t>
            </w:r>
          </w:p>
        </w:tc>
        <w:tc>
          <w:tcPr>
            <w:tcW w:type="dxa" w:w="5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8组矢量与高分辨率图及数据源摘要</w:t>
            </w:r>
          </w:p>
        </w:tc>
      </w:tr>
      <w:tr>
        <w:trPr>
          <w:cantSplit/>
        </w:trPr>
        <w:tc>
          <w:tcPr>
            <w:tcW w:type="dxa" w:w="4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final/model.pt 与 scaler.npz</w:t>
            </w:r>
          </w:p>
        </w:tc>
        <w:tc>
          <w:tcPr>
            <w:tcW w:type="dxa" w:w="5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最终FP32模型和训练集预处理参数</w:t>
            </w:r>
          </w:p>
        </w:tc>
      </w:tr>
      <w:tr>
        <w:trPr>
          <w:cantSplit/>
        </w:trPr>
        <w:tc>
          <w:tcPr>
            <w:tcW w:type="dxa" w:w="4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audit/train/evaluate/predict</w:t>
            </w:r>
          </w:p>
        </w:tc>
        <w:tc>
          <w:tcPr>
            <w:tcW w:type="dxa" w:w="5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自动检查、固定配方重训、冻结评价、专项推理</w:t>
            </w:r>
          </w:p>
        </w:tc>
      </w:tr>
      <w:tr>
        <w:trPr>
          <w:cantSplit/>
        </w:trPr>
        <w:tc>
          <w:tcPr>
            <w:tcW w:type="dxa" w:w="409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analyze/figures/paper/report</w:t>
            </w:r>
          </w:p>
        </w:tc>
        <w:tc>
          <w:tcPr>
            <w:tcW w:type="dxa" w:w="5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统计分析、重绘图形、生成论文材料和完整报告</w:t>
            </w:r>
          </w:p>
        </w:tc>
      </w:tr>
    </w:tbl>
    <w:p>
      <w:pPr>
        <w:widowControl/>
        <w:spacing w:after="20"/>
      </w:pPr>
    </w:p>
    <w:p>
      <w:pPr>
        <w:widowControl/>
      </w:pPr>
      <w:r>
        <w:t>本机同环境复现与CPU/GPU、单条/批量一致性以audit目录的实际核验记录为准，不承诺跨硬件或跨PyTorch版本逐位一致。论文素材不包含参赛单位、队员姓名或队伍编号。完整研究档案与正式竞赛附件分开管理，正式提交前还需按整队要求处理体积和统一论文格式。</w:t>
      </w:r>
    </w:p>
    <w:sectPr w:rsidR="00FC693F" w:rsidRPr="0006063C" w:rsidSect="00034616">
      <w:footerReference w:type="default" r:id="rId17"/>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ind w:firstLine="0"/>
      <w:contextualSpacing/>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ind w:firstLine="0"/>
    </w:pPr>
    <w:rPr>
      <w:rFonts w:ascii="Times New Roman" w:hAnsi="Times New Roman"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E题问题2局部模态缺失鲁棒预测论文素材</dc:title>
  <dc:subject/>
  <dc:creator/>
  <cp:keywords/>
  <dc:description/>
  <cp:lastModifiedBy/>
  <cp:revision>1</cp:revision>
  <dcterms:created xsi:type="dcterms:W3CDTF">2013-12-23T23:15:00Z</dcterms:created>
  <dcterms:modified xsi:type="dcterms:W3CDTF">2013-12-23T23:15:00Z</dcterms:modified>
  <cp:category/>
</cp:coreProperties>
</file>