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类别平衡训练与中性情感识别的补充验证</w:t>
      </w:r>
    </w:p>
    <w:p>
      <w:pPr>
        <w:pStyle w:val="Heading1"/>
        <w:widowControl/>
      </w:pPr>
      <w:r>
        <w:t>摘要</w:t>
      </w:r>
    </w:p>
    <w:p>
      <w:pPr>
        <w:widowControl/>
      </w:pPr>
      <w:r>
        <w:t>针对既有多模态模型中中性类别识别偏弱的问题，我们在不改变编码器、融合结构与缺失模拟规则的条件下，比较两档仅由拟合样本类别频率估计的分类权重。研究采用原视频分组内部三折进行开发，并以相同随机种子的官方验证结果进行一次确认。数据划分、类别权重来源和微批量累积方式均保留可复算记录。</w:t>
      </w:r>
    </w:p>
    <w:p>
      <w:pPr>
        <w:widowControl/>
      </w:pPr>
      <w:r>
        <w:t>候选balanced_inverse通过预定确认规则。完整输入Macro-F1由0.5959 ± 0.0059变为0.6163 ± 0.0040，中性类别F1由0.3871 ± 0.0133变为0.4808 ± 0.0062；上述波动为三种子样本标准差。本文同时报告回归与缺失场景表现，不将单项提升等同于所有指标改善。</w:t>
      </w:r>
    </w:p>
    <w:p>
      <w:pPr>
        <w:widowControl/>
      </w:pPr>
      <w:r>
        <w:t>官方验证已在多轮研究中重复使用，本文结论仅适用于既定开发与确认协议。配对Bootstrap描述固定模型预测下的不确定性，不校正反复模型选择的偏差。</w:t>
      </w:r>
    </w:p>
    <w:p>
      <w:pPr>
        <w:pStyle w:val="Heading1"/>
        <w:widowControl/>
      </w:pPr>
      <w:r>
        <w:t>1 问题诊断与研究假设</w:t>
      </w:r>
    </w:p>
    <w:p>
      <w:pPr>
        <w:widowControl/>
      </w:pPr>
      <w:r>
        <w:t>既有模型在三类任务上整体表现并不均衡。训练集负向、中性、正向样本量分别为967、758、1670，最多与最少类别之比约为2.20。该分布偏斜为检验类别平衡策略提供了动机，但不足以证明中性类别错误完全由样本数量造成；语义边界、表示能力和优化过程同样可能影响结果。</w:t>
      </w:r>
    </w:p>
    <w:p>
      <w:pPr>
        <w:widowControl/>
      </w:pPr>
      <w:r>
        <w:t>第三轮种子42模型在完整官方验证集中，中性类别共184条，识别正确60条，另有29条被判为负向、95条被判为正向。其召回率为32.61%，F1为0.3810。本轮据此提出可检验假设：在其余训练条件固定时，适度增加较少类别的分类损失权重，可能改善中性类别识别，同时保持整体缺失鲁棒性与强度回归性能。</w:t>
      </w:r>
    </w:p>
    <w:p>
      <w:pPr>
        <w:widowControl/>
      </w:pPr>
      <w:r>
        <w:t>类别平衡是已有的经验风险调整方法，不构成新的多模态网络理论。逆频率权重的常用形式可见scikit-learn官方文档[1]，加权交叉熵的归一化定义参照PyTorch文档[2]。平方根强度是本任务预先设定的较温和对照，其有效性必须由实验而非命名证明。</w:t>
      </w:r>
    </w:p>
    <w:p>
      <w:pPr>
        <w:pStyle w:val="Heading1"/>
        <w:widowControl/>
      </w:pPr>
      <w:r>
        <w:t>2 类别权重与优化目标</w:t>
      </w:r>
    </w:p>
    <w:p>
      <w:pPr>
        <w:widowControl/>
      </w:pPr>
      <w:r>
        <w:t>设当前拟合子集包含N条样本、C=3个类别，第c类计数为n_c。内部三折分别使用各自拟合子集的计数，官方训练确认只使用官方训练集计数。任何内部验证、官方验证、测试或附件3信息均不进入权重估计。定义权重强度α，并将权重的类别算术均值归一化为1：</w:t>
      </w:r>
    </w:p>
    <w:p>
      <w:pPr>
        <w:widowControl/>
        <w:spacing w:before="80" w:after="160"/>
        <w:ind w:firstLine="0"/>
        <w:jc w:val="center"/>
      </w:pPr>
      <m:oMath xmlns:mml="http://www.w3.org/1998/Math/MathML">
        <m:sSub>
          <m:e>
            <m:r>
              <m:t>u</m:t>
            </m:r>
          </m:e>
          <m:sub>
            <m:r>
              <m:t>c</m:t>
            </m:r>
          </m:sub>
        </m:sSub>
        <m:r>
          <m:t>=</m:t>
        </m:r>
        <m:sSup>
          <m:e>
            <m:r>
              <m:t>(</m:t>
            </m:r>
            <m:f>
              <m:fPr>
                <m:type m:val="bar"/>
              </m:fPr>
              <m:num>
                <m:r>
                  <m:t>N</m:t>
                </m:r>
              </m:num>
              <m:den>
                <m:r>
                  <m:t>C</m:t>
                </m:r>
                <m:sSub>
                  <m:e>
                    <m:r>
                      <m:t>n</m:t>
                    </m:r>
                  </m:e>
                  <m:sub>
                    <m:r>
                      <m:t>c</m:t>
                    </m:r>
                  </m:sub>
                </m:sSub>
              </m:den>
            </m:f>
            <m:r>
              <m:t>)</m:t>
            </m:r>
          </m:e>
          <m:sup>
            <m:r>
              <m:t>α</m:t>
            </m:r>
          </m:sup>
        </m:sSup>
        <m:r>
          <m:t>,</m:t>
        </m:r>
        <m:sSub>
          <m:e>
            <m:r>
              <m:t>w</m:t>
            </m:r>
          </m:e>
          <m:sub>
            <m:r>
              <m:t>c</m:t>
            </m:r>
          </m:sub>
        </m:sSub>
        <m:r>
          <m:t>=</m:t>
        </m:r>
        <m:f>
          <m:fPr>
            <m:type m:val="bar"/>
          </m:fPr>
          <m:num>
            <m:sSub>
              <m:e>
                <m:r>
                  <m:t>u</m:t>
                </m:r>
              </m:e>
              <m:sub>
                <m:r>
                  <m:t>c</m:t>
                </m:r>
              </m:sub>
            </m:sSub>
          </m:num>
          <m:den>
            <m:f>
              <m:fPr>
                <m:type m:val="bar"/>
              </m:fPr>
              <m:num>
                <m:r>
                  <m:t>1</m:t>
                </m:r>
              </m:num>
              <m:den>
                <m:r>
                  <m:t>C</m:t>
                </m:r>
              </m:den>
            </m:f>
            <m:nary>
              <m:naryPr>
                <m:chr m:val="∑"/>
                <m:limLoc m:val="undOvr"/>
                <m:grow m:val="1"/>
                <m:subHide m:val="off"/>
                <m:supHide m:val="off"/>
              </m:naryPr>
              <m:sub>
                <m:r>
                  <m:t>k=0</m:t>
                </m:r>
              </m:sub>
              <m:sup>
                <m:r>
                  <m:t>C−1</m:t>
                </m:r>
              </m:sup>
              <m:e/>
            </m:nary>
            <m:sSub>
              <m:e>
                <m:r>
                  <m:t>u</m:t>
                </m:r>
              </m:e>
              <m:sub>
                <m:r>
                  <m:t>k</m:t>
                </m:r>
              </m:sub>
            </m:sSub>
          </m:den>
        </m:f>
        <m:r>
          <m:t>,α∈{0.5,1}</m:t>
        </m:r>
      </m:oMath>
      <w:r>
        <w:rPr>
          <w:sz w:val="20"/>
        </w:rPr>
        <w:t xml:space="preserve">  (1)</w:t>
      </w:r>
    </w:p>
    <w:p>
      <w:pPr>
        <w:widowControl/>
      </w:pPr>
      <w:r>
        <w:t>α=0.5对应平方根逆频率，α=1对应逆频率；不加权模型是独立的α=0参照。权重的公共缩放不改变下式的分类损失，因为分子、分母同时缩放。若拟合子集中缺少某一类别，代码明确失败，避免通过无穷权重掩盖划分问题。</w:t>
      </w:r>
    </w:p>
    <w:p>
      <w:pPr>
        <w:pStyle w:val="Caption"/>
        <w:keepNext/>
        <w:widowControl/>
        <w:jc w:val="center"/>
      </w:pPr>
      <w:r>
        <w:t>表1 各内部拟合折估计的类别权重</w:t>
      </w:r>
    </w:p>
    <w:tbl>
      <w:tblPr>
        <w:tblW w:type="auto" w:w="0"/>
        <w:jc w:val="center"/>
        <w:tblLayout w:type="fixed"/>
        <w:tblLook w:firstColumn="1" w:firstRow="1" w:lastColumn="0" w:lastRow="0" w:noHBand="0" w:noVBand="1" w:val="04A0"/>
      </w:tblPr>
      <w:tblGrid>
        <w:gridCol w:w="2857"/>
        <w:gridCol w:w="762"/>
        <w:gridCol w:w="1962"/>
        <w:gridCol w:w="1972"/>
        <w:gridCol w:w="1972"/>
      </w:tblGrid>
      <w:tr>
        <w:trPr>
          <w:cantSplit/>
          <w:tblHeader/>
        </w:trPr>
        <w:tc>
          <w:tcPr>
            <w:tcW w:type="dxa" w:w="2857"/>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配置</w:t>
            </w:r>
          </w:p>
        </w:tc>
        <w:tc>
          <w:tcPr>
            <w:tcW w:type="dxa" w:w="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折</w:t>
            </w:r>
          </w:p>
        </w:tc>
        <w:tc>
          <w:tcPr>
            <w:tcW w:type="dxa" w:w="19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负向权重</w:t>
            </w:r>
          </w:p>
        </w:tc>
        <w:tc>
          <w:tcPr>
            <w:tcW w:type="dxa" w:w="197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中性权重</w:t>
            </w:r>
          </w:p>
        </w:tc>
        <w:tc>
          <w:tcPr>
            <w:tcW w:type="dxa" w:w="197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正向权重</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balanced_sqrt</w:t>
            </w:r>
          </w:p>
        </w:tc>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w:t>
            </w:r>
          </w:p>
        </w:tc>
        <w:tc>
          <w:tcPr>
            <w:tcW w:type="dxa" w:w="19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1.0374</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1.1772</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0.7854</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balanced_sqrt</w:t>
            </w:r>
          </w:p>
        </w:tc>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w:t>
            </w:r>
          </w:p>
        </w:tc>
        <w:tc>
          <w:tcPr>
            <w:tcW w:type="dxa" w:w="19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1.0436</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1.1670</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0.7895</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balanced_sqrt</w:t>
            </w:r>
          </w:p>
        </w:tc>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3</w:t>
            </w:r>
          </w:p>
        </w:tc>
        <w:tc>
          <w:tcPr>
            <w:tcW w:type="dxa" w:w="19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1.0328</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1.1730</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0.7943</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balanced_inverse</w:t>
            </w:r>
          </w:p>
        </w:tc>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w:t>
            </w:r>
          </w:p>
        </w:tc>
        <w:tc>
          <w:tcPr>
            <w:tcW w:type="dxa" w:w="19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1.0486</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1.3503</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0.6011</w:t>
            </w:r>
          </w:p>
        </w:tc>
      </w:tr>
      <w:tr>
        <w:trPr>
          <w:cantSplit/>
        </w:trPr>
        <w:tc>
          <w:tcPr>
            <w:tcW w:type="dxa" w:w="2857"/>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balanced_inverse</w:t>
            </w:r>
          </w:p>
        </w:tc>
        <w:tc>
          <w:tcPr>
            <w:tcW w:type="dxa" w:w="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2</w:t>
            </w:r>
          </w:p>
        </w:tc>
        <w:tc>
          <w:tcPr>
            <w:tcW w:type="dxa" w:w="19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1.0628</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1.3290</w:t>
            </w:r>
          </w:p>
        </w:tc>
        <w:tc>
          <w:tcPr>
            <w:tcW w:type="dxa" w:w="197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0.6082</w:t>
            </w:r>
          </w:p>
        </w:tc>
      </w:tr>
      <w:tr>
        <w:trPr>
          <w:cantSplit/>
        </w:trPr>
        <w:tc>
          <w:tcPr>
            <w:tcW w:type="dxa" w:w="2857"/>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balanced_inverse</w:t>
            </w:r>
          </w:p>
        </w:tc>
        <w:tc>
          <w:tcPr>
            <w:tcW w:type="dxa" w:w="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3</w:t>
            </w:r>
          </w:p>
        </w:tc>
        <w:tc>
          <w:tcPr>
            <w:tcW w:type="dxa" w:w="19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1.0412</w:t>
            </w:r>
          </w:p>
        </w:tc>
        <w:tc>
          <w:tcPr>
            <w:tcW w:type="dxa" w:w="197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1.3430</w:t>
            </w:r>
          </w:p>
        </w:tc>
        <w:tc>
          <w:tcPr>
            <w:tcW w:type="dxa" w:w="197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0.6158</w:t>
            </w:r>
          </w:p>
        </w:tc>
      </w:tr>
    </w:tbl>
    <w:p>
      <w:pPr>
        <w:widowControl/>
        <w:spacing w:after="20"/>
      </w:pPr>
    </w:p>
    <w:p>
      <w:pPr>
        <w:widowControl/>
      </w:pPr>
      <w:r>
        <w:t>对于有效批量B，模型输出分类概率p与连续强度预测。分类部分采用权重和归一化的交叉熵，回归部分保持原Huber损失及系数1不变：</w:t>
      </w:r>
    </w:p>
    <w:p>
      <w:pPr>
        <w:widowControl/>
        <w:spacing w:before="80" w:after="160"/>
        <w:ind w:firstLine="0"/>
        <w:jc w:val="center"/>
      </w:pPr>
      <m:oMath xmlns:mml="http://www.w3.org/1998/Math/MathML">
        <m:sSub>
          <m:e>
            <m:r>
              <m:t>ℒ</m:t>
            </m:r>
          </m:e>
          <m:sub>
            <m:r>
              <m:t>B</m:t>
            </m:r>
          </m:sub>
        </m:sSub>
        <m:r>
          <m:t>=−</m:t>
        </m:r>
        <m:f>
          <m:fPr>
            <m:type m:val="bar"/>
          </m:fPr>
          <m:num>
            <m:nary>
              <m:naryPr>
                <m:chr m:val="∑"/>
                <m:limLoc m:val="subSup"/>
                <m:grow m:val="1"/>
                <m:subHide m:val="off"/>
                <m:supHide m:val="on"/>
              </m:naryPr>
              <m:sub>
                <m:r>
                  <m:t>i∈B</m:t>
                </m:r>
              </m:sub>
              <m:sup/>
              <m:e>
                <m:sSub>
                  <m:e>
                    <m:r>
                      <m:t>w</m:t>
                    </m:r>
                  </m:e>
                  <m:sub>
                    <m:sSub>
                      <m:e>
                        <m:r>
                          <m:t>y</m:t>
                        </m:r>
                      </m:e>
                      <m:sub>
                        <m:r>
                          <m:t>i</m:t>
                        </m:r>
                      </m:sub>
                    </m:sSub>
                  </m:sub>
                </m:sSub>
                <m:r>
                  <m:rPr>
                    <m:sty m:val="p"/>
                  </m:rPr>
                  <m:t>log</m:t>
                </m:r>
                <m:sSub>
                  <m:e>
                    <m:r>
                      <m:t>p</m:t>
                    </m:r>
                  </m:e>
                  <m:sub>
                    <m:r>
                      <m:rPr>
                        <m:sty m:val="p"/>
                      </m:rPr>
                      <m:t>i,yᵢ</m:t>
                    </m:r>
                  </m:sub>
                </m:sSub>
              </m:e>
            </m:nary>
          </m:num>
          <m:den>
            <m:nary>
              <m:naryPr>
                <m:chr m:val="∑"/>
                <m:limLoc m:val="subSup"/>
                <m:grow m:val="1"/>
                <m:subHide m:val="off"/>
                <m:supHide m:val="on"/>
              </m:naryPr>
              <m:sub>
                <m:r>
                  <m:t>i∈B</m:t>
                </m:r>
              </m:sub>
              <m:sup/>
              <m:e/>
            </m:nary>
            <m:sSub>
              <m:e>
                <m:r>
                  <m:t>w</m:t>
                </m:r>
              </m:e>
              <m:sub>
                <m:sSub>
                  <m:e>
                    <m:r>
                      <m:t>y</m:t>
                    </m:r>
                  </m:e>
                  <m:sub>
                    <m:r>
                      <m:t>i</m:t>
                    </m:r>
                  </m:sub>
                </m:sSub>
              </m:sub>
            </m:sSub>
          </m:den>
        </m:f>
        <m:r>
          <m:t>+</m:t>
        </m:r>
        <m:f>
          <m:fPr>
            <m:type m:val="bar"/>
          </m:fPr>
          <m:num>
            <m:r>
              <m:t>1</m:t>
            </m:r>
          </m:num>
          <m:den>
            <m:r>
              <m:t>|B|</m:t>
            </m:r>
          </m:den>
        </m:f>
        <m:nary>
          <m:naryPr>
            <m:chr m:val="∑"/>
            <m:limLoc m:val="subSup"/>
            <m:grow m:val="1"/>
            <m:subHide m:val="off"/>
            <m:supHide m:val="on"/>
          </m:naryPr>
          <m:sub>
            <m:r>
              <m:t>i∈B</m:t>
            </m:r>
          </m:sub>
          <m:sup/>
          <m:e>
            <m:sSub>
              <m:e>
                <m:r>
                  <m:t>H</m:t>
                </m:r>
              </m:e>
              <m:sub>
                <m:r>
                  <m:t>1</m:t>
                </m:r>
              </m:sub>
            </m:sSub>
            <m:r>
              <m:t>(</m:t>
            </m:r>
            <m:sSub>
              <m:e>
                <m:acc>
                  <m:accPr>
                    <m:chr m:val="̂"/>
                  </m:accPr>
                  <m:e>
                    <m:r>
                      <m:t>s</m:t>
                    </m:r>
                  </m:e>
                </m:acc>
              </m:e>
              <m:sub>
                <m:r>
                  <m:t>i</m:t>
                </m:r>
              </m:sub>
            </m:sSub>
            <m:r>
              <m:t>−</m:t>
            </m:r>
            <m:sSub>
              <m:e>
                <m:r>
                  <m:t>s</m:t>
                </m:r>
              </m:e>
              <m:sub>
                <m:r>
                  <m:t>i</m:t>
                </m:r>
              </m:sub>
            </m:sSub>
            <m:r>
              <m:t>)</m:t>
            </m:r>
          </m:e>
        </m:nary>
      </m:oMath>
      <w:r>
        <w:rPr>
          <w:sz w:val="20"/>
        </w:rPr>
        <w:t xml:space="preserve">  (2)</w:t>
      </w:r>
    </w:p>
    <w:p>
      <w:pPr>
        <w:widowControl/>
      </w:pPr>
      <w:r>
        <w:t>其中y_i为类别标签，s_i为真实强度，H_1为阈值1的Huber函数。分类权重仅改变训练目标，不增加推理参数或额外网络分支；模型容量、词表和输入接口与第三轮相同。实际含义是改变训练错误的相对代价，而非自动校准预测概率。</w:t>
      </w:r>
    </w:p>
    <w:p>
      <w:pPr>
        <w:widowControl/>
      </w:pPr>
      <w:r>
        <w:t>若显存不足而将B拆为若干微批量B_j，不能先独立求各微批量的加权均值再简单平均，因为各微批量的类别组成可能不同。应使用整个有效批量的同一个权重和，累积每段对总目标的贡献：</w:t>
      </w:r>
    </w:p>
    <w:p>
      <w:pPr>
        <w:widowControl/>
        <w:spacing w:before="80" w:after="160"/>
        <w:ind w:firstLine="0"/>
        <w:jc w:val="center"/>
      </w:pPr>
      <m:oMath xmlns:mml="http://www.w3.org/1998/Math/MathML">
        <m:sSub>
          <m:e>
            <m:r>
              <m:t>ℒ</m:t>
            </m:r>
          </m:e>
          <m:sub>
            <m:r>
              <m:t>B</m:t>
            </m:r>
          </m:sub>
        </m:sSub>
        <m:r>
          <m:t>=</m:t>
        </m:r>
        <m:nary>
          <m:naryPr>
            <m:chr m:val="∑"/>
            <m:limLoc m:val="subSup"/>
            <m:grow m:val="1"/>
            <m:subHide m:val="off"/>
            <m:supHide m:val="on"/>
          </m:naryPr>
          <m:sub>
            <m:r>
              <m:t>j</m:t>
            </m:r>
          </m:sub>
          <m:sup/>
          <m:e/>
        </m:nary>
        <m:r>
          <m:t>[−</m:t>
        </m:r>
        <m:f>
          <m:fPr>
            <m:type m:val="bar"/>
          </m:fPr>
          <m:num>
            <m:nary>
              <m:naryPr>
                <m:chr m:val="∑"/>
                <m:limLoc m:val="subSup"/>
                <m:grow m:val="1"/>
                <m:subHide m:val="off"/>
                <m:supHide m:val="on"/>
              </m:naryPr>
              <m:sub>
                <m:r>
                  <m:t>i∈</m:t>
                </m:r>
                <m:sSub>
                  <m:e>
                    <m:r>
                      <m:t>B</m:t>
                    </m:r>
                  </m:e>
                  <m:sub>
                    <m:r>
                      <m:t>j</m:t>
                    </m:r>
                  </m:sub>
                </m:sSub>
              </m:sub>
              <m:sup/>
              <m:e/>
            </m:nary>
            <m:sSub>
              <m:e>
                <m:r>
                  <m:t>w</m:t>
                </m:r>
              </m:e>
              <m:sub>
                <m:sSub>
                  <m:e>
                    <m:r>
                      <m:t>y</m:t>
                    </m:r>
                  </m:e>
                  <m:sub>
                    <m:r>
                      <m:t>i</m:t>
                    </m:r>
                  </m:sub>
                </m:sSub>
              </m:sub>
            </m:sSub>
            <m:r>
              <m:rPr>
                <m:sty m:val="p"/>
              </m:rPr>
              <m:t>log</m:t>
            </m:r>
            <m:sSub>
              <m:e>
                <m:r>
                  <m:t>p</m:t>
                </m:r>
              </m:e>
              <m:sub>
                <m:r>
                  <m:rPr>
                    <m:sty m:val="p"/>
                  </m:rPr>
                  <m:t>i,yᵢ</m:t>
                </m:r>
              </m:sub>
            </m:sSub>
          </m:num>
          <m:den>
            <m:nary>
              <m:naryPr>
                <m:chr m:val="∑"/>
                <m:limLoc m:val="subSup"/>
                <m:grow m:val="1"/>
                <m:subHide m:val="off"/>
                <m:supHide m:val="on"/>
              </m:naryPr>
              <m:sub>
                <m:r>
                  <m:t>i∈B</m:t>
                </m:r>
              </m:sub>
              <m:sup/>
              <m:e/>
            </m:nary>
            <m:sSub>
              <m:e>
                <m:r>
                  <m:t>w</m:t>
                </m:r>
              </m:e>
              <m:sub>
                <m:sSub>
                  <m:e>
                    <m:r>
                      <m:t>y</m:t>
                    </m:r>
                  </m:e>
                  <m:sub>
                    <m:r>
                      <m:t>i</m:t>
                    </m:r>
                  </m:sub>
                </m:sSub>
              </m:sub>
            </m:sSub>
          </m:den>
        </m:f>
        <m:r>
          <m:t>+</m:t>
        </m:r>
        <m:f>
          <m:fPr>
            <m:type m:val="bar"/>
          </m:fPr>
          <m:num>
            <m:nary>
              <m:naryPr>
                <m:chr m:val="∑"/>
                <m:limLoc m:val="subSup"/>
                <m:grow m:val="1"/>
                <m:subHide m:val="off"/>
                <m:supHide m:val="on"/>
              </m:naryPr>
              <m:sub>
                <m:r>
                  <m:t>i∈</m:t>
                </m:r>
                <m:sSub>
                  <m:e>
                    <m:r>
                      <m:t>B</m:t>
                    </m:r>
                  </m:e>
                  <m:sub>
                    <m:r>
                      <m:t>j</m:t>
                    </m:r>
                  </m:sub>
                </m:sSub>
              </m:sub>
              <m:sup/>
              <m:e/>
            </m:nary>
            <m:sSub>
              <m:e>
                <m:r>
                  <m:t>H</m:t>
                </m:r>
              </m:e>
              <m:sub>
                <m:r>
                  <m:t>1</m:t>
                </m:r>
              </m:sub>
            </m:sSub>
            <m:r>
              <m:t>(</m:t>
            </m:r>
            <m:sSub>
              <m:e>
                <m:acc>
                  <m:accPr>
                    <m:chr m:val="̂"/>
                  </m:accPr>
                  <m:e>
                    <m:r>
                      <m:t>s</m:t>
                    </m:r>
                  </m:e>
                </m:acc>
              </m:e>
              <m:sub>
                <m:r>
                  <m:t>i</m:t>
                </m:r>
              </m:sub>
            </m:sSub>
            <m:r>
              <m:t>−</m:t>
            </m:r>
            <m:sSub>
              <m:e>
                <m:r>
                  <m:t>s</m:t>
                </m:r>
              </m:e>
              <m:sub>
                <m:r>
                  <m:t>i</m:t>
                </m:r>
              </m:sub>
            </m:sSub>
            <m:r>
              <m:t>)</m:t>
            </m:r>
          </m:num>
          <m:den>
            <m:r>
              <m:t>|B|</m:t>
            </m:r>
          </m:den>
        </m:f>
        <m:r>
          <m:t>]</m:t>
        </m:r>
      </m:oMath>
      <w:r>
        <w:rPr>
          <w:sz w:val="20"/>
        </w:rPr>
        <w:t xml:space="preserve">  (3)</w:t>
      </w:r>
    </w:p>
    <w:p>
      <w:pPr>
        <w:widowControl/>
      </w:pPr>
      <w:r>
        <w:t>代码对不同微批量大小与末尾不足整批的情况进行了梯度等价测试。实际实验仍采用有效批量32；若发生显存不足，事件日志记录微批量变化，不终止其他应用程序。本轮不通过额外标注数据、测试集阈值调整或附件3分布反馈改进指标。</w:t>
      </w:r>
    </w:p>
    <w:p>
      <w:pPr>
        <w:pStyle w:val="Heading1"/>
        <w:widowControl/>
      </w:pPr>
      <w:r>
        <w:t>3 预定比较协议与实现一致性</w:t>
      </w:r>
    </w:p>
    <w:p>
      <w:pPr>
        <w:widowControl/>
      </w:pPr>
      <w:r>
        <w:t>内部开发继续使用第三轮按视频分组的三折。每个候选仅改变分类权重强度，随机种子42，最多6轮、早停耐心3轮；标准化、原始预训练权重、完整词表、连续缺失训练概率0.7和AdamW参数保持一致。以九类主要缺失场景上的既有综合分数S选择最佳轮次，再用最佳轮数中位数确定官方训练确认的固定轮数。</w:t>
      </w:r>
    </w:p>
    <w:p>
      <w:pPr>
        <w:widowControl/>
        <w:spacing w:before="80" w:after="160"/>
        <w:ind w:firstLine="0"/>
        <w:jc w:val="center"/>
      </w:pPr>
      <m:oMath xmlns:mml="http://www.w3.org/1998/Math/MathML">
        <m:r>
          <m:t>S=0.5</m:t>
        </m:r>
        <m:sSub>
          <m:e>
            <m:acc>
              <m:accPr>
                <m:chr m:val="̅"/>
              </m:accPr>
              <m:e>
                <m:r>
                  <m:rPr>
                    <m:sty m:val="p"/>
                  </m:rPr>
                  <m:t>MacroF1</m:t>
                </m:r>
              </m:e>
            </m:acc>
          </m:e>
          <m:sub>
            <m:r>
              <m:rPr>
                <m:sty m:val="p"/>
              </m:rPr>
              <m:t>miss</m:t>
            </m:r>
          </m:sub>
        </m:sSub>
        <m:r>
          <m:t>+0.5</m:t>
        </m:r>
        <m:r>
          <m:t>(1−</m:t>
        </m:r>
        <m:f>
          <m:fPr>
            <m:type m:val="bar"/>
          </m:fPr>
          <m:num>
            <m:sSub>
              <m:e>
                <m:acc>
                  <m:accPr>
                    <m:chr m:val="̅"/>
                  </m:accPr>
                  <m:e>
                    <m:r>
                      <m:rPr>
                        <m:sty m:val="p"/>
                      </m:rPr>
                      <m:t>MAE</m:t>
                    </m:r>
                  </m:e>
                </m:acc>
              </m:e>
              <m:sub>
                <m:r>
                  <m:rPr>
                    <m:sty m:val="p"/>
                  </m:rPr>
                  <m:t>miss</m:t>
                </m:r>
              </m:sub>
            </m:sSub>
          </m:num>
          <m:den>
            <m:r>
              <m:t>6</m:t>
            </m:r>
          </m:den>
        </m:f>
        <m:r>
          <m:t>)</m:t>
        </m:r>
      </m:oMath>
      <w:r>
        <w:rPr>
          <w:sz w:val="20"/>
        </w:rPr>
        <w:t xml:space="preserve">  (4)</w:t>
      </w:r>
    </w:p>
    <w:p>
      <w:pPr>
        <w:widowControl/>
      </w:pPr>
      <w:r>
        <w:t>S是团队内部选择准则，不是比赛官方评分公式。候选须至少在两个内部折提高S，同时完整输入平均Macro-F1下降不超过0.01、MAE增加不超过0.03。在满足条件者中只将均值最高的一个候选送入官方验证确认。种子42、2026、3407逐一配对第三轮结果；至少两个配对和总体均值同时改善S并通过上述完整输入保护条件，才替换正式模型。</w:t>
      </w:r>
    </w:p>
    <w:p>
      <w:pPr>
        <w:widowControl/>
      </w:pPr>
      <w:r>
        <w:t>为确认软件修改没有改变对照条件，先重跑不加权配置的第1折。重跑与第三轮对应模型的217个参数张量逐项完全一致，最大绝对差为0.0，选择分数差为0.0。该检查支持在同环境与同配方下复用旧对照；不能推广为跨硬件逐位一致保证。</w:t>
      </w:r>
    </w:p>
    <w:p>
      <w:pPr>
        <w:pStyle w:val="Heading1"/>
        <w:widowControl/>
      </w:pPr>
      <w:r>
        <w:t>4 内部三折结果</w:t>
      </w:r>
    </w:p>
    <w:p>
      <w:pPr>
        <w:pStyle w:val="Caption"/>
        <w:keepNext/>
        <w:widowControl/>
        <w:jc w:val="center"/>
      </w:pPr>
      <w:r>
        <w:t>表2 内部三折算术均值</w:t>
      </w:r>
    </w:p>
    <w:tbl>
      <w:tblPr>
        <w:tblW w:type="auto" w:w="0"/>
        <w:jc w:val="center"/>
        <w:tblLayout w:type="fixed"/>
        <w:tblLook w:firstColumn="1" w:firstRow="1" w:lastColumn="0" w:lastRow="0" w:noHBand="0" w:noVBand="1" w:val="04A0"/>
      </w:tblPr>
      <w:tblGrid>
        <w:gridCol w:w="2286"/>
        <w:gridCol w:w="1448"/>
        <w:gridCol w:w="1448"/>
        <w:gridCol w:w="1448"/>
        <w:gridCol w:w="1448"/>
        <w:gridCol w:w="1448"/>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配置</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完整F1</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完整MAE</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缺失F1</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缺失MAE</w:t>
            </w:r>
          </w:p>
        </w:tc>
        <w:tc>
          <w:tcPr>
            <w:tcW w:type="dxa" w:w="1448"/>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S</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不加权参照</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0.6218</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0.6050</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0.6038</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0.6241</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0.7499</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balanced_sqrt</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0.6294</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0.6059</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0.6092</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0.6250</w:t>
            </w:r>
          </w:p>
        </w:tc>
        <w:tc>
          <w:tcPr>
            <w:tcW w:type="dxa" w:w="1448"/>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0.7525</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balanced_inverse</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0.6327</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0.6147</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0.6124</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0.6325</w:t>
            </w:r>
          </w:p>
        </w:tc>
        <w:tc>
          <w:tcPr>
            <w:tcW w:type="dxa" w:w="1448"/>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0.7535</w:t>
            </w:r>
          </w:p>
        </w:tc>
      </w:tr>
    </w:tbl>
    <w:p>
      <w:pPr>
        <w:widowControl/>
        <w:spacing w:after="20"/>
      </w:pPr>
    </w:p>
    <w:p>
      <w:pPr>
        <w:widowControl/>
      </w:pPr>
      <w:r>
        <w:t>balanced_sqrt在2/3折提高S，平均差为+0.00263；中性F1均值为0.4611。其内部保护条件判定为通过。该比较使用各配置在内部验证上选定的最佳轮次，反映受同一预算约束的整体训练方案差异，不是未经选择的泛化性能估计。</w:t>
      </w:r>
    </w:p>
    <w:p>
      <w:pPr>
        <w:widowControl/>
      </w:pPr>
      <w:r>
        <w:t>balanced_inverse在2/3折提高S，平均差为+0.00360；中性F1均值为0.4646。其内部保护条件判定为通过。该比较使用各配置在内部验证上选定的最佳轮次，反映受同一预算约束的整体训练方案差异，不是未经选择的泛化性能估计。</w:t>
      </w:r>
    </w:p>
    <w:p>
      <w:pPr>
        <w:keepNext/>
        <w:widowControl/>
        <w:ind w:firstLine="0"/>
        <w:jc w:val="center"/>
      </w:pPr>
      <w:r>
        <w:drawing>
          <wp:inline xmlns:a="http://schemas.openxmlformats.org/drawingml/2006/main" xmlns:pic="http://schemas.openxmlformats.org/drawingml/2006/picture">
            <wp:extent cx="5940000" cy="2707347"/>
            <wp:docPr id="1" name="Picture 1" descr="图1 内部三折配对比较，折验证样本量依次为1205、1093、1097。每个彩色点代表一折，灰线连接同一折，黑色短线为三折算术均值；这些点不是独立重复实验或置信区间。分数与F1均越高越好。"/>
            <wp:cNvGraphicFramePr>
              <a:graphicFrameLocks noChangeAspect="1"/>
            </wp:cNvGraphicFramePr>
            <a:graphic>
              <a:graphicData uri="http://schemas.openxmlformats.org/drawingml/2006/picture">
                <pic:pic>
                  <pic:nvPicPr>
                    <pic:cNvPr id="0" name="r4_01_internal.png"/>
                    <pic:cNvPicPr/>
                  </pic:nvPicPr>
                  <pic:blipFill>
                    <a:blip r:embed="rId9"/>
                    <a:stretch>
                      <a:fillRect/>
                    </a:stretch>
                  </pic:blipFill>
                  <pic:spPr>
                    <a:xfrm>
                      <a:off x="0" y="0"/>
                      <a:ext cx="5940000" cy="2707347"/>
                    </a:xfrm>
                    <a:prstGeom prst="rect"/>
                  </pic:spPr>
                </pic:pic>
              </a:graphicData>
            </a:graphic>
          </wp:inline>
        </w:drawing>
      </w:r>
    </w:p>
    <w:p>
      <w:pPr>
        <w:pStyle w:val="Caption"/>
        <w:keepLines/>
        <w:widowControl/>
        <w:jc w:val="left"/>
      </w:pPr>
      <w:r>
        <w:t>图1 内部三折配对比较，折验证样本量依次为1205、1093、1097。每个彩色点代表一折，灰线连接同一折，黑色短线为三折算术均值；这些点不是独立重复实验或置信区间。分数与F1均越高越好。</w:t>
      </w:r>
    </w:p>
    <w:p>
      <w:pPr>
        <w:pStyle w:val="Heading1"/>
        <w:pageBreakBefore/>
        <w:widowControl/>
      </w:pPr>
      <w:r>
        <w:t>5 三种子确认与不确定性</w:t>
      </w:r>
    </w:p>
    <w:p>
      <w:pPr>
        <w:pStyle w:val="Caption"/>
        <w:keepNext/>
        <w:widowControl/>
        <w:jc w:val="center"/>
      </w:pPr>
      <w:r>
        <w:t>表3 官方验证集三种子确认均值与样本标准差</w:t>
      </w:r>
    </w:p>
    <w:tbl>
      <w:tblPr>
        <w:tblW w:type="auto" w:w="0"/>
        <w:jc w:val="center"/>
        <w:tblLayout w:type="fixed"/>
        <w:tblLook w:firstColumn="1" w:firstRow="1" w:lastColumn="0" w:lastRow="0" w:noHBand="0" w:noVBand="1" w:val="04A0"/>
      </w:tblPr>
      <w:tblGrid>
        <w:gridCol w:w="2381"/>
        <w:gridCol w:w="2762"/>
        <w:gridCol w:w="2762"/>
        <w:gridCol w:w="1619"/>
      </w:tblGrid>
      <w:tr>
        <w:trPr>
          <w:cantSplit/>
          <w:tblHeader/>
        </w:trPr>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指标</w:t>
            </w:r>
          </w:p>
        </w:tc>
        <w:tc>
          <w:tcPr>
            <w:tcW w:type="dxa" w:w="2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第三轮参照</w:t>
            </w:r>
          </w:p>
        </w:tc>
        <w:tc>
          <w:tcPr>
            <w:tcW w:type="dxa" w:w="2762"/>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新增候选</w:t>
            </w:r>
          </w:p>
        </w:tc>
        <w:tc>
          <w:tcPr>
            <w:tcW w:type="dxa" w:w="161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均值差</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完整Accuracy</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0.6369 ± 0.0042</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0.6277 ± 0.0060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-0.0092</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完整Macro-F1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0.5959 ± 0.0059</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0.6163 ± 0.0040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+0.0204</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完整MAE</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0.5783 ± 0.0060</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0.5790 ± 0.0099</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+0.0006</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完整Pearson</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0.6815 ± 0.0063</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0.6816 ± 0.0086</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+0.0001</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负向类别F1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0.6770 ± 0.0109</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0.6728 ± 0.0070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-0.0042</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中性类别F1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0.3871 ± 0.0133</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0.4808 ± 0.0062</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+0.0937</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正向类别F1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0.7238 ± 0.0020</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0.6954 ± 0.0140</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-0.0284</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缺失平均Macro-F1</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0.5862 ± 0.0018</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0.6026 ± 0.0013</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+0.0164</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left"/>
            </w:pPr>
            <w:r>
              <w:rPr>
                <w:b w:val="0"/>
                <w:sz w:val="18"/>
              </w:rPr>
              <w:t>缺失平均MAE</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0.5906 ± 0.0067</w:t>
            </w:r>
          </w:p>
        </w:tc>
        <w:tc>
          <w:tcPr>
            <w:tcW w:type="dxa" w:w="2762"/>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0.5909 ± 0.0101</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val="0"/>
              <w:spacing w:before="40" w:after="40" w:line="259" w:lineRule="auto"/>
              <w:ind w:firstLine="0"/>
              <w:jc w:val="center"/>
            </w:pPr>
            <w:r>
              <w:rPr>
                <w:b w:val="0"/>
                <w:sz w:val="18"/>
              </w:rPr>
              <w:t>+0.0002</w:t>
            </w:r>
          </w:p>
        </w:tc>
      </w:tr>
      <w:tr>
        <w:trPr>
          <w:cantSplit/>
        </w:trPr>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内部选择分数S</w:t>
            </w:r>
          </w:p>
        </w:tc>
        <w:tc>
          <w:tcPr>
            <w:tcW w:type="dxa" w:w="2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0.7439 ± 0.0009</w:t>
            </w:r>
          </w:p>
        </w:tc>
        <w:tc>
          <w:tcPr>
            <w:tcW w:type="dxa" w:w="2762"/>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0.7521 ± 0.0008</w:t>
            </w:r>
          </w:p>
        </w:tc>
        <w:tc>
          <w:tcPr>
            <w:tcW w:type="dxa" w:w="161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+0.0082</w:t>
            </w:r>
          </w:p>
        </w:tc>
      </w:tr>
    </w:tbl>
    <w:p>
      <w:pPr>
        <w:widowControl/>
        <w:spacing w:after="20"/>
      </w:pPr>
    </w:p>
    <w:p>
      <w:pPr>
        <w:pStyle w:val="Caption"/>
        <w:keepNext/>
        <w:widowControl/>
        <w:jc w:val="center"/>
      </w:pPr>
      <w:r>
        <w:t>表4 同种子配对的预定保护条件</w:t>
      </w:r>
    </w:p>
    <w:tbl>
      <w:tblPr>
        <w:tblW w:type="auto" w:w="0"/>
        <w:jc w:val="center"/>
        <w:tblLayout w:type="fixed"/>
        <w:tblLook w:firstColumn="1" w:firstRow="1" w:lastColumn="0" w:lastRow="0" w:noHBand="0" w:noVBand="1" w:val="04A0"/>
      </w:tblPr>
      <w:tblGrid>
        <w:gridCol w:w="1429"/>
        <w:gridCol w:w="2191"/>
        <w:gridCol w:w="2191"/>
        <w:gridCol w:w="2286"/>
        <w:gridCol w:w="1429"/>
      </w:tblGrid>
      <w:tr>
        <w:trPr>
          <w:cantSplit/>
          <w:tblHeader/>
        </w:trPr>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种子</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ΔS</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Δ完整F1</w:t>
            </w:r>
          </w:p>
        </w:tc>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Δ完整MAE</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通过</w:t>
            </w:r>
          </w:p>
        </w:tc>
      </w:tr>
      <w:tr>
        <w:trPr>
          <w:cantSplit/>
        </w:trPr>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42</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+0.00858</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+0.0220</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-0.0005</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是</w:t>
            </w:r>
          </w:p>
        </w:tc>
      </w:tr>
      <w:tr>
        <w:trPr>
          <w:cantSplit/>
        </w:trPr>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2026</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+0.00789</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+0.0215</w:t>
            </w:r>
          </w:p>
        </w:tc>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是</w:t>
            </w:r>
          </w:p>
        </w:tc>
      </w:tr>
      <w:tr>
        <w:trPr>
          <w:cantSplit/>
        </w:trPr>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3407</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+0.00814</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+0.0175</w:t>
            </w:r>
          </w:p>
        </w:tc>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-0.0027</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是</w:t>
            </w:r>
          </w:p>
        </w:tc>
      </w:tr>
    </w:tbl>
    <w:p>
      <w:pPr>
        <w:widowControl/>
        <w:spacing w:after="20"/>
      </w:pPr>
    </w:p>
    <w:p>
      <w:pPr>
        <w:widowControl/>
      </w:pPr>
      <w:r>
        <w:t>三种子确认使用固定4轮训练，不在官方验证上再次挑选轮次、阈值或候选。最终判定为通过，替换正式模型。三种子标准差只刻画本次种子波动；样本量较少，不宜把它表述为充分的随机性保证。</w:t>
      </w:r>
    </w:p>
    <w:p>
      <w:pPr>
        <w:keepNext/>
        <w:widowControl/>
        <w:ind w:firstLine="0"/>
        <w:jc w:val="center"/>
      </w:pPr>
      <w:r>
        <w:drawing>
          <wp:inline xmlns:a="http://schemas.openxmlformats.org/drawingml/2006/main" xmlns:pic="http://schemas.openxmlformats.org/drawingml/2006/picture">
            <wp:extent cx="5940000" cy="2617551"/>
            <wp:docPr id="2" name="Picture 2" descr="图2 官方验证集728条样本的三种子确认。圆点与方点为逐种子结果，连线保持相同种子配对，菱形与误差线为均值±样本标准差；标准差不是Bootstrap置信区间。F1越高越好，MAE越低越好。"/>
            <wp:cNvGraphicFramePr>
              <a:graphicFrameLocks noChangeAspect="1"/>
            </wp:cNvGraphicFramePr>
            <a:graphic>
              <a:graphicData uri="http://schemas.openxmlformats.org/drawingml/2006/picture">
                <pic:pic>
                  <pic:nvPicPr>
                    <pic:cNvPr id="0" name="r4_02_seeds.png"/>
                    <pic:cNvPicPr/>
                  </pic:nvPicPr>
                  <pic:blipFill>
                    <a:blip r:embed="rId10"/>
                    <a:stretch>
                      <a:fillRect/>
                    </a:stretch>
                  </pic:blipFill>
                  <pic:spPr>
                    <a:xfrm>
                      <a:off x="0" y="0"/>
                      <a:ext cx="5940000" cy="2617551"/>
                    </a:xfrm>
                    <a:prstGeom prst="rect"/>
                  </pic:spPr>
                </pic:pic>
              </a:graphicData>
            </a:graphic>
          </wp:inline>
        </w:drawing>
      </w:r>
    </w:p>
    <w:p>
      <w:pPr>
        <w:pStyle w:val="Caption"/>
        <w:keepLines/>
        <w:widowControl/>
        <w:jc w:val="left"/>
      </w:pPr>
      <w:r>
        <w:t>图2 官方验证集728条样本的三种子确认。圆点与方点为逐种子结果，连线保持相同种子配对，菱形与误差线为均值±样本标准差；标准差不是Bootstrap置信区间。F1越高越好，MAE越低越好。</w:t>
      </w:r>
    </w:p>
    <w:p>
      <w:pPr>
        <w:pStyle w:val="Caption"/>
        <w:keepNext/>
        <w:widowControl/>
        <w:jc w:val="center"/>
      </w:pPr>
      <w:r>
        <w:t>表5 种子42模型差异的95%视频分组配对Bootstrap区间</w:t>
      </w:r>
    </w:p>
    <w:tbl>
      <w:tblPr>
        <w:tblW w:type="auto" w:w="0"/>
        <w:jc w:val="center"/>
        <w:tblLayout w:type="fixed"/>
        <w:tblLook w:firstColumn="1" w:firstRow="1" w:lastColumn="0" w:lastRow="0" w:noHBand="0" w:noVBand="1" w:val="04A0"/>
      </w:tblPr>
      <w:tblGrid>
        <w:gridCol w:w="2286"/>
        <w:gridCol w:w="2095"/>
        <w:gridCol w:w="1619"/>
        <w:gridCol w:w="3524"/>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场景</w:t>
            </w:r>
          </w:p>
        </w:tc>
        <w:tc>
          <w:tcPr>
            <w:tcW w:type="dxa" w:w="2095"/>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指标</w:t>
            </w:r>
          </w:p>
        </w:tc>
        <w:tc>
          <w:tcPr>
            <w:tcW w:type="dxa" w:w="161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差值</w:t>
            </w:r>
          </w:p>
        </w:tc>
        <w:tc>
          <w:tcPr>
            <w:tcW w:type="dxa" w:w="3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区间</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clean</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macro_f1</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+0.0220</w:t>
            </w:r>
          </w:p>
        </w:tc>
        <w:tc>
          <w:tcPr>
            <w:tcW w:type="dxa" w:w="3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[-0.0079, +0.0525]</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clean</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mae</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-0.0005</w:t>
            </w:r>
          </w:p>
        </w:tc>
        <w:tc>
          <w:tcPr>
            <w:tcW w:type="dxa" w:w="3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[-0.0058, +0.0050]</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missing_average</w:t>
            </w:r>
          </w:p>
        </w:tc>
        <w:tc>
          <w:tcPr>
            <w:tcW w:type="dxa" w:w="2095"/>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macro_f1</w:t>
            </w:r>
          </w:p>
        </w:tc>
        <w:tc>
          <w:tcPr>
            <w:tcW w:type="dxa" w:w="161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+0.0170</w:t>
            </w:r>
          </w:p>
        </w:tc>
        <w:tc>
          <w:tcPr>
            <w:tcW w:type="dxa" w:w="3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[-0.0052, +0.0397]</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missing_average</w:t>
            </w:r>
          </w:p>
        </w:tc>
        <w:tc>
          <w:tcPr>
            <w:tcW w:type="dxa" w:w="2095"/>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mae</w:t>
            </w:r>
          </w:p>
        </w:tc>
        <w:tc>
          <w:tcPr>
            <w:tcW w:type="dxa" w:w="161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-0.0007</w:t>
            </w:r>
          </w:p>
        </w:tc>
        <w:tc>
          <w:tcPr>
            <w:tcW w:type="dxa" w:w="3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[-0.0053, +0.0040]</w:t>
            </w:r>
          </w:p>
        </w:tc>
      </w:tr>
    </w:tbl>
    <w:p>
      <w:pPr>
        <w:widowControl/>
        <w:spacing w:after="20"/>
      </w:pPr>
    </w:p>
    <w:p>
      <w:pPr>
        <w:widowControl/>
      </w:pPr>
      <w:r>
        <w:t>表5采用相同视频分组抽样同时作用于两个模型和各场景，共2000次重采样。区间跨零的指标不能据此声称方向明确；区间未跨零也只是在固定预测与该划分条件下的证据，不能消除前几轮研究及本轮候选选择造成的偏差。</w:t>
      </w:r>
    </w:p>
    <w:p>
      <w:pPr>
        <w:pStyle w:val="Heading1"/>
        <w:widowControl/>
      </w:pPr>
      <w:r>
        <w:t>6 中性类别与双输出的一致性解释</w:t>
      </w:r>
    </w:p>
    <w:p>
      <w:pPr>
        <w:keepNext/>
        <w:widowControl/>
        <w:ind w:firstLine="0"/>
        <w:jc w:val="center"/>
      </w:pPr>
      <w:r>
        <w:drawing>
          <wp:inline xmlns:a="http://schemas.openxmlformats.org/drawingml/2006/main" xmlns:pic="http://schemas.openxmlformats.org/drawingml/2006/picture">
            <wp:extent cx="5940000" cy="2529223"/>
            <wp:docPr id="3" name="Picture 3" descr="图3 固定种子42的完整官方验证集混淆矩阵，两个模型均使用相同728条样本。格内同时给出计数与真实类别内比例，两图使用共同色标。"/>
            <wp:cNvGraphicFramePr>
              <a:graphicFrameLocks noChangeAspect="1"/>
            </wp:cNvGraphicFramePr>
            <a:graphic>
              <a:graphicData uri="http://schemas.openxmlformats.org/drawingml/2006/picture">
                <pic:pic>
                  <pic:nvPicPr>
                    <pic:cNvPr id="0" name="r4_03_confusion.png"/>
                    <pic:cNvPicPr/>
                  </pic:nvPicPr>
                  <pic:blipFill>
                    <a:blip r:embed="rId11"/>
                    <a:stretch>
                      <a:fillRect/>
                    </a:stretch>
                  </pic:blipFill>
                  <pic:spPr>
                    <a:xfrm>
                      <a:off x="0" y="0"/>
                      <a:ext cx="5940000" cy="2529223"/>
                    </a:xfrm>
                    <a:prstGeom prst="rect"/>
                  </pic:spPr>
                </pic:pic>
              </a:graphicData>
            </a:graphic>
          </wp:inline>
        </w:drawing>
      </w:r>
    </w:p>
    <w:p>
      <w:pPr>
        <w:pStyle w:val="Caption"/>
        <w:keepLines/>
        <w:widowControl/>
        <w:jc w:val="left"/>
      </w:pPr>
      <w:r>
        <w:t>图3 固定种子42的完整官方验证集混淆矩阵，两个模型均使用相同728条样本。格内同时给出计数与真实类别内比例，两图使用共同色标。</w:t>
      </w:r>
    </w:p>
    <w:p>
      <w:pPr>
        <w:pStyle w:val="Caption"/>
        <w:keepNext/>
        <w:widowControl/>
        <w:jc w:val="center"/>
      </w:pPr>
      <w:r>
        <w:t>表6 类别权衡的补充分组Bootstrap诊断</w:t>
      </w:r>
    </w:p>
    <w:tbl>
      <w:tblPr>
        <w:tblW w:type="auto" w:w="0"/>
        <w:jc w:val="center"/>
        <w:tblLayout w:type="fixed"/>
        <w:tblLook w:firstColumn="1" w:firstRow="1" w:lastColumn="0" w:lastRow="0" w:noHBand="0" w:noVBand="1" w:val="04A0"/>
      </w:tblPr>
      <w:tblGrid>
        <w:gridCol w:w="2381"/>
        <w:gridCol w:w="1429"/>
        <w:gridCol w:w="1429"/>
        <w:gridCol w:w="4286"/>
      </w:tblGrid>
      <w:tr>
        <w:trPr>
          <w:cantSplit/>
          <w:tblHeader/>
        </w:trPr>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指标</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第三轮</w:t>
            </w:r>
          </w:p>
        </w:tc>
        <w:tc>
          <w:tcPr>
            <w:tcW w:type="dxa" w:w="1429"/>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第四轮</w:t>
            </w:r>
          </w:p>
        </w:tc>
        <w:tc>
          <w:tcPr>
            <w:tcW w:type="dxa" w:w="4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差值及95%区间</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accuracy</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0.6332</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0.6209</w:t>
            </w:r>
          </w:p>
        </w:tc>
        <w:tc>
          <w:tcPr>
            <w:tcW w:type="dxa" w:w="4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-0.0124 [-0.0427, +0.0176]</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negative_f1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0.6650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0.6750</w:t>
            </w:r>
          </w:p>
        </w:tc>
        <w:tc>
          <w:tcPr>
            <w:tcW w:type="dxa" w:w="4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+0.0100 [-0.0083, +0.0300]</w:t>
            </w:r>
          </w:p>
        </w:tc>
      </w:tr>
      <w:tr>
        <w:trPr>
          <w:cantSplit/>
        </w:trPr>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neutral_f1</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0.3810</w:t>
            </w:r>
          </w:p>
        </w:tc>
        <w:tc>
          <w:tcPr>
            <w:tcW w:type="dxa" w:w="1429"/>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0.4810</w:t>
            </w:r>
          </w:p>
        </w:tc>
        <w:tc>
          <w:tcPr>
            <w:tcW w:type="dxa" w:w="4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+0.1000 [+0.0395, +0.1617]</w:t>
            </w:r>
          </w:p>
        </w:tc>
      </w:tr>
      <w:tr>
        <w:trPr>
          <w:cantSplit/>
        </w:trPr>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positive_f1</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0.7231</w:t>
            </w:r>
          </w:p>
        </w:tc>
        <w:tc>
          <w:tcPr>
            <w:tcW w:type="dxa" w:w="1429"/>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0.6792</w:t>
            </w:r>
          </w:p>
        </w:tc>
        <w:tc>
          <w:tcPr>
            <w:tcW w:type="dxa" w:w="4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-0.0439 [-0.0806, -0.0108]</w:t>
            </w:r>
          </w:p>
        </w:tc>
      </w:tr>
    </w:tbl>
    <w:p>
      <w:pPr>
        <w:widowControl/>
        <w:spacing w:after="20"/>
      </w:pPr>
    </w:p>
    <w:p>
      <w:pPr>
        <w:widowControl/>
      </w:pPr>
      <w:r>
        <w:t>类别权重改变了不同类别之间的错误代价，不能将宏平均F1提升表述为全面胜出。种子42的结果显示，中性识别改善伴随正向类别F1和整体Accuracy下降；表3保留其余种子的同类指标，表6同时报告全部类别与Accuracy，避免只展示有利类别。这些区间属于固定模型的次级描述分析，未用于选择，也未作多重比较校正。</w:t>
      </w:r>
    </w:p>
    <w:p>
      <w:pPr>
        <w:widowControl/>
      </w:pPr>
      <w:r>
        <w:t>三分类与强度回归是不同损失下的两个输出。若将所有非零回归值直接按符号分为正负，而只有精确零对应中性，则预测为中性的样本几乎都会被计入“类别与回归不一致”。这一严格定义容易把接近零的正常连续输出混入真正的正负方向冲突。因此，应分解统计，而不能把总不一致率直接称为模型自相矛盾率。</w:t>
      </w:r>
    </w:p>
    <w:p>
      <w:pPr>
        <w:pStyle w:val="Caption"/>
        <w:keepNext/>
        <w:widowControl/>
        <w:jc w:val="center"/>
      </w:pPr>
      <w:r>
        <w:t>表7 完整验证集的严格符号不一致分解</w:t>
      </w:r>
    </w:p>
    <w:tbl>
      <w:tblPr>
        <w:tblW w:type="auto" w:w="0"/>
        <w:jc w:val="center"/>
        <w:tblLayout w:type="fixed"/>
        <w:tblLook w:firstColumn="1" w:firstRow="1" w:lastColumn="0" w:lastRow="0" w:noHBand="0" w:noVBand="1" w:val="04A0"/>
      </w:tblPr>
      <w:tblGrid>
        <w:gridCol w:w="1714"/>
        <w:gridCol w:w="1524"/>
        <w:gridCol w:w="2381"/>
        <w:gridCol w:w="2191"/>
        <w:gridCol w:w="1714"/>
      </w:tblGrid>
      <w:tr>
        <w:trPr>
          <w:cantSplit/>
          <w:tblHeader/>
        </w:trPr>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52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总不一致</w:t>
            </w:r>
          </w:p>
        </w:tc>
        <w:tc>
          <w:tcPr>
            <w:tcW w:type="dxa" w:w="238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中性类且回归非零</w:t>
            </w:r>
          </w:p>
        </w:tc>
        <w:tc>
          <w:tcPr>
            <w:tcW w:type="dxa" w:w="2191"/>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非中性正负相反</w:t>
            </w:r>
          </w:p>
        </w:tc>
        <w:tc>
          <w:tcPr>
            <w:tcW w:type="dxa" w:w="1714"/>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非中性且回归为零</w:t>
            </w:r>
          </w:p>
        </w:tc>
      </w:tr>
      <w:tr>
        <w:trPr>
          <w:cantSplit/>
        </w:trPr>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第三轮</w:t>
            </w:r>
          </w:p>
        </w:tc>
        <w:tc>
          <w:tcPr>
            <w:tcW w:type="dxa" w:w="152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140</w:t>
            </w:r>
          </w:p>
        </w:tc>
        <w:tc>
          <w:tcPr>
            <w:tcW w:type="dxa" w:w="238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131</w:t>
            </w:r>
          </w:p>
        </w:tc>
        <w:tc>
          <w:tcPr>
            <w:tcW w:type="dxa" w:w="2191"/>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9</w:t>
            </w:r>
          </w:p>
        </w:tc>
        <w:tc>
          <w:tcPr>
            <w:tcW w:type="dxa" w:w="1714"/>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w:t>
            </w:r>
          </w:p>
        </w:tc>
      </w:tr>
      <w:tr>
        <w:trPr>
          <w:cantSplit/>
        </w:trPr>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最终冻结模型</w:t>
            </w:r>
          </w:p>
        </w:tc>
        <w:tc>
          <w:tcPr>
            <w:tcW w:type="dxa" w:w="152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249</w:t>
            </w:r>
          </w:p>
        </w:tc>
        <w:tc>
          <w:tcPr>
            <w:tcW w:type="dxa" w:w="238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236</w:t>
            </w:r>
          </w:p>
        </w:tc>
        <w:tc>
          <w:tcPr>
            <w:tcW w:type="dxa" w:w="2191"/>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13</w:t>
            </w:r>
          </w:p>
        </w:tc>
        <w:tc>
          <w:tcPr>
            <w:tcW w:type="dxa" w:w="1714"/>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w:t>
            </w:r>
          </w:p>
        </w:tc>
      </w:tr>
    </w:tbl>
    <w:p>
      <w:pPr>
        <w:widowControl/>
        <w:spacing w:after="20"/>
      </w:pPr>
    </w:p>
    <w:p>
      <w:pPr>
        <w:widowControl/>
      </w:pPr>
      <w:r>
        <w:t>该分解仅用于解释现有诊断指标，没有据官方验证重新设定回归阈值或改写预测。中性类别的精确率、召回率和F1仍按官方离散标签计算，强度误差仍按原连续标签计算。模型没有承诺两个任务在每条样本上满足确定性的符号约束。</w:t>
      </w:r>
    </w:p>
    <w:p>
      <w:pPr>
        <w:keepNext/>
        <w:widowControl/>
        <w:ind w:firstLine="0"/>
        <w:jc w:val="center"/>
      </w:pPr>
      <w:r>
        <w:drawing>
          <wp:inline xmlns:a="http://schemas.openxmlformats.org/drawingml/2006/main" xmlns:pic="http://schemas.openxmlformats.org/drawingml/2006/picture">
            <wp:extent cx="5940000" cy="3919592"/>
            <wp:docPr id="4" name="Picture 4" descr="图4 官方验证集连续缺失比例响应。线为三种子均值，阴影为±一个样本标准差，0%为完整输入；横轴是名义特征位置比例，非秒数。各行共用纵轴，保留非单调变化。Macro-F1越高越好，MAE越低越好。"/>
            <wp:cNvGraphicFramePr>
              <a:graphicFrameLocks noChangeAspect="1"/>
            </wp:cNvGraphicFramePr>
            <a:graphic>
              <a:graphicData uri="http://schemas.openxmlformats.org/drawingml/2006/picture">
                <pic:pic>
                  <pic:nvPicPr>
                    <pic:cNvPr id="0" name="r4_04_missing.png"/>
                    <pic:cNvPicPr/>
                  </pic:nvPicPr>
                  <pic:blipFill>
                    <a:blip r:embed="rId12"/>
                    <a:stretch>
                      <a:fillRect/>
                    </a:stretch>
                  </pic:blipFill>
                  <pic:spPr>
                    <a:xfrm>
                      <a:off x="0" y="0"/>
                      <a:ext cx="5940000" cy="3919592"/>
                    </a:xfrm>
                    <a:prstGeom prst="rect"/>
                  </pic:spPr>
                </pic:pic>
              </a:graphicData>
            </a:graphic>
          </wp:inline>
        </w:drawing>
      </w:r>
    </w:p>
    <w:p>
      <w:pPr>
        <w:pStyle w:val="Caption"/>
        <w:keepLines/>
        <w:widowControl/>
        <w:jc w:val="left"/>
      </w:pPr>
      <w:r>
        <w:t>图4 官方验证集连续缺失比例响应。线为三种子均值，阴影为±一个样本标准差，0%为完整输入；横轴是名义特征位置比例，非秒数。各行共用纵轴，保留非单调变化。Macro-F1越高越好，MAE越低越好。</w:t>
      </w:r>
    </w:p>
    <w:p>
      <w:pPr>
        <w:widowControl/>
      </w:pPr>
      <w:r>
        <w:t>图4保留各模态的完整输入参照与全部主要缺失比例。文本缺失增大时分类与回归指标整体恶化，而音视频缺失的响应较小且局部非单调。该现象刻画当前模型和既定验证集的响应，不证明音视频天然无用，也不能把少量缺失后的指标上升解释为移除信息必然有益。阴影只表示三种子训练波动，没有覆盖缺失起点的重复抽样不确定性。</w:t>
      </w:r>
    </w:p>
    <w:p>
      <w:pPr>
        <w:pStyle w:val="Heading1"/>
        <w:widowControl/>
      </w:pPr>
      <w:r>
        <w:t>7 结论与论文整合边界</w:t>
      </w:r>
    </w:p>
    <w:p>
      <w:pPr>
        <w:widowControl/>
      </w:pPr>
      <w:r>
        <w:t>本轮证据支持在原有编码与融合结构不变的条件下，采用选定的类别权重训练方案作为当前正式模型。结论应连同三折筛选、三种子保护条件及区间的适用范围一起陈述，不宜抽离其中表现最好的一折或一个种子作为总体成绩。未被选中的权重配置仍保留在消融表中。</w:t>
      </w:r>
    </w:p>
    <w:p>
      <w:pPr>
        <w:widowControl/>
      </w:pPr>
      <w:r>
        <w:t>冻结后共复算184组完整评价指标和160组开发与确认预测指标，并完成附件3的30条预测、单条与批量一致性、模型重载、CPU/GPU容差和空输入有限性检查。模型与标准化参数的校验值见study/frozen.json，图表源文件摘要见figures/round4_figure_manifest.json。</w:t>
      </w:r>
    </w:p>
    <w:p>
      <w:pPr>
        <w:widowControl/>
      </w:pPr>
      <w:r>
        <w:t>整合进总论文时，类别权重定义与微批量归一化可加入目标函数与求解部分；表2至表5用于扩展实验与消融部分，表6和表7用于完善局限与错误分析。应同步更新正文的最终模型名称和专项预测来源，避免把第三轮的中性错误计数与第四轮成绩混排。问题3的音视频原因解释不在本研究结论范围内。</w:t>
      </w:r>
    </w:p>
    <w:p>
      <w:pPr>
        <w:pStyle w:val="Heading1"/>
        <w:widowControl/>
      </w:pPr>
      <w:r>
        <w:t>附录 冻结后评价与复现索引</w:t>
      </w:r>
    </w:p>
    <w:p>
      <w:pPr>
        <w:pStyle w:val="Caption"/>
        <w:keepNext/>
        <w:widowControl/>
        <w:jc w:val="center"/>
      </w:pPr>
      <w:r>
        <w:t>表8 冻结后的完整测试集描述性结果</w:t>
      </w:r>
    </w:p>
    <w:tbl>
      <w:tblPr>
        <w:tblW w:type="auto" w:w="0"/>
        <w:jc w:val="center"/>
        <w:tblLayout w:type="fixed"/>
        <w:tblLook w:firstColumn="1" w:firstRow="1" w:lastColumn="0" w:lastRow="0" w:noHBand="0" w:noVBand="1" w:val="04A0"/>
      </w:tblPr>
      <w:tblGrid>
        <w:gridCol w:w="2286"/>
        <w:gridCol w:w="1810"/>
        <w:gridCol w:w="1810"/>
        <w:gridCol w:w="1810"/>
        <w:gridCol w:w="1810"/>
      </w:tblGrid>
      <w:tr>
        <w:trPr>
          <w:cantSplit/>
          <w:tblHeader/>
        </w:trPr>
        <w:tc>
          <w:tcPr>
            <w:tcW w:type="dxa" w:w="2286"/>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left"/>
            </w:pPr>
            <w:r>
              <w:rPr>
                <w:b/>
                <w:sz w:val="18"/>
              </w:rPr>
              <w:t>模型</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Accuracy</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Macro-F1</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MAE</w:t>
            </w:r>
          </w:p>
        </w:tc>
        <w:tc>
          <w:tcPr>
            <w:tcW w:type="dxa" w:w="1810"/>
            <w:vAlign w:val="center"/>
            <w:tcBorders>
              <w:top w:val="single" w:sz="8" w:color="000000"/>
              <w:bottom w:val="single" w:sz="6" w:color="000000"/>
              <w:left w:val="nil" w:sz="8" w:color="000000"/>
              <w:right w:val="nil" w:sz="8" w:color="000000"/>
            </w:tcBorders>
            <w:tcMar>
              <w:top w:w="65" w:type="dxa"/>
              <w:bottom w:w="65" w:type="dxa"/>
              <w:left w:w="65" w:type="dxa"/>
              <w:right w:w="65" w:type="dxa"/>
            </w:tcMar>
          </w:tcPr>
          <w:p>
            <w:pPr>
              <w:keepNext/>
              <w:spacing w:before="40" w:after="40" w:line="259" w:lineRule="auto"/>
              <w:ind w:firstLine="0"/>
              <w:jc w:val="center"/>
            </w:pPr>
            <w:r>
              <w:rPr>
                <w:b/>
                <w:sz w:val="18"/>
              </w:rPr>
              <w:t>Pearson</w:t>
            </w:r>
          </w:p>
        </w:tc>
      </w:tr>
      <w:tr>
        <w:trPr>
          <w:cantSplit/>
        </w:trPr>
        <w:tc>
          <w:tcPr>
            <w:tcW w:type="dxa" w:w="2286"/>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left"/>
            </w:pPr>
            <w:r>
              <w:rPr>
                <w:b w:val="0"/>
                <w:sz w:val="18"/>
              </w:rPr>
              <w:t>第三轮</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0.6988</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0.6321</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0.6130</w:t>
            </w:r>
          </w:p>
        </w:tc>
        <w:tc>
          <w:tcPr>
            <w:tcW w:type="dxa" w:w="1810"/>
            <w:vAlign w:val="center"/>
            <w:tcBorders>
              <w:top w:val="nil" w:sz="6" w:color="000000"/>
              <w:bottom w:val="nil" w:sz="6" w:color="000000"/>
              <w:left w:val="nil" w:sz="6" w:color="000000"/>
              <w:right w:val="nil" w:sz="6" w:color="000000"/>
            </w:tcBorders>
            <w:tcMar>
              <w:top w:w="65" w:type="dxa"/>
              <w:bottom w:w="65" w:type="dxa"/>
              <w:left w:w="65" w:type="dxa"/>
              <w:right w:w="65" w:type="dxa"/>
            </w:tcMar>
          </w:tcPr>
          <w:p>
            <w:pPr>
              <w:keepNext/>
              <w:spacing w:before="40" w:after="40" w:line="259" w:lineRule="auto"/>
              <w:ind w:firstLine="0"/>
              <w:jc w:val="center"/>
            </w:pPr>
            <w:r>
              <w:rPr>
                <w:b w:val="0"/>
                <w:sz w:val="18"/>
              </w:rPr>
              <w:t>0.7064</w:t>
            </w:r>
          </w:p>
        </w:tc>
      </w:tr>
      <w:tr>
        <w:trPr>
          <w:cantSplit/>
        </w:trPr>
        <w:tc>
          <w:tcPr>
            <w:tcW w:type="dxa" w:w="2286"/>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left"/>
            </w:pPr>
            <w:r>
              <w:rPr>
                <w:b w:val="0"/>
                <w:sz w:val="18"/>
              </w:rPr>
              <w:t>第四轮</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0.6933</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0.6701</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0.6133</w:t>
            </w:r>
          </w:p>
        </w:tc>
        <w:tc>
          <w:tcPr>
            <w:tcW w:type="dxa" w:w="1810"/>
            <w:vAlign w:val="center"/>
            <w:tcBorders>
              <w:top w:val="nil" w:sz="8" w:color="000000"/>
              <w:bottom w:val="single" w:sz="6" w:color="000000"/>
              <w:left w:val="nil" w:sz="8" w:color="000000"/>
              <w:right w:val="nil" w:sz="8" w:color="000000"/>
            </w:tcBorders>
            <w:tcMar>
              <w:top w:w="65" w:type="dxa"/>
              <w:bottom w:w="65" w:type="dxa"/>
              <w:left w:w="65" w:type="dxa"/>
              <w:right w:w="65" w:type="dxa"/>
            </w:tcMar>
          </w:tcPr>
          <w:p>
            <w:pPr>
              <w:keepNext w:val="0"/>
              <w:spacing w:before="40" w:after="40" w:line="259" w:lineRule="auto"/>
              <w:ind w:firstLine="0"/>
              <w:jc w:val="center"/>
            </w:pPr>
            <w:r>
              <w:rPr>
                <w:b w:val="0"/>
                <w:sz w:val="18"/>
              </w:rPr>
              <w:t>0.7073</w:t>
            </w:r>
          </w:p>
        </w:tc>
      </w:tr>
    </w:tbl>
    <w:p>
      <w:pPr>
        <w:widowControl/>
        <w:spacing w:after="20"/>
      </w:pPr>
    </w:p>
    <w:p>
      <w:pPr>
        <w:widowControl/>
      </w:pPr>
      <w:r>
        <w:t>表8使用727条测试样本，仅在本轮冻结后计算，不参与权重强度、训练轮数或种子选择。该划分在此前研究中已经被观察，不是未触碰留出集的无偏评价；不能用表8替代内部开发与官方验证确认的完整说明。</w:t>
      </w:r>
    </w:p>
    <w:p>
      <w:pPr>
        <w:widowControl/>
      </w:pPr>
      <w:r>
        <w:t>固定种子42的配方重训得到与冻结模型逐项相同的217个参数张量，最大绝对差为0.0。该结果是本机同环境复现证据，不承诺跨设备或跨数值库版本逐位一致。完整模型、标准化参数和附件3预测分别保存在final/model.pt、final/scaler.npz与final/attachment3_predictions.csv。</w:t>
      </w:r>
    </w:p>
    <w:p>
      <w:pPr>
        <w:widowControl/>
      </w:pPr>
      <w:r>
        <w:t>本文件是第三轮完整问题建模材料的新增补充，而非替换原有数据、掩码、预训练编码和融合结构的定义。第四轮代码和协议独立归档；study记录预设比较及选择，runs保存逐轮日志和逐样本预测，analysis保存独立复算、分组Bootstrap和诊断，figures保存SVG、PDF、600 dpi PNG及来源摘要。论文整合时应以第四轮预测为当前输出，并保留第三轮作为明确命名的对照。</w:t>
      </w:r>
    </w:p>
    <w:p>
      <w:pPr>
        <w:pStyle w:val="Heading1"/>
        <w:widowControl/>
      </w:pPr>
      <w:r>
        <w:t>参考文献</w:t>
      </w:r>
    </w:p>
    <w:p>
      <w:pPr>
        <w:widowControl/>
      </w:pPr>
      <w:r>
        <w:t>[1] scikit-learn developers. compute_class_weight, scikit-learn 1.7.2 documentation[EB/OL]. https://scikit-learn.org/1.7/modules/generated/sklearn.utils.class_weight.compute_class_weight.html，访问日期2026-09-25。</w:t>
      </w:r>
    </w:p>
    <w:p>
      <w:pPr>
        <w:widowControl/>
      </w:pPr>
      <w:r>
        <w:t>[2] PyTorch contributors. CrossEntropyLoss, PyTorch 2.8 documentation[EB/OL]. https://docs.pytorch.org/docs/2.8/generated/torch.nn.CrossEntropyLoss.html，访问日期2026-09-25。</w:t>
      </w:r>
    </w:p>
    <w:sectPr w:rsidR="00FC693F" w:rsidRPr="0006063C" w:rsidSect="00034616">
      <w:footerReference w:type="default" r:id="rId13"/>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ind w:firstLine="0"/>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E题问题2第四轮类别平衡实验与论文补充</dc:title>
  <dc:subject/>
  <dc:creator/>
  <cp:keywords/>
  <dc:description/>
  <cp:lastModifiedBy/>
  <cp:revision>1</cp:revision>
  <dcterms:created xsi:type="dcterms:W3CDTF">2013-12-23T23:15:00Z</dcterms:created>
  <dcterms:modified xsi:type="dcterms:W3CDTF">2013-12-23T23:15:00Z</dcterms:modified>
  <cp:category/>
</cp:coreProperties>
</file>