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2643F">
      <w:pPr>
        <w:jc w:val="center"/>
        <w:rPr>
          <w:rFonts w:ascii="Times New Roman" w:hAnsi="Times New Roman" w:eastAsia="宋体" w:cs="Times New Roman"/>
          <w:color w:val="0070C0"/>
          <w:sz w:val="30"/>
          <w:szCs w:val="30"/>
        </w:rPr>
      </w:pPr>
      <w:r>
        <w:rPr>
          <w:rFonts w:ascii="Times New Roman" w:hAnsi="Times New Roman" w:eastAsia="宋体" w:cs="Times New Roman"/>
          <w:color w:val="0070C0"/>
          <w:sz w:val="30"/>
          <w:szCs w:val="30"/>
        </w:rPr>
        <w:t>RC桥式正弦波振荡器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31C6608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 xml:space="preserve">1. </w:t>
      </w:r>
      <w:r>
        <w:rPr>
          <w:rFonts w:ascii="Times New Roman" w:hAnsi="Times New Roman" w:eastAsia="宋体" w:cs="Times New Roman"/>
        </w:rPr>
        <w:t>掌握由集成运放构成正弦波振荡器的工作原理</w:t>
      </w:r>
    </w:p>
    <w:p w14:paraId="22726640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2. 学习RC桥式正弦波振荡器的搭建、调整和测试方法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09EF39CF">
      <w:pPr>
        <w:ind w:firstLine="420"/>
        <w:rPr>
          <w:rFonts w:ascii="Times New Roman" w:hAnsi="Times New Roman" w:eastAsia="宋体" w:cs="Times New Roman"/>
        </w:rPr>
      </w:pPr>
    </w:p>
    <w:tbl>
      <w:tblPr>
        <w:tblStyle w:val="9"/>
        <w:tblW w:w="458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</w:tblGrid>
      <w:tr w14:paraId="78408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4587" w:type="dxa"/>
          </w:tcPr>
          <w:p w14:paraId="3EE1A0D2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10kΩ 电阻             x 3</w:t>
            </w:r>
          </w:p>
          <w:p w14:paraId="70E380A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6.8 kΩ 电阻           x 1</w:t>
            </w:r>
          </w:p>
          <w:p w14:paraId="62CBD492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20kΩ可变电阻            x 1</w:t>
            </w:r>
          </w:p>
          <w:p w14:paraId="40A6C49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0.01μF电容               x 2</w:t>
            </w:r>
          </w:p>
          <w:p w14:paraId="58D0059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1N4148二极管    x2</w:t>
            </w:r>
          </w:p>
          <w:p w14:paraId="3F72F83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  x1</w:t>
            </w:r>
          </w:p>
        </w:tc>
      </w:tr>
    </w:tbl>
    <w:p w14:paraId="273AE94E">
      <w:pPr>
        <w:ind w:firstLine="420"/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7DB041A1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桥式</w:t>
      </w:r>
      <w:r>
        <w:rPr>
          <w:rFonts w:ascii="Times New Roman" w:hAnsi="Times New Roman" w:eastAsia="宋体" w:cs="Times New Roman"/>
          <w:i/>
        </w:rPr>
        <w:t>RC</w:t>
      </w:r>
      <w:r>
        <w:rPr>
          <w:rFonts w:ascii="Times New Roman" w:hAnsi="Times New Roman" w:eastAsia="宋体" w:cs="Times New Roman"/>
        </w:rPr>
        <w:t>正弦波振荡器电原理图如图1所示， 图中的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组成串并联正反馈选频网络，电阻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和二极管D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组成负反馈网络，电路的振荡频率为</w:t>
      </w:r>
    </w:p>
    <w:p w14:paraId="6DD2C46F">
      <w:pPr>
        <w:pStyle w:val="10"/>
      </w:pPr>
      <w:r>
        <w:tab/>
      </w:r>
      <w:r>
        <w:rPr>
          <w:position w:val="-22"/>
        </w:rPr>
        <w:object>
          <v:shape id="_x0000_i1025" o:spt="75" type="#_x0000_t75" style="height:27.9pt;width:5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49C6B568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电路中的D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为自动增益控制电路，当振幅不断增大时，导致D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导通，使D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三者并联的等效电阻减小，使得放大器的闭环增益降低，从而保持振幅的稳定和改善波形的失真。</w:t>
      </w:r>
    </w:p>
    <w:p w14:paraId="672A43F3">
      <w:pPr>
        <w:ind w:firstLine="2625" w:firstLineChars="12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6" o:spt="75" type="#_x0000_t75" style="height:147.75pt;width:157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 w14:paraId="5B7DB411">
      <w:pPr>
        <w:ind w:firstLine="1785" w:firstLineChars="8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图1 桥式</w:t>
      </w:r>
      <w:r>
        <w:rPr>
          <w:rFonts w:ascii="Times New Roman" w:hAnsi="Times New Roman" w:eastAsia="宋体" w:cs="Times New Roman"/>
          <w:i/>
        </w:rPr>
        <w:t>RC</w:t>
      </w:r>
      <w:r>
        <w:rPr>
          <w:rFonts w:ascii="Times New Roman" w:hAnsi="Times New Roman" w:eastAsia="宋体" w:cs="Times New Roman"/>
        </w:rPr>
        <w:t>正弦波振荡器电原理图</w:t>
      </w:r>
    </w:p>
    <w:p w14:paraId="3699022A">
      <w:pPr>
        <w:rPr>
          <w:rFonts w:ascii="Times New Roman" w:hAnsi="Times New Roman" w:eastAsia="宋体" w:cs="Times New Roman"/>
          <w:color w:val="0070C0"/>
        </w:rPr>
      </w:pP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392DB5BB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按照图1，在LTspice界面上插接电路（R=R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=10k</w:t>
      </w:r>
      <w:r>
        <w:rPr>
          <w:rFonts w:ascii="Times New Roman" w:hAnsi="Times New Roman" w:eastAsia="微软雅黑" w:cs="Times New Roman"/>
        </w:rPr>
        <w:t>Ω</w:t>
      </w:r>
      <w:r>
        <w:rPr>
          <w:rFonts w:ascii="Times New Roman" w:hAnsi="Times New Roman" w:eastAsia="宋体" w:cs="Times New Roman"/>
        </w:rPr>
        <w:t>，R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=6.8k</w:t>
      </w:r>
      <w:r>
        <w:rPr>
          <w:rFonts w:ascii="Times New Roman" w:hAnsi="Times New Roman" w:eastAsia="微软雅黑" w:cs="Times New Roman"/>
        </w:rPr>
        <w:t>Ω</w:t>
      </w:r>
      <w:r>
        <w:rPr>
          <w:rFonts w:ascii="Times New Roman" w:hAnsi="Times New Roman" w:eastAsia="宋体" w:cs="Times New Roman"/>
        </w:rPr>
        <w:t>，R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=20 k</w:t>
      </w:r>
      <w:r>
        <w:rPr>
          <w:rFonts w:ascii="Times New Roman" w:hAnsi="Times New Roman" w:eastAsia="微软雅黑" w:cs="Times New Roman"/>
        </w:rPr>
        <w:t>Ω</w:t>
      </w:r>
      <w:r>
        <w:rPr>
          <w:rFonts w:ascii="Times New Roman" w:hAnsi="Times New Roman" w:eastAsia="宋体" w:cs="Times New Roman"/>
        </w:rPr>
        <w:t>，C=0.01</w:t>
      </w:r>
      <w:r>
        <w:rPr>
          <w:rFonts w:ascii="Times New Roman" w:hAnsi="Times New Roman" w:eastAsia="宋体" w:cs="Times New Roman"/>
          <w:szCs w:val="21"/>
        </w:rPr>
        <w:t>μF，D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，D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为1N4148，运放）</w:t>
      </w:r>
      <w:r>
        <w:rPr>
          <w:rFonts w:ascii="Times New Roman" w:hAnsi="Times New Roman" w:eastAsia="宋体" w:cs="Times New Roman"/>
        </w:rPr>
        <w:t>。</w:t>
      </w:r>
    </w:p>
    <w:p w14:paraId="29A19A7B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接通±5V电源。</w:t>
      </w:r>
    </w:p>
    <w:p w14:paraId="37B02877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用示波器观察振荡波形。</w:t>
      </w:r>
    </w:p>
    <w:p w14:paraId="7C0D3784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将示波器接在振荡器的输出端，调节电位器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，以改变负反馈的大小，观察振荡输出波形的变化。当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调到某一位置时，振荡产生，并输出较好的正弦波。若继续调节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，输出波形将产生非线性失真。</w:t>
      </w:r>
    </w:p>
    <w:p w14:paraId="2217BE70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改变元件参数，然后用示波器测量输出波形</w:t>
      </w:r>
    </w:p>
    <w:p w14:paraId="03F18F5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（1）保持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＝10kΩ，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＝0.01μF，用示波器观察并测量正弦波输出电压幅度和振荡频率。</w:t>
      </w:r>
    </w:p>
    <w:p w14:paraId="6515402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（2）保持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＝10kΩ，改变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＝1000pF，用示波器观察并测量正弦波输出电压幅度和振荡频率。</w:t>
      </w:r>
    </w:p>
    <w:p w14:paraId="7B4B8E9B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（3）保持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＝0.01μF，改变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＝1kΩ，用示波器观察并测量正弦波输出电压幅度和振荡频率。</w:t>
      </w:r>
    </w:p>
    <w:p w14:paraId="7E149C28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记录以上测试结果，由此你能得出什么结论？</w:t>
      </w:r>
    </w:p>
    <w:p w14:paraId="336E6D8D">
      <w:pPr>
        <w:rPr>
          <w:rFonts w:ascii="Times New Roman" w:hAnsi="Times New Roman" w:eastAsia="宋体" w:cs="Times New Roman"/>
          <w:color w:val="0070C0"/>
        </w:rPr>
      </w:pPr>
    </w:p>
    <w:p w14:paraId="243FABB8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按照图中所示电路进行电路搭建，并设定RW=20K：</w:t>
      </w:r>
    </w:p>
    <w:p w14:paraId="538BED47">
      <w:r>
        <w:drawing>
          <wp:inline distT="0" distB="0" distL="114300" distR="114300">
            <wp:extent cx="4998720" cy="3674745"/>
            <wp:effectExtent l="0" t="0" r="1143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18B3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观察波形：</w:t>
      </w:r>
    </w:p>
    <w:p w14:paraId="69B3E16B">
      <w:r>
        <w:drawing>
          <wp:inline distT="0" distB="0" distL="114300" distR="114300">
            <wp:extent cx="5274310" cy="2494280"/>
            <wp:effectExtent l="0" t="0" r="2540" b="127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A887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通过分析不难得出，震荡的临界点是RW等于13.2K时，当RW小于此值时，电路将不会持续震荡：</w:t>
      </w:r>
    </w:p>
    <w:p w14:paraId="6FF9E2E0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</w:p>
    <w:p w14:paraId="67983ABA">
      <w:r>
        <w:drawing>
          <wp:inline distT="0" distB="0" distL="114300" distR="114300">
            <wp:extent cx="5271135" cy="2304415"/>
            <wp:effectExtent l="0" t="0" r="5715" b="63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598A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RW小于13.2K时</w:t>
      </w:r>
    </w:p>
    <w:p w14:paraId="731D253A">
      <w:pPr>
        <w:jc w:val="both"/>
        <w:rPr>
          <w:rFonts w:hint="eastAsia"/>
          <w:lang w:val="en-US" w:eastAsia="zh-CN"/>
        </w:rPr>
      </w:pPr>
    </w:p>
    <w:p w14:paraId="4F89AF58">
      <w:pPr>
        <w:jc w:val="both"/>
        <w:rPr>
          <w:rFonts w:hint="eastAsia"/>
          <w:lang w:val="en-US" w:eastAsia="zh-CN"/>
        </w:rPr>
      </w:pPr>
    </w:p>
    <w:p w14:paraId="375791F0">
      <w:p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4.1</w:t>
      </w:r>
    </w:p>
    <w:p w14:paraId="5055AC26">
      <w:pPr>
        <w:jc w:val="both"/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ascii="Times New Roman" w:hAnsi="Times New Roman" w:eastAsia="宋体" w:cs="Times New Roman"/>
          <w:b/>
          <w:bCs/>
          <w:color w:val="0000FF"/>
        </w:rPr>
        <w:t>保持</w:t>
      </w:r>
      <w:r>
        <w:rPr>
          <w:rFonts w:ascii="Times New Roman" w:hAnsi="Times New Roman" w:eastAsia="宋体" w:cs="Times New Roman"/>
          <w:b/>
          <w:bCs/>
          <w:i/>
          <w:color w:val="0000FF"/>
        </w:rPr>
        <w:t>R</w:t>
      </w:r>
      <w:r>
        <w:rPr>
          <w:rFonts w:ascii="Times New Roman" w:hAnsi="Times New Roman" w:eastAsia="宋体" w:cs="Times New Roman"/>
          <w:b/>
          <w:bCs/>
          <w:color w:val="0000FF"/>
        </w:rPr>
        <w:t>＝10kΩ，</w:t>
      </w:r>
      <w:r>
        <w:rPr>
          <w:rFonts w:ascii="Times New Roman" w:hAnsi="Times New Roman" w:eastAsia="宋体" w:cs="Times New Roman"/>
          <w:b/>
          <w:bCs/>
          <w:i/>
          <w:color w:val="0000FF"/>
        </w:rPr>
        <w:t>C</w:t>
      </w:r>
      <w:r>
        <w:rPr>
          <w:rFonts w:ascii="Times New Roman" w:hAnsi="Times New Roman" w:eastAsia="宋体" w:cs="Times New Roman"/>
          <w:b/>
          <w:bCs/>
          <w:color w:val="0000FF"/>
        </w:rPr>
        <w:t>＝0.01μF</w:t>
      </w:r>
      <w:r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  <w:t>，</w:t>
      </w: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并设定RW=20K</w:t>
      </w:r>
      <w:r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  <w:t>：</w:t>
      </w:r>
    </w:p>
    <w:p w14:paraId="7AF619FC">
      <w:pPr>
        <w:jc w:val="center"/>
      </w:pPr>
      <w:r>
        <w:drawing>
          <wp:inline distT="0" distB="0" distL="114300" distR="114300">
            <wp:extent cx="5274310" cy="2494280"/>
            <wp:effectExtent l="0" t="0" r="2540" b="127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777A">
      <w:p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峰值为4.06272V;周期约为660.58981µs，频率为1.52KHz，与计算值1.59KHz相近：</w:t>
      </w:r>
    </w:p>
    <w:p w14:paraId="149D81B1">
      <w:pPr>
        <w:jc w:val="both"/>
        <w:rPr>
          <w:rFonts w:hint="eastAsia"/>
          <w:color w:val="0000FF"/>
          <w:lang w:val="en-US" w:eastAsia="zh-CN"/>
        </w:rPr>
      </w:pPr>
    </w:p>
    <w:p w14:paraId="062D8476">
      <w:p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4.2</w:t>
      </w:r>
    </w:p>
    <w:p w14:paraId="53AF16CE">
      <w:pPr>
        <w:jc w:val="both"/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ascii="Times New Roman" w:hAnsi="Times New Roman" w:eastAsia="宋体" w:cs="Times New Roman"/>
          <w:b/>
          <w:bCs/>
          <w:color w:val="0000FF"/>
        </w:rPr>
        <w:t>保持</w:t>
      </w:r>
      <w:r>
        <w:rPr>
          <w:rFonts w:ascii="Times New Roman" w:hAnsi="Times New Roman" w:eastAsia="宋体" w:cs="Times New Roman"/>
          <w:b/>
          <w:bCs/>
          <w:i/>
          <w:color w:val="0000FF"/>
        </w:rPr>
        <w:t>R</w:t>
      </w:r>
      <w:r>
        <w:rPr>
          <w:rFonts w:ascii="Times New Roman" w:hAnsi="Times New Roman" w:eastAsia="宋体" w:cs="Times New Roman"/>
          <w:b/>
          <w:bCs/>
          <w:color w:val="0000FF"/>
        </w:rPr>
        <w:t>＝10kΩ，</w:t>
      </w:r>
      <w:r>
        <w:rPr>
          <w:rFonts w:ascii="Times New Roman" w:hAnsi="Times New Roman" w:eastAsia="宋体" w:cs="Times New Roman"/>
          <w:b/>
          <w:bCs/>
          <w:i/>
          <w:color w:val="0000FF"/>
        </w:rPr>
        <w:t>C</w:t>
      </w:r>
      <w:r>
        <w:rPr>
          <w:rFonts w:ascii="Times New Roman" w:hAnsi="Times New Roman" w:eastAsia="宋体" w:cs="Times New Roman"/>
          <w:b/>
          <w:bCs/>
          <w:color w:val="0000FF"/>
        </w:rPr>
        <w:t>＝</w:t>
      </w: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1000p</w:t>
      </w:r>
      <w:r>
        <w:rPr>
          <w:rFonts w:ascii="Times New Roman" w:hAnsi="Times New Roman" w:eastAsia="宋体" w:cs="Times New Roman"/>
          <w:b/>
          <w:bCs/>
          <w:color w:val="0000FF"/>
        </w:rPr>
        <w:t>F</w:t>
      </w:r>
      <w:r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  <w:t>，</w:t>
      </w: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并设定RW=20K</w:t>
      </w:r>
      <w:r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  <w:t>：</w:t>
      </w:r>
    </w:p>
    <w:p w14:paraId="10DAA04C">
      <w:pPr>
        <w:jc w:val="both"/>
      </w:pPr>
      <w:r>
        <w:drawing>
          <wp:inline distT="0" distB="0" distL="114300" distR="114300">
            <wp:extent cx="5274310" cy="2494280"/>
            <wp:effectExtent l="0" t="0" r="2540" b="127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A560">
      <w:pPr>
        <w:jc w:val="both"/>
        <w:rPr>
          <w:rFonts w:hint="eastAsia"/>
          <w:lang w:val="en-US" w:eastAsia="zh-CN"/>
        </w:rPr>
      </w:pPr>
    </w:p>
    <w:p w14:paraId="588A3C52">
      <w:p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峰值为4.06259V;周期约为92µs，频率为10.9KHz，与计算值15.9KHz有一定距离。</w:t>
      </w:r>
    </w:p>
    <w:p w14:paraId="4BEEFD26">
      <w:p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4.3</w:t>
      </w:r>
    </w:p>
    <w:p w14:paraId="0D2E7E5C">
      <w:pPr>
        <w:jc w:val="both"/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ascii="Times New Roman" w:hAnsi="Times New Roman" w:eastAsia="宋体" w:cs="Times New Roman"/>
          <w:b/>
          <w:bCs/>
          <w:color w:val="0000FF"/>
        </w:rPr>
        <w:t>保持</w:t>
      </w:r>
      <w:r>
        <w:rPr>
          <w:rFonts w:ascii="Times New Roman" w:hAnsi="Times New Roman" w:eastAsia="宋体" w:cs="Times New Roman"/>
          <w:b/>
          <w:bCs/>
          <w:i/>
          <w:color w:val="0000FF"/>
        </w:rPr>
        <w:t>R</w:t>
      </w:r>
      <w:r>
        <w:rPr>
          <w:rFonts w:ascii="Times New Roman" w:hAnsi="Times New Roman" w:eastAsia="宋体" w:cs="Times New Roman"/>
          <w:b/>
          <w:bCs/>
          <w:color w:val="0000FF"/>
        </w:rPr>
        <w:t>＝1kΩ，</w:t>
      </w:r>
      <w:r>
        <w:rPr>
          <w:rFonts w:ascii="Times New Roman" w:hAnsi="Times New Roman" w:eastAsia="宋体" w:cs="Times New Roman"/>
          <w:b/>
          <w:bCs/>
          <w:i/>
          <w:color w:val="0000FF"/>
        </w:rPr>
        <w:t>C</w:t>
      </w:r>
      <w:r>
        <w:rPr>
          <w:rFonts w:ascii="Times New Roman" w:hAnsi="Times New Roman" w:eastAsia="宋体" w:cs="Times New Roman"/>
          <w:b/>
          <w:bCs/>
          <w:color w:val="0000FF"/>
        </w:rPr>
        <w:t>＝</w:t>
      </w: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0.01u</w:t>
      </w:r>
      <w:r>
        <w:rPr>
          <w:rFonts w:ascii="Times New Roman" w:hAnsi="Times New Roman" w:eastAsia="宋体" w:cs="Times New Roman"/>
          <w:b/>
          <w:bCs/>
          <w:color w:val="0000FF"/>
        </w:rPr>
        <w:t>F</w:t>
      </w:r>
      <w:r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  <w:t>，</w:t>
      </w: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并设定RW=20K</w:t>
      </w:r>
      <w:r>
        <w:rPr>
          <w:rFonts w:hint="eastAsia" w:ascii="Times New Roman" w:hAnsi="Times New Roman" w:eastAsia="宋体" w:cs="Times New Roman"/>
          <w:b/>
          <w:bCs/>
          <w:color w:val="0000FF"/>
          <w:lang w:eastAsia="zh-CN"/>
        </w:rPr>
        <w:t>：</w:t>
      </w:r>
    </w:p>
    <w:p w14:paraId="79932B7B">
      <w:pPr>
        <w:jc w:val="both"/>
      </w:pPr>
      <w:r>
        <w:drawing>
          <wp:inline distT="0" distB="0" distL="114300" distR="114300">
            <wp:extent cx="5274310" cy="2494280"/>
            <wp:effectExtent l="0" t="0" r="2540" b="127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C23C">
      <w:p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与4.2中结果相同；</w:t>
      </w:r>
    </w:p>
    <w:p w14:paraId="08A2BDF3">
      <w:pPr>
        <w:jc w:val="both"/>
        <w:rPr>
          <w:rFonts w:hint="eastAsia"/>
          <w:color w:val="0000FF"/>
          <w:lang w:val="en-US" w:eastAsia="zh-CN"/>
        </w:rPr>
      </w:pPr>
    </w:p>
    <w:p w14:paraId="71A3C202">
      <w:p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总结：RC桥式正弦波振荡器的振荡频率与RC的值成反比，即RC越小，频率越高。当震荡的频率较高时，震荡的频率与计算的理论值相差较大。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43D21"/>
    <w:rsid w:val="000D3FE8"/>
    <w:rsid w:val="000F5E8B"/>
    <w:rsid w:val="0010715D"/>
    <w:rsid w:val="0013709B"/>
    <w:rsid w:val="00197DB0"/>
    <w:rsid w:val="001A65BA"/>
    <w:rsid w:val="001C347B"/>
    <w:rsid w:val="001C6D0D"/>
    <w:rsid w:val="0021039B"/>
    <w:rsid w:val="00265DF7"/>
    <w:rsid w:val="00381A3B"/>
    <w:rsid w:val="00382209"/>
    <w:rsid w:val="0039024E"/>
    <w:rsid w:val="00434A6A"/>
    <w:rsid w:val="004554CB"/>
    <w:rsid w:val="00473B15"/>
    <w:rsid w:val="0047538C"/>
    <w:rsid w:val="00484D05"/>
    <w:rsid w:val="004956C4"/>
    <w:rsid w:val="005158DA"/>
    <w:rsid w:val="005E6F55"/>
    <w:rsid w:val="006A2277"/>
    <w:rsid w:val="006A5EFA"/>
    <w:rsid w:val="006D3F0D"/>
    <w:rsid w:val="00730762"/>
    <w:rsid w:val="00741330"/>
    <w:rsid w:val="00771F2E"/>
    <w:rsid w:val="007E69BB"/>
    <w:rsid w:val="008A5027"/>
    <w:rsid w:val="00943FE2"/>
    <w:rsid w:val="0098475F"/>
    <w:rsid w:val="009C0016"/>
    <w:rsid w:val="009D0529"/>
    <w:rsid w:val="00A36D34"/>
    <w:rsid w:val="00A91198"/>
    <w:rsid w:val="00B448A9"/>
    <w:rsid w:val="00BB46FF"/>
    <w:rsid w:val="00D90982"/>
    <w:rsid w:val="00DD572B"/>
    <w:rsid w:val="00E51CB8"/>
    <w:rsid w:val="00E56A2B"/>
    <w:rsid w:val="00F374E4"/>
    <w:rsid w:val="00FF02A7"/>
    <w:rsid w:val="3331778D"/>
    <w:rsid w:val="43545F0C"/>
    <w:rsid w:val="55B8137A"/>
    <w:rsid w:val="59AD1FA5"/>
    <w:rsid w:val="680045C3"/>
    <w:rsid w:val="740D22BA"/>
    <w:rsid w:val="75915780"/>
    <w:rsid w:val="79E1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  <w:style w:type="paragraph" w:customStyle="1" w:styleId="10">
    <w:name w:val="MTDisplayEquation"/>
    <w:basedOn w:val="1"/>
    <w:next w:val="1"/>
    <w:link w:val="11"/>
    <w:uiPriority w:val="0"/>
    <w:pPr>
      <w:tabs>
        <w:tab w:val="center" w:pos="4160"/>
        <w:tab w:val="right" w:pos="8300"/>
      </w:tabs>
    </w:pPr>
    <w:rPr>
      <w:rFonts w:ascii="Times New Roman" w:hAnsi="Times New Roman" w:eastAsia="宋体" w:cs="Times New Roman"/>
      <w:szCs w:val="24"/>
    </w:rPr>
  </w:style>
  <w:style w:type="character" w:customStyle="1" w:styleId="11">
    <w:name w:val="MTDisplayEquation Char"/>
    <w:link w:val="10"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743</Characters>
  <Lines>6</Lines>
  <Paragraphs>1</Paragraphs>
  <TotalTime>8</TotalTime>
  <ScaleCrop>false</ScaleCrop>
  <LinksUpToDate>false</LinksUpToDate>
  <CharactersWithSpaces>872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2024-01-12T11:16:00Z</dcterms:created>
  <dc:creator>wuyi lao</dc:creator>
  <cp:lastModifiedBy>jhong</cp:lastModifiedBy>
  <dcterms:modified xsi:type="dcterms:W3CDTF">2024-11-13T10:39:59Z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52714C692C7B419985E2A33E1226F371_12</vt:lpwstr>
  </property>
</Properties>
</file>