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D3560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电容测量仪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4A707169">
      <w:pPr>
        <w:ind w:left="397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1.理解电容测量仪电路原理。</w:t>
      </w:r>
    </w:p>
    <w:p w14:paraId="56BBAB00">
      <w:pPr>
        <w:ind w:left="397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2.掌握电容测量仪的搭建、调整以及测量。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3B1F575C">
      <w:pPr>
        <w:rPr>
          <w:rFonts w:ascii="Times New Roman" w:hAnsi="Times New Roman" w:eastAsia="宋体" w:cs="Times New Roman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167D7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01EE390C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电阻、电容若干</w:t>
            </w:r>
          </w:p>
          <w:p w14:paraId="5F3E1FFF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1N4148二极管        </w:t>
            </w:r>
          </w:p>
          <w:p w14:paraId="70935969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集成运放      </w:t>
            </w:r>
          </w:p>
        </w:tc>
      </w:tr>
    </w:tbl>
    <w:p w14:paraId="5DEC579C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设计要求</w:t>
      </w:r>
    </w:p>
    <w:p w14:paraId="5145103D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以集成运放为核心，设计一个电容测量仪。电容值测量范围1pF～2μF，以数字电压表显示被测电容值。</w:t>
      </w:r>
    </w:p>
    <w:p w14:paraId="41C84EAD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要求：</w:t>
      </w:r>
    </w:p>
    <w:p w14:paraId="2C2ACD35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电路图</w:t>
      </w:r>
    </w:p>
    <w:p w14:paraId="00A733FC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理论分析与计算</w:t>
      </w:r>
    </w:p>
    <w:p w14:paraId="76C0B8AC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  <w:szCs w:val="21"/>
        </w:rPr>
        <w:t>3. 电路仿真</w:t>
      </w:r>
      <w:r>
        <w:rPr>
          <w:rFonts w:ascii="Times New Roman" w:hAnsi="Times New Roman" w:eastAsia="宋体" w:cs="Times New Roman"/>
          <w:color w:val="0070C0"/>
          <w:szCs w:val="21"/>
        </w:rPr>
        <w:t xml:space="preserve">     </w:t>
      </w:r>
    </w:p>
    <w:p w14:paraId="0E830441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479C446A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48B12375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227BB305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6F81099A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409E9981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5EB02DC0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5BBC6D96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565EFD6A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065247B2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31147882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2922FB32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445CB295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0F8C47E4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0C9B1B54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66FEEDAB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3FB1BA3D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4ACFAE49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056CB9D0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5BACA670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1FD8D722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5143BB8D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13C190ED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</w:p>
    <w:p w14:paraId="1161FE85">
      <w:pPr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一种解决问题的思路是直接使用反向比例运算：</w:t>
      </w:r>
    </w:p>
    <w:p w14:paraId="254BEB59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drawing>
          <wp:inline distT="0" distB="0" distL="114300" distR="114300">
            <wp:extent cx="5273040" cy="194881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FF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但是不容易满足1pf-2uf的量程范围，可以通过增加一个键控增益来完成量程的改变：</w:t>
      </w:r>
    </w:p>
    <w:p w14:paraId="768D7939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完成电路图绘制：</w:t>
      </w:r>
    </w:p>
    <w:p w14:paraId="019C391A">
      <w:pPr>
        <w:ind w:firstLine="420" w:firstLineChars="0"/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电容测量部分：</w:t>
      </w:r>
    </w:p>
    <w:p w14:paraId="77982FE5">
      <w:pPr>
        <w:jc w:val="center"/>
      </w:pPr>
      <w:r>
        <w:drawing>
          <wp:inline distT="0" distB="0" distL="114300" distR="114300">
            <wp:extent cx="3334385" cy="2453005"/>
            <wp:effectExtent l="0" t="0" r="1841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B53A">
      <w:pPr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RC震荡电路：</w:t>
      </w:r>
    </w:p>
    <w:p w14:paraId="73BF871B">
      <w:pPr>
        <w:jc w:val="center"/>
      </w:pPr>
      <w:r>
        <w:drawing>
          <wp:inline distT="0" distB="0" distL="114300" distR="114300">
            <wp:extent cx="3002915" cy="2263775"/>
            <wp:effectExtent l="0" t="0" r="698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9334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ab/>
        <w:t>键控增益电路：</w:t>
      </w:r>
    </w:p>
    <w:p w14:paraId="03A7D6D9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177093EB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0E3FE28B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1049843D">
      <w:pPr>
        <w:jc w:val="center"/>
      </w:pPr>
      <w:r>
        <w:drawing>
          <wp:inline distT="0" distB="0" distL="114300" distR="114300">
            <wp:extent cx="3391535" cy="2447925"/>
            <wp:effectExtent l="0" t="0" r="1841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A23D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整体电路图，为了缓解失真，用了两级反向比例放大电路，各有六个开关管负责控制增益，通过不同的开关组合，反向比例放大器可以从增益可以从0.01到100之间变化：</w:t>
      </w:r>
    </w:p>
    <w:p w14:paraId="0B698828"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481455"/>
            <wp:effectExtent l="0" t="0" r="3175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A74F">
      <w:pPr>
        <w:jc w:val="center"/>
      </w:pPr>
    </w:p>
    <w:p w14:paraId="7AB59619">
      <w:p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现在进行仿真：</w:t>
      </w:r>
    </w:p>
    <w:p w14:paraId="38A0BFAA">
      <w:p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  <w:t>可以看到震荡电路的输出是一个幅值2V(1.986V)的正弦波：</w:t>
      </w:r>
    </w:p>
    <w:p w14:paraId="0B6101B9">
      <w:pPr>
        <w:jc w:val="both"/>
      </w:pPr>
      <w:r>
        <w:drawing>
          <wp:inline distT="0" distB="0" distL="114300" distR="114300">
            <wp:extent cx="5274310" cy="2494280"/>
            <wp:effectExtent l="0" t="0" r="254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23D1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开始进行测试，现在设定C0是10nf，开始对不同CX选择不同量程进行测量：</w:t>
      </w:r>
    </w:p>
    <w:p w14:paraId="3C1CF1DC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6455F4C1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当CX是1pf时，将第一级增益A1设定为1，第二级增益设定为A2=100，那么根据计算，结果幅值应该为19.86mV,实际结果为：17.27mv；</w:t>
      </w:r>
    </w:p>
    <w:p w14:paraId="393CF3A4"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rc: MAX(v(vout_rc))=1.98625 FROM 0.025 TO 0.005</w:t>
      </w:r>
    </w:p>
    <w:p w14:paraId="7F26F363">
      <w:pPr>
        <w:ind w:left="420" w:leftChars="0" w:firstLine="420" w:firstLineChars="0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out: MAX(v(vout))=0.01727 FROM 0.025 TO 0.005</w:t>
      </w:r>
    </w:p>
    <w:p w14:paraId="42066426">
      <w:pPr>
        <w:ind w:left="420" w:leftChars="0" w:firstLine="420" w:firstLineChars="0"/>
        <w:jc w:val="center"/>
        <w:rPr>
          <w:rFonts w:hint="eastAsia" w:ascii="Courier New" w:hAnsi="Courier New"/>
          <w:b/>
          <w:sz w:val="20"/>
          <w:szCs w:val="24"/>
          <w:lang w:val="zh-CN"/>
        </w:rPr>
      </w:pPr>
      <w:r>
        <w:drawing>
          <wp:inline distT="0" distB="0" distL="114300" distR="114300">
            <wp:extent cx="3844290" cy="1140460"/>
            <wp:effectExtent l="0" t="0" r="381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4DF4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当CX是2uf时，将第一级增益A1设定为0.001，第二级增益设定为A2=1，那么根据计算，结果幅值应该为397.2mV,实际结果为：</w:t>
      </w:r>
      <w:r>
        <w:rPr>
          <w:rFonts w:hint="eastAsia" w:ascii="Times New Roman" w:hAnsi="Times New Roman" w:eastAsia="宋体" w:cs="Times New Roman"/>
          <w:color w:val="0000FF"/>
          <w:szCs w:val="21"/>
          <w:lang w:val="zh-CN"/>
        </w:rPr>
        <w:t>386</w:t>
      </w: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mV；</w:t>
      </w:r>
    </w:p>
    <w:p w14:paraId="4652AC1B"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rc: MAX(v(vout_rc))=1.98429 FROM 0.025 TO 0.005</w:t>
      </w:r>
      <w:bookmarkStart w:id="0" w:name="_GoBack"/>
      <w:bookmarkEnd w:id="0"/>
    </w:p>
    <w:p w14:paraId="2BD8C097"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out: MAX(v(vout))=0.386926 FROM 0.025 TO 0.005</w:t>
      </w:r>
    </w:p>
    <w:p w14:paraId="41B2E1DA">
      <w:pPr>
        <w:jc w:val="center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drawing>
          <wp:inline distT="0" distB="0" distL="114300" distR="114300">
            <wp:extent cx="5273040" cy="1140460"/>
            <wp:effectExtent l="0" t="0" r="3810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6D49">
      <w:pPr>
        <w:rPr>
          <w:rFonts w:hint="default" w:ascii="Courier New" w:hAnsi="Courier New"/>
          <w:b/>
          <w:sz w:val="20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2D76"/>
    <w:rsid w:val="00076981"/>
    <w:rsid w:val="000D3FE8"/>
    <w:rsid w:val="0010715D"/>
    <w:rsid w:val="0013709B"/>
    <w:rsid w:val="00197DB0"/>
    <w:rsid w:val="001A65BA"/>
    <w:rsid w:val="001C6D0D"/>
    <w:rsid w:val="001E73A8"/>
    <w:rsid w:val="002E7254"/>
    <w:rsid w:val="00381A3B"/>
    <w:rsid w:val="00416F50"/>
    <w:rsid w:val="00420CFD"/>
    <w:rsid w:val="00434A6A"/>
    <w:rsid w:val="004554CB"/>
    <w:rsid w:val="00464ED4"/>
    <w:rsid w:val="0047538C"/>
    <w:rsid w:val="00484156"/>
    <w:rsid w:val="004956C4"/>
    <w:rsid w:val="004E0AF2"/>
    <w:rsid w:val="004F3AA7"/>
    <w:rsid w:val="005A4012"/>
    <w:rsid w:val="005E6F55"/>
    <w:rsid w:val="006053A2"/>
    <w:rsid w:val="006A2277"/>
    <w:rsid w:val="006A5EFA"/>
    <w:rsid w:val="006D4D1C"/>
    <w:rsid w:val="00741330"/>
    <w:rsid w:val="00742008"/>
    <w:rsid w:val="00771F2E"/>
    <w:rsid w:val="007E6076"/>
    <w:rsid w:val="007E69BB"/>
    <w:rsid w:val="0080350F"/>
    <w:rsid w:val="008414DE"/>
    <w:rsid w:val="00864E53"/>
    <w:rsid w:val="008C6EA4"/>
    <w:rsid w:val="008D69B9"/>
    <w:rsid w:val="0098442F"/>
    <w:rsid w:val="009C0016"/>
    <w:rsid w:val="009D0529"/>
    <w:rsid w:val="00A0186A"/>
    <w:rsid w:val="00A209B7"/>
    <w:rsid w:val="00A50532"/>
    <w:rsid w:val="00A91198"/>
    <w:rsid w:val="00AC720A"/>
    <w:rsid w:val="00B448A9"/>
    <w:rsid w:val="00B84F87"/>
    <w:rsid w:val="00B855C6"/>
    <w:rsid w:val="00BF79AD"/>
    <w:rsid w:val="00CA1C99"/>
    <w:rsid w:val="00CE01A9"/>
    <w:rsid w:val="00D90982"/>
    <w:rsid w:val="00DC50E4"/>
    <w:rsid w:val="00DD572B"/>
    <w:rsid w:val="00E51CB8"/>
    <w:rsid w:val="00F93D1E"/>
    <w:rsid w:val="00FA1BCA"/>
    <w:rsid w:val="00FA61E7"/>
    <w:rsid w:val="028C60B5"/>
    <w:rsid w:val="070A1BE7"/>
    <w:rsid w:val="072919FB"/>
    <w:rsid w:val="1DDD7219"/>
    <w:rsid w:val="23B438AF"/>
    <w:rsid w:val="292673D8"/>
    <w:rsid w:val="2A893FD5"/>
    <w:rsid w:val="2B6B24D2"/>
    <w:rsid w:val="30301E9F"/>
    <w:rsid w:val="337819DF"/>
    <w:rsid w:val="35F165B8"/>
    <w:rsid w:val="36C03DD1"/>
    <w:rsid w:val="3F401EB9"/>
    <w:rsid w:val="4A0250DD"/>
    <w:rsid w:val="4AC85440"/>
    <w:rsid w:val="561A44BB"/>
    <w:rsid w:val="57EF4CB5"/>
    <w:rsid w:val="608508AD"/>
    <w:rsid w:val="67713FFE"/>
    <w:rsid w:val="6EBB192F"/>
    <w:rsid w:val="6EF249D7"/>
    <w:rsid w:val="747B0815"/>
    <w:rsid w:val="784E426F"/>
    <w:rsid w:val="79E8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</Words>
  <Characters>179</Characters>
  <Lines>1</Lines>
  <Paragraphs>1</Paragraphs>
  <TotalTime>0</TotalTime>
  <ScaleCrop>false</ScaleCrop>
  <LinksUpToDate>false</LinksUpToDate>
  <CharactersWithSpaces>209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2024-01-12T11:20:00Z</dcterms:created>
  <dc:creator>wuyi lao</dc:creator>
  <cp:lastModifiedBy>jhong</cp:lastModifiedBy>
  <dcterms:modified xsi:type="dcterms:W3CDTF">2024-11-21T12:01:51Z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087646ED58DF433BBFA5721F9A69B364_12</vt:lpwstr>
  </property>
</Properties>
</file>