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eastAsia="黑体"/>
          <w:b/>
          <w:sz w:val="44"/>
        </w:rPr>
        <w:t>职业教育科研课题申请报告</w:t>
      </w:r>
    </w:p>
    <w:p/>
    <w:p>
      <w:pPr>
        <w:jc w:val="center"/>
      </w:pPr>
      <w:r>
        <w:rPr>
          <w:rFonts w:ascii="黑体" w:hAnsi="黑体" w:eastAsia="黑体"/>
          <w:b/>
          <w:sz w:val="36"/>
        </w:rPr>
        <w:t>基于人工智能的高职语文教学</w:t>
      </w:r>
    </w:p>
    <w:p>
      <w:pPr>
        <w:jc w:val="center"/>
      </w:pPr>
      <w:r>
        <w:rPr>
          <w:rFonts w:ascii="黑体" w:hAnsi="黑体" w:eastAsia="黑体"/>
          <w:b/>
          <w:sz w:val="36"/>
        </w:rPr>
        <w:t>辩证性思维培养路径研究</w:t>
      </w:r>
    </w:p>
    <w:p/>
    <w:p/>
    <w:tbl>
      <w:tblPr>
        <w:tblStyle w:val="TableGrid"/>
        <w:tblW w:type="auto" w:w="0"/>
        <w:jc w:val="center"/>
        <w:tblLook w:firstColumn="1" w:firstRow="1" w:lastColumn="0" w:lastRow="0" w:noHBand="0" w:noVBand="1" w:val="04A0"/>
      </w:tblPr>
      <w:tblGrid>
        <w:gridCol w:w="4323"/>
        <w:gridCol w:w="4323"/>
      </w:tblGrid>
      <w:tr>
        <w:tc>
          <w:tcPr>
            <w:tcW w:type="dxa" w:w="1984"/>
          </w:tcPr>
          <w:p>
            <w:pPr>
              <w:jc w:val="center"/>
            </w:pPr>
            <w:r>
              <w:rPr>
                <w:rFonts w:ascii="黑体" w:hAnsi="黑体" w:eastAsia="黑体"/>
                <w:b/>
                <w:sz w:val="24"/>
              </w:rPr>
              <w:t>课题名称</w:t>
            </w:r>
          </w:p>
        </w:tc>
        <w:tc>
          <w:tcPr>
            <w:tcW w:type="dxa" w:w="5669"/>
          </w:tcPr>
          <w:p>
            <w:r>
              <w:rPr>
                <w:rFonts w:ascii="宋体" w:hAnsi="宋体" w:eastAsia="宋体"/>
                <w:b w:val="0"/>
                <w:sz w:val="24"/>
              </w:rPr>
              <w:t>基于人工智能的高职语文教学辩证性思维培养路径研究</w:t>
            </w:r>
          </w:p>
        </w:tc>
      </w:tr>
      <w:tr>
        <w:tc>
          <w:tcPr>
            <w:tcW w:type="dxa" w:w="1984"/>
          </w:tcPr>
          <w:p>
            <w:pPr>
              <w:jc w:val="center"/>
            </w:pPr>
            <w:r>
              <w:rPr>
                <w:rFonts w:ascii="黑体" w:hAnsi="黑体" w:eastAsia="黑体"/>
                <w:b/>
                <w:sz w:val="24"/>
              </w:rPr>
              <w:t>课题类别</w:t>
            </w:r>
          </w:p>
        </w:tc>
        <w:tc>
          <w:tcPr>
            <w:tcW w:type="dxa" w:w="5669"/>
          </w:tcPr>
          <w:p>
            <w:r>
              <w:rPr>
                <w:rFonts w:ascii="宋体" w:hAnsi="宋体" w:eastAsia="宋体"/>
                <w:b w:val="0"/>
                <w:sz w:val="24"/>
              </w:rPr>
              <w:t>职业教育</w:t>
            </w:r>
          </w:p>
        </w:tc>
      </w:tr>
      <w:tr>
        <w:tc>
          <w:tcPr>
            <w:tcW w:type="dxa" w:w="1984"/>
          </w:tcPr>
          <w:p>
            <w:pPr>
              <w:jc w:val="center"/>
            </w:pPr>
            <w:r>
              <w:rPr>
                <w:rFonts w:ascii="黑体" w:hAnsi="黑体" w:eastAsia="黑体"/>
                <w:b/>
                <w:sz w:val="24"/>
              </w:rPr>
              <w:t>关  键  词</w:t>
            </w:r>
          </w:p>
        </w:tc>
        <w:tc>
          <w:tcPr>
            <w:tcW w:type="dxa" w:w="5669"/>
          </w:tcPr>
          <w:p>
            <w:r>
              <w:rPr>
                <w:rFonts w:ascii="宋体" w:hAnsi="宋体" w:eastAsia="宋体"/>
                <w:b w:val="0"/>
                <w:sz w:val="24"/>
              </w:rPr>
              <w:t>人工智能；高职语文；辩证性思维</w:t>
            </w:r>
          </w:p>
        </w:tc>
      </w:tr>
      <w:tr>
        <w:tc>
          <w:tcPr>
            <w:tcW w:type="dxa" w:w="1984"/>
          </w:tcPr>
          <w:p>
            <w:pPr>
              <w:jc w:val="center"/>
            </w:pPr>
            <w:r>
              <w:rPr>
                <w:rFonts w:ascii="黑体" w:hAnsi="黑体" w:eastAsia="黑体"/>
                <w:b/>
                <w:sz w:val="24"/>
              </w:rPr>
              <w:t>申请人</w:t>
            </w:r>
          </w:p>
        </w:tc>
        <w:tc>
          <w:tcPr>
            <w:tcW w:type="dxa" w:w="5669"/>
          </w:tcPr>
          <w:p>
            <w:r>
              <w:rPr>
                <w:rFonts w:ascii="宋体" w:hAnsi="宋体" w:eastAsia="宋体"/>
                <w:b w:val="0"/>
                <w:sz w:val="24"/>
              </w:rPr>
            </w:r>
          </w:p>
        </w:tc>
      </w:tr>
      <w:tr>
        <w:tc>
          <w:tcPr>
            <w:tcW w:type="dxa" w:w="1984"/>
          </w:tcPr>
          <w:p>
            <w:pPr>
              <w:jc w:val="center"/>
            </w:pPr>
            <w:r>
              <w:rPr>
                <w:rFonts w:ascii="黑体" w:hAnsi="黑体" w:eastAsia="黑体"/>
                <w:b/>
                <w:sz w:val="24"/>
              </w:rPr>
              <w:t>所在单位</w:t>
            </w:r>
          </w:p>
        </w:tc>
        <w:tc>
          <w:tcPr>
            <w:tcW w:type="dxa" w:w="5669"/>
          </w:tcPr>
          <w:p>
            <w:r>
              <w:rPr>
                <w:rFonts w:ascii="宋体" w:hAnsi="宋体" w:eastAsia="宋体"/>
                <w:b w:val="0"/>
                <w:sz w:val="24"/>
              </w:rPr>
            </w:r>
          </w:p>
        </w:tc>
      </w:tr>
      <w:tr>
        <w:tc>
          <w:tcPr>
            <w:tcW w:type="dxa" w:w="1984"/>
          </w:tcPr>
          <w:p>
            <w:pPr>
              <w:jc w:val="center"/>
            </w:pPr>
            <w:r>
              <w:rPr>
                <w:rFonts w:ascii="黑体" w:hAnsi="黑体" w:eastAsia="黑体"/>
                <w:b/>
                <w:sz w:val="24"/>
              </w:rPr>
              <w:t>联系电话</w:t>
            </w:r>
          </w:p>
        </w:tc>
        <w:tc>
          <w:tcPr>
            <w:tcW w:type="dxa" w:w="5669"/>
          </w:tcPr>
          <w:p>
            <w:r>
              <w:rPr>
                <w:rFonts w:ascii="宋体" w:hAnsi="宋体" w:eastAsia="宋体"/>
                <w:b w:val="0"/>
                <w:sz w:val="24"/>
              </w:rPr>
            </w:r>
          </w:p>
        </w:tc>
      </w:tr>
      <w:tr>
        <w:tc>
          <w:tcPr>
            <w:tcW w:type="dxa" w:w="1984"/>
          </w:tcPr>
          <w:p>
            <w:pPr>
              <w:jc w:val="center"/>
            </w:pPr>
            <w:r>
              <w:rPr>
                <w:rFonts w:ascii="黑体" w:hAnsi="黑体" w:eastAsia="黑体"/>
                <w:b/>
                <w:sz w:val="24"/>
              </w:rPr>
              <w:t>电子邮箱</w:t>
            </w:r>
          </w:p>
        </w:tc>
        <w:tc>
          <w:tcPr>
            <w:tcW w:type="dxa" w:w="5669"/>
          </w:tcPr>
          <w:p>
            <w:r>
              <w:rPr>
                <w:rFonts w:ascii="宋体" w:hAnsi="宋体" w:eastAsia="宋体"/>
                <w:b w:val="0"/>
                <w:sz w:val="24"/>
              </w:rPr>
            </w:r>
          </w:p>
        </w:tc>
      </w:tr>
      <w:tr>
        <w:tc>
          <w:tcPr>
            <w:tcW w:type="dxa" w:w="1984"/>
          </w:tcPr>
          <w:p>
            <w:pPr>
              <w:jc w:val="center"/>
            </w:pPr>
            <w:r>
              <w:rPr>
                <w:rFonts w:ascii="黑体" w:hAnsi="黑体" w:eastAsia="黑体"/>
                <w:b/>
                <w:sz w:val="24"/>
              </w:rPr>
              <w:t>申请日期</w:t>
            </w:r>
          </w:p>
        </w:tc>
        <w:tc>
          <w:tcPr>
            <w:tcW w:type="dxa" w:w="5669"/>
          </w:tcPr>
          <w:p>
            <w:r>
              <w:rPr>
                <w:rFonts w:ascii="宋体" w:hAnsi="宋体" w:eastAsia="宋体"/>
                <w:b w:val="0"/>
                <w:sz w:val="24"/>
              </w:rPr>
              <w:t>2026年   月   日</w:t>
            </w:r>
          </w:p>
        </w:tc>
      </w:tr>
    </w:tbl>
    <w:p/>
    <w:p/>
    <w:p>
      <w:pPr>
        <w:jc w:val="center"/>
      </w:pPr>
      <w:r>
        <w:rPr>
          <w:rFonts w:ascii="宋体" w:hAnsi="宋体" w:eastAsia="宋体"/>
          <w:b w:val="0"/>
          <w:sz w:val="20"/>
        </w:rPr>
        <w:t>（本报告内容仅供申请使用，请据实填写）</w:t>
      </w:r>
    </w:p>
    <w:p>
      <w:r>
        <w:br w:type="page"/>
      </w:r>
    </w:p>
    <w:p>
      <w:pPr>
        <w:jc w:val="center"/>
      </w:pPr>
      <w:r>
        <w:rPr>
          <w:rFonts w:ascii="黑体" w:hAnsi="黑体" w:eastAsia="黑体"/>
          <w:b/>
          <w:sz w:val="36"/>
        </w:rPr>
        <w:t>课题申请报告</w:t>
      </w:r>
    </w:p>
    <w:p/>
    <w:p>
      <w:pPr>
        <w:jc w:val="left"/>
      </w:pPr>
      <w:r>
        <w:rPr>
          <w:rFonts w:ascii="黑体" w:hAnsi="黑体" w:eastAsia="黑体"/>
          <w:b/>
          <w:sz w:val="28"/>
        </w:rPr>
        <w:t>一、课题研究背景与意义</w:t>
      </w:r>
    </w:p>
    <w:p>
      <w:pPr>
        <w:jc w:val="both"/>
      </w:pPr>
      <w:r>
        <w:rPr>
          <w:rFonts w:ascii="黑体" w:hAnsi="黑体" w:eastAsia="黑体"/>
          <w:b/>
          <w:sz w:val="24"/>
        </w:rPr>
        <w:t>（一）研究背景</w:t>
      </w:r>
    </w:p>
    <w:p>
      <w:pPr>
        <w:ind w:firstLine="480"/>
        <w:jc w:val="both"/>
      </w:pPr>
      <w:r>
        <w:rPr>
          <w:rFonts w:ascii="宋体" w:hAnsi="宋体" w:eastAsia="宋体"/>
          <w:b w:val="0"/>
          <w:sz w:val="24"/>
        </w:rPr>
        <w:t>当前，以大数据、云计算、深度学习为代表的人工智能技术正以前所未有的速度渗透到各行各业，深刻改变着人类的生产方式与生活样态。教育领域亦不例外。2017年国务院颁布《新一代人工智能发展规划》，明确提出"利用智能技术加快推动人才培养模式改革"；2019年教育部发布《中国教育现代化2035》，将人工智能与教育深度融合列为重点任务。高职教育作为培养高素质技术技能人才的重要阵地，在人工智能背景下推进课程教学改革，既是时代的呼唤，也是自身高质量发展的内在需要。</w:t>
      </w:r>
    </w:p>
    <w:p>
      <w:pPr>
        <w:ind w:firstLine="480"/>
        <w:jc w:val="both"/>
      </w:pPr>
      <w:r>
        <w:rPr>
          <w:rFonts w:ascii="宋体" w:hAnsi="宋体" w:eastAsia="宋体"/>
          <w:b w:val="0"/>
          <w:sz w:val="24"/>
        </w:rPr>
        <w:t>语文是高职院校的公共基础课程，承担着传授语言文字知识、培育人文素养、提升思维品质的综合使命。然而，长期以来，高职语文教学存在教学目标窄化、教学方法单一、学生主体参与度低等突出问题，尤其是对学生辩证性思维的系统培养严重不足。辩证性思维是指个体运用矛盾分析、联系发展、一分为二等辩证唯物主义基本观点对事物进行全面、发展、联系地分析判断的能力，是21世纪复合型人才不可或缺的核心素养之一。在人工智能工具广泛应用于语文学习的新情境下，如何有效借助智能技术的赋能优势，突破传统教学瓶颈，构建系统化的辩证性思维培养路径，成为当前高职语文教学改革亟待回答的重要课题。</w:t>
      </w:r>
    </w:p>
    <w:p>
      <w:pPr>
        <w:jc w:val="both"/>
      </w:pPr>
      <w:r>
        <w:rPr>
          <w:rFonts w:ascii="黑体" w:hAnsi="黑体" w:eastAsia="黑体"/>
          <w:b/>
          <w:sz w:val="24"/>
        </w:rPr>
        <w:t>（二）研究意义</w:t>
      </w:r>
    </w:p>
    <w:p>
      <w:pPr>
        <w:ind w:firstLine="480"/>
        <w:jc w:val="both"/>
      </w:pPr>
      <w:r>
        <w:rPr>
          <w:rFonts w:ascii="宋体" w:hAnsi="宋体" w:eastAsia="宋体"/>
          <w:b w:val="0"/>
          <w:sz w:val="24"/>
        </w:rPr>
        <w:t>1.理论意义：本研究在思维发展理论、建构主义学习理论与人工智能赋能教育理论的交叉融合中，尝试构建"人工智能+高职语文+辩证性思维"三位一体的理论分析框架，丰富职业教育课程论与教学论的理论体系，为后续相关研究提供理论参照。</w:t>
      </w:r>
    </w:p>
    <w:p>
      <w:pPr>
        <w:ind w:firstLine="480"/>
        <w:jc w:val="both"/>
      </w:pPr>
      <w:r>
        <w:rPr>
          <w:rFonts w:ascii="宋体" w:hAnsi="宋体" w:eastAsia="宋体"/>
          <w:b w:val="0"/>
          <w:sz w:val="24"/>
        </w:rPr>
        <w:t>2.实践意义：本研究立足高职语文教学实践，探索人工智能技术融入辩证性思维培养的具体路径与可操作策略，为一线教师提供可借鉴、可推广的教学范式，对提升高职语文教育质量具有直接的实践指导价值。</w:t>
      </w:r>
    </w:p>
    <w:p>
      <w:pPr>
        <w:ind w:firstLine="480"/>
        <w:jc w:val="both"/>
      </w:pPr>
      <w:r>
        <w:rPr>
          <w:rFonts w:ascii="宋体" w:hAnsi="宋体" w:eastAsia="宋体"/>
          <w:b w:val="0"/>
          <w:sz w:val="24"/>
        </w:rPr>
        <w:t>3.社会意义：在人工智能加速重塑社会劳动结构的背景下，培养能够辩证思考、理性判断的高素质技术技能人才，有助于高职院校更好地履行服务国家战略、支撑产业升级的社会责任。</w:t>
      </w:r>
    </w:p>
    <w:p/>
    <w:p>
      <w:pPr>
        <w:jc w:val="left"/>
      </w:pPr>
      <w:r>
        <w:rPr>
          <w:rFonts w:ascii="黑体" w:hAnsi="黑体" w:eastAsia="黑体"/>
          <w:b/>
          <w:sz w:val="28"/>
        </w:rPr>
        <w:t>二、文献综述与研究现状</w:t>
      </w:r>
    </w:p>
    <w:p>
      <w:pPr>
        <w:jc w:val="both"/>
      </w:pPr>
      <w:r>
        <w:rPr>
          <w:rFonts w:ascii="黑体" w:hAnsi="黑体" w:eastAsia="黑体"/>
          <w:b/>
          <w:sz w:val="24"/>
        </w:rPr>
        <w:t>（一）国内研究现状</w:t>
      </w:r>
    </w:p>
    <w:p>
      <w:pPr>
        <w:ind w:firstLine="480"/>
        <w:jc w:val="both"/>
      </w:pPr>
      <w:r>
        <w:rPr>
          <w:rFonts w:ascii="宋体" w:hAnsi="宋体" w:eastAsia="宋体"/>
          <w:b w:val="0"/>
          <w:sz w:val="24"/>
        </w:rPr>
        <w:t>国内学界对辩证性思维的关注由来已久。从哲学视角看，辩证性思维根植于马克思主义辩证唯物论，强调对立统一、否定之否定等规律的思维运用；从心理学视角看，辩证性思维被视为高阶思维的重要维度，与批判性思维、创造性思维共同构成复杂思维的核心成分。在语文教育领域，申军等（2020）提出将辩证性思维培养嵌入语文阅读与写作教学的整体方案；李晓燕（2021）探讨了任务驱动教学模式对高职生辩证思维发展的促进效应。然而，专门聚焦高职语文教学中辩证性思维培养的系统性研究仍较为匮乏，且鲜有研究将人工智能技术的应用纳入考量。</w:t>
      </w:r>
    </w:p>
    <w:p>
      <w:pPr>
        <w:jc w:val="both"/>
      </w:pPr>
      <w:r>
        <w:rPr>
          <w:rFonts w:ascii="黑体" w:hAnsi="黑体" w:eastAsia="黑体"/>
          <w:b/>
          <w:sz w:val="24"/>
        </w:rPr>
        <w:t>（二）国外研究现状</w:t>
      </w:r>
    </w:p>
    <w:p>
      <w:pPr>
        <w:ind w:firstLine="480"/>
        <w:jc w:val="both"/>
      </w:pPr>
      <w:r>
        <w:rPr>
          <w:rFonts w:ascii="宋体" w:hAnsi="宋体" w:eastAsia="宋体"/>
          <w:b w:val="0"/>
          <w:sz w:val="24"/>
        </w:rPr>
        <w:t>国外学者对批判性思维与辩证思维的研究起步较早，Paul &amp; Elder（2006）构建了批判性思维教育框架，强调思维的自我矫正与评估；Facione（1990）提出了批判性思维的六大核心技能模型。在人工智能与教育领域，Holmes等（2019）系统梳理了AI赋能个性化学习的研究进展；Luckin等（2016）探讨了智能辅导系统对高阶思维发展的潜在价值。但将人工智能技术专门应用于辩证性思维培养路径的实证研究仍属空白，尤其是在职业教育语境下。</w:t>
      </w:r>
    </w:p>
    <w:p>
      <w:pPr>
        <w:jc w:val="both"/>
      </w:pPr>
      <w:r>
        <w:rPr>
          <w:rFonts w:ascii="黑体" w:hAnsi="黑体" w:eastAsia="黑体"/>
          <w:b/>
          <w:sz w:val="24"/>
        </w:rPr>
        <w:t>（三）研究述评</w:t>
      </w:r>
    </w:p>
    <w:p>
      <w:pPr>
        <w:ind w:firstLine="480"/>
        <w:jc w:val="both"/>
      </w:pPr>
      <w:r>
        <w:rPr>
          <w:rFonts w:ascii="宋体" w:hAnsi="宋体" w:eastAsia="宋体"/>
          <w:b w:val="0"/>
          <w:sz w:val="24"/>
        </w:rPr>
        <w:t>综合国内外研究可知：第一，辩证性思维培养已获学界广泛认可，但具体路径研究尚不深入；第二，人工智能在教育领域的应用研究方兴未艾，但聚焦语文学科与辩证思维的交叉研究几乎空白；第三，现有研究普遍缺乏系统的实证数据支撑，理论与实践之间存在明显断层。本研究正是针对上述不足，尝试在高职语文教学情境中开展有针对性的创新探索。</w:t>
      </w:r>
    </w:p>
    <w:p/>
    <w:p>
      <w:pPr>
        <w:jc w:val="left"/>
      </w:pPr>
      <w:r>
        <w:rPr>
          <w:rFonts w:ascii="黑体" w:hAnsi="黑体" w:eastAsia="黑体"/>
          <w:b/>
          <w:sz w:val="28"/>
        </w:rPr>
        <w:t>三、研究目标与研究内容</w:t>
      </w:r>
    </w:p>
    <w:p>
      <w:pPr>
        <w:jc w:val="both"/>
      </w:pPr>
      <w:r>
        <w:rPr>
          <w:rFonts w:ascii="黑体" w:hAnsi="黑体" w:eastAsia="黑体"/>
          <w:b/>
          <w:sz w:val="24"/>
        </w:rPr>
        <w:t>（一）研究目标</w:t>
      </w:r>
    </w:p>
    <w:p>
      <w:pPr>
        <w:ind w:firstLine="480"/>
        <w:jc w:val="both"/>
      </w:pPr>
      <w:r>
        <w:rPr>
          <w:rFonts w:ascii="宋体" w:hAnsi="宋体" w:eastAsia="宋体"/>
          <w:b w:val="0"/>
          <w:sz w:val="24"/>
        </w:rPr>
        <w:t>本研究的总体目标是：以辩证唯物主义思维方法论为指导，以人工智能技术为赋能工具，以高职语文教学为实践场域，构建"人工智能赋能高职语文辩证性思维培养"的理论框架与实践路径，形成可推广的教学模式与操作方案。具体目标如下：</w:t>
      </w:r>
    </w:p>
    <w:p>
      <w:pPr>
        <w:ind w:firstLine="480"/>
        <w:jc w:val="both"/>
      </w:pPr>
      <w:r>
        <w:rPr>
          <w:rFonts w:ascii="宋体" w:hAnsi="宋体" w:eastAsia="宋体"/>
          <w:b w:val="0"/>
          <w:sz w:val="24"/>
        </w:rPr>
        <w:t>1.厘清高职院校学生辩证性思维的现状水平与影响因素；</w:t>
      </w:r>
    </w:p>
    <w:p>
      <w:pPr>
        <w:ind w:firstLine="480"/>
        <w:jc w:val="both"/>
      </w:pPr>
      <w:r>
        <w:rPr>
          <w:rFonts w:ascii="宋体" w:hAnsi="宋体" w:eastAsia="宋体"/>
          <w:b w:val="0"/>
          <w:sz w:val="24"/>
        </w:rPr>
        <w:t>2.探明人工智能技术融入高职语文教学的可行模式与作用机制；</w:t>
      </w:r>
    </w:p>
    <w:p>
      <w:pPr>
        <w:ind w:firstLine="480"/>
        <w:jc w:val="both"/>
      </w:pPr>
      <w:r>
        <w:rPr>
          <w:rFonts w:ascii="宋体" w:hAnsi="宋体" w:eastAsia="宋体"/>
          <w:b w:val="0"/>
          <w:sz w:val="24"/>
        </w:rPr>
        <w:t>3.构建基于人工智能的高职语文辩证性思维培养路径体系；</w:t>
      </w:r>
    </w:p>
    <w:p>
      <w:pPr>
        <w:ind w:firstLine="480"/>
        <w:jc w:val="both"/>
      </w:pPr>
      <w:r>
        <w:rPr>
          <w:rFonts w:ascii="宋体" w:hAnsi="宋体" w:eastAsia="宋体"/>
          <w:b w:val="0"/>
          <w:sz w:val="24"/>
        </w:rPr>
        <w:t>4.通过教学实验验证所构建路径的有效性，并形成可推广的教学范式。</w:t>
      </w:r>
    </w:p>
    <w:p>
      <w:pPr>
        <w:jc w:val="both"/>
      </w:pPr>
      <w:r>
        <w:rPr>
          <w:rFonts w:ascii="黑体" w:hAnsi="黑体" w:eastAsia="黑体"/>
          <w:b/>
          <w:sz w:val="24"/>
        </w:rPr>
        <w:t>（二）研究内容</w:t>
      </w:r>
    </w:p>
    <w:p>
      <w:pPr>
        <w:ind w:firstLine="480"/>
        <w:jc w:val="both"/>
      </w:pPr>
      <w:r>
        <w:rPr>
          <w:rFonts w:ascii="宋体" w:hAnsi="宋体" w:eastAsia="宋体"/>
          <w:b w:val="0"/>
          <w:sz w:val="24"/>
        </w:rPr>
        <w:t>1.高职学生辩证性思维现状调查研究。设计辩证性思维测量量表，通过问卷调查与访谈，全面了解高职院校学生辩证性思维现状、薄弱环节及影响因素，为后续研究提供基础数据。</w:t>
      </w:r>
    </w:p>
    <w:p>
      <w:pPr>
        <w:ind w:firstLine="480"/>
        <w:jc w:val="both"/>
      </w:pPr>
      <w:r>
        <w:rPr>
          <w:rFonts w:ascii="宋体" w:hAnsi="宋体" w:eastAsia="宋体"/>
          <w:b w:val="0"/>
          <w:sz w:val="24"/>
        </w:rPr>
        <w:t>2.人工智能赋能高职语文教学的模式研究。系统梳理当前主流AI教育工具（如ChatGPT、文心一言、智能阅读平台等）在语文教学中的应用现状，分析其赋能辩证性思维培养的作用路径与机制。</w:t>
      </w:r>
    </w:p>
    <w:p>
      <w:pPr>
        <w:ind w:firstLine="480"/>
        <w:jc w:val="both"/>
      </w:pPr>
      <w:r>
        <w:rPr>
          <w:rFonts w:ascii="宋体" w:hAnsi="宋体" w:eastAsia="宋体"/>
          <w:b w:val="0"/>
          <w:sz w:val="24"/>
        </w:rPr>
        <w:t>3."AI+高职语文"辩证性思维培养路径构建。从课程设计、教学策略、学习评价三个维度，构建融合人工智能技术的辩证性思维培养路径体系，包括：智能辅助阅读理解路径、AI驱动辩论写作路径、多元智能评价反馈路径等。</w:t>
      </w:r>
    </w:p>
    <w:p>
      <w:pPr>
        <w:ind w:firstLine="480"/>
        <w:jc w:val="both"/>
      </w:pPr>
      <w:r>
        <w:rPr>
          <w:rFonts w:ascii="宋体" w:hAnsi="宋体" w:eastAsia="宋体"/>
          <w:b w:val="0"/>
          <w:sz w:val="24"/>
        </w:rPr>
        <w:t>4.教学实验与路径验证。选取典型高职院校开展准实验研究，通过前测-后测对照设计，验证所构建培养路径的实施效果，并根据反馈迭代优化。</w:t>
      </w:r>
    </w:p>
    <w:p>
      <w:pPr>
        <w:ind w:firstLine="480"/>
        <w:jc w:val="both"/>
      </w:pPr>
      <w:r>
        <w:rPr>
          <w:rFonts w:ascii="宋体" w:hAnsi="宋体" w:eastAsia="宋体"/>
          <w:b w:val="0"/>
          <w:sz w:val="24"/>
        </w:rPr>
        <w:t>5.研究成果的凝练与推广。形成教学案例集、培养路径操作手册及政策建议报告，为同类院校的教学改革提供借鉴。</w:t>
      </w:r>
    </w:p>
    <w:p/>
    <w:p>
      <w:pPr>
        <w:jc w:val="left"/>
      </w:pPr>
      <w:r>
        <w:rPr>
          <w:rFonts w:ascii="黑体" w:hAnsi="黑体" w:eastAsia="黑体"/>
          <w:b/>
          <w:sz w:val="28"/>
        </w:rPr>
        <w:t>四、研究思路与研究方法</w:t>
      </w:r>
    </w:p>
    <w:p>
      <w:pPr>
        <w:jc w:val="both"/>
      </w:pPr>
      <w:r>
        <w:rPr>
          <w:rFonts w:ascii="黑体" w:hAnsi="黑体" w:eastAsia="黑体"/>
          <w:b/>
          <w:sz w:val="24"/>
        </w:rPr>
        <w:t>（一）研究思路</w:t>
      </w:r>
    </w:p>
    <w:p>
      <w:pPr>
        <w:ind w:firstLine="480"/>
        <w:jc w:val="both"/>
      </w:pPr>
      <w:r>
        <w:rPr>
          <w:rFonts w:ascii="宋体" w:hAnsi="宋体" w:eastAsia="宋体"/>
          <w:b w:val="0"/>
          <w:sz w:val="24"/>
        </w:rPr>
        <w:t>本研究遵循"问题导向—理论建构—实证检验—成果推广"的总体思路。首先，通过文献综述与现状调查，明确问题的本质与根源；其次，在理论分析的基础上，建构人工智能赋能辩证性思维培养的路径框架；再次，通过准实验设计在真实教学情境中验证路径的有效性；最后，凝练研究成果，提炼推广策略。</w:t>
      </w:r>
    </w:p>
    <w:p>
      <w:pPr>
        <w:jc w:val="both"/>
      </w:pPr>
      <w:r>
        <w:rPr>
          <w:rFonts w:ascii="黑体" w:hAnsi="黑体" w:eastAsia="黑体"/>
          <w:b/>
          <w:sz w:val="24"/>
        </w:rPr>
        <w:t>（二）研究方法</w:t>
      </w:r>
    </w:p>
    <w:p>
      <w:pPr>
        <w:ind w:firstLine="480"/>
        <w:jc w:val="both"/>
      </w:pPr>
      <w:r>
        <w:rPr>
          <w:rFonts w:ascii="宋体" w:hAnsi="宋体" w:eastAsia="宋体"/>
          <w:b w:val="0"/>
          <w:sz w:val="24"/>
        </w:rPr>
        <w:t>1.文献研究法：系统收集和梳理国内外关于辩证性思维教育、人工智能教育应用及高职语文教学改革的相关文献，为理论框架构建奠定基础。</w:t>
      </w:r>
    </w:p>
    <w:p>
      <w:pPr>
        <w:ind w:firstLine="480"/>
        <w:jc w:val="both"/>
      </w:pPr>
      <w:r>
        <w:rPr>
          <w:rFonts w:ascii="宋体" w:hAnsi="宋体" w:eastAsia="宋体"/>
          <w:b w:val="0"/>
          <w:sz w:val="24"/>
        </w:rPr>
        <w:t>2.问卷调查法：自编《高职学生辩证性思维水平调查问卷》和《人工智能工具使用情况调查问卷》，对多所高职院校学生进行大规模调查，获取第一手数据。</w:t>
      </w:r>
    </w:p>
    <w:p>
      <w:pPr>
        <w:ind w:firstLine="480"/>
        <w:jc w:val="both"/>
      </w:pPr>
      <w:r>
        <w:rPr>
          <w:rFonts w:ascii="宋体" w:hAnsi="宋体" w:eastAsia="宋体"/>
          <w:b w:val="0"/>
          <w:sz w:val="24"/>
        </w:rPr>
        <w:t>3.访谈法：对高职语文教师及学生代表开展半结构化访谈，深入了解教学实践中的困境与需求。</w:t>
      </w:r>
    </w:p>
    <w:p>
      <w:pPr>
        <w:ind w:firstLine="480"/>
        <w:jc w:val="both"/>
      </w:pPr>
      <w:r>
        <w:rPr>
          <w:rFonts w:ascii="宋体" w:hAnsi="宋体" w:eastAsia="宋体"/>
          <w:b w:val="0"/>
          <w:sz w:val="24"/>
        </w:rPr>
        <w:t>4.准实验研究法：采用实验组与对照组前后测设计，系统检验基于人工智能的辩证性思维培养路径的教学效果。</w:t>
      </w:r>
    </w:p>
    <w:p>
      <w:pPr>
        <w:ind w:firstLine="480"/>
        <w:jc w:val="both"/>
      </w:pPr>
      <w:r>
        <w:rPr>
          <w:rFonts w:ascii="宋体" w:hAnsi="宋体" w:eastAsia="宋体"/>
          <w:b w:val="0"/>
          <w:sz w:val="24"/>
        </w:rPr>
        <w:t>5.案例研究法：深入剖析典型教学案例，总结成功经验与不足，为路径优化提供依据。</w:t>
      </w:r>
    </w:p>
    <w:p/>
    <w:p>
      <w:pPr>
        <w:jc w:val="left"/>
      </w:pPr>
      <w:r>
        <w:rPr>
          <w:rFonts w:ascii="黑体" w:hAnsi="黑体" w:eastAsia="黑体"/>
          <w:b/>
          <w:sz w:val="28"/>
        </w:rPr>
        <w:t>五、理论框架</w:t>
      </w:r>
    </w:p>
    <w:p>
      <w:pPr>
        <w:ind w:firstLine="480"/>
        <w:jc w:val="both"/>
      </w:pPr>
      <w:r>
        <w:rPr>
          <w:rFonts w:ascii="宋体" w:hAnsi="宋体" w:eastAsia="宋体"/>
          <w:b w:val="0"/>
          <w:sz w:val="24"/>
        </w:rPr>
        <w:t>本研究的理论支撑主要包括以下三个层面：</w:t>
      </w:r>
    </w:p>
    <w:p>
      <w:pPr>
        <w:ind w:firstLine="480"/>
        <w:jc w:val="both"/>
      </w:pPr>
      <w:r>
        <w:rPr>
          <w:rFonts w:ascii="宋体" w:hAnsi="宋体" w:eastAsia="宋体"/>
          <w:b w:val="0"/>
          <w:sz w:val="24"/>
        </w:rPr>
        <w:t>1.辩证唯物主义思维方法论：以矛盾分析法、普遍联系原理、发展变化观为核心，为辩证性思维的界定与培养目标提供哲学基础。</w:t>
      </w:r>
    </w:p>
    <w:p>
      <w:pPr>
        <w:ind w:firstLine="480"/>
        <w:jc w:val="both"/>
      </w:pPr>
      <w:r>
        <w:rPr>
          <w:rFonts w:ascii="宋体" w:hAnsi="宋体" w:eastAsia="宋体"/>
          <w:b w:val="0"/>
          <w:sz w:val="24"/>
        </w:rPr>
        <w:t>2.建构主义学习理论：维果茨基的"最近发展区"理论和情境学习理论揭示了语言学习与思维发展的互动机制，为人工智能辅助教学的设计原则提供理论依据。</w:t>
      </w:r>
    </w:p>
    <w:p>
      <w:pPr>
        <w:ind w:firstLine="480"/>
        <w:jc w:val="both"/>
      </w:pPr>
      <w:r>
        <w:rPr>
          <w:rFonts w:ascii="宋体" w:hAnsi="宋体" w:eastAsia="宋体"/>
          <w:b w:val="0"/>
          <w:sz w:val="24"/>
        </w:rPr>
        <w:t>3.人工智能赋能教育理论（AIED）：人工智能赋能教育强调以学习者为中心，借助智能技术实现个性化学习支持与高阶思维发展，是本研究技术路线的理论根基。</w:t>
      </w:r>
    </w:p>
    <w:p>
      <w:pPr>
        <w:ind w:firstLine="480"/>
        <w:jc w:val="both"/>
      </w:pPr>
      <w:r>
        <w:rPr>
          <w:rFonts w:ascii="宋体" w:hAnsi="宋体" w:eastAsia="宋体"/>
          <w:b w:val="0"/>
          <w:sz w:val="24"/>
        </w:rPr>
        <w:t>基于上述理论框架，本研究将构建"目标—路径—评价"三位一体的培养模型：以辩证性思维能力发展为目标，以"人工智能+语文教学"为路径载体，以多元智能评价为质量保障机制。</w:t>
      </w:r>
    </w:p>
    <w:p/>
    <w:p>
      <w:pPr>
        <w:jc w:val="left"/>
      </w:pPr>
      <w:r>
        <w:rPr>
          <w:rFonts w:ascii="黑体" w:hAnsi="黑体" w:eastAsia="黑体"/>
          <w:b/>
          <w:sz w:val="28"/>
        </w:rPr>
        <w:t>六、研究重点、难点与创新点</w:t>
      </w:r>
    </w:p>
    <w:p>
      <w:pPr>
        <w:jc w:val="both"/>
      </w:pPr>
      <w:r>
        <w:rPr>
          <w:rFonts w:ascii="黑体" w:hAnsi="黑体" w:eastAsia="黑体"/>
          <w:b/>
          <w:sz w:val="24"/>
        </w:rPr>
        <w:t>（一）研究重点</w:t>
      </w:r>
    </w:p>
    <w:p>
      <w:pPr>
        <w:ind w:firstLine="480"/>
        <w:jc w:val="both"/>
      </w:pPr>
      <w:r>
        <w:rPr>
          <w:rFonts w:ascii="宋体" w:hAnsi="宋体" w:eastAsia="宋体"/>
          <w:b w:val="0"/>
          <w:sz w:val="24"/>
        </w:rPr>
        <w:t>本研究的重点在于：构建人工智能赋能高职语文辩证性思维培养的路径体系，并通过教学实验加以验证。</w:t>
      </w:r>
    </w:p>
    <w:p>
      <w:pPr>
        <w:jc w:val="both"/>
      </w:pPr>
      <w:r>
        <w:rPr>
          <w:rFonts w:ascii="黑体" w:hAnsi="黑体" w:eastAsia="黑体"/>
          <w:b/>
          <w:sz w:val="24"/>
        </w:rPr>
        <w:t>（二）研究难点</w:t>
      </w:r>
    </w:p>
    <w:p>
      <w:pPr>
        <w:ind w:firstLine="480"/>
        <w:jc w:val="both"/>
      </w:pPr>
      <w:r>
        <w:rPr>
          <w:rFonts w:ascii="宋体" w:hAnsi="宋体" w:eastAsia="宋体"/>
          <w:b w:val="0"/>
          <w:sz w:val="24"/>
        </w:rPr>
        <w:t>1.辩证性思维的测量问题：辩证性思维是一种内隐的高阶认知能力，其量化测量的信效度难以保证，需在量表设计上做专项研究。</w:t>
      </w:r>
    </w:p>
    <w:p>
      <w:pPr>
        <w:ind w:firstLine="480"/>
        <w:jc w:val="both"/>
      </w:pPr>
      <w:r>
        <w:rPr>
          <w:rFonts w:ascii="宋体" w:hAnsi="宋体" w:eastAsia="宋体"/>
          <w:b w:val="0"/>
          <w:sz w:val="24"/>
        </w:rPr>
        <w:t>2.人工智能技术适切性问题：不同AI工具的技术特性差异较大，如何选择与语文辩证性思维培养高度匹配的工具组合，需要大量前期筛选与论证。</w:t>
      </w:r>
    </w:p>
    <w:p>
      <w:pPr>
        <w:ind w:firstLine="480"/>
        <w:jc w:val="both"/>
      </w:pPr>
      <w:r>
        <w:rPr>
          <w:rFonts w:ascii="宋体" w:hAnsi="宋体" w:eastAsia="宋体"/>
          <w:b w:val="0"/>
          <w:sz w:val="24"/>
        </w:rPr>
        <w:t>3.教学实验的控制问题：高职院校的教学环境较为复杂，准实验设计中无关变量的控制存在较大难度。</w:t>
      </w:r>
    </w:p>
    <w:p>
      <w:pPr>
        <w:jc w:val="both"/>
      </w:pPr>
      <w:r>
        <w:rPr>
          <w:rFonts w:ascii="黑体" w:hAnsi="黑体" w:eastAsia="黑体"/>
          <w:b/>
          <w:sz w:val="24"/>
        </w:rPr>
        <w:t>（三）创新点</w:t>
      </w:r>
    </w:p>
    <w:p>
      <w:pPr>
        <w:ind w:firstLine="480"/>
        <w:jc w:val="both"/>
      </w:pPr>
      <w:r>
        <w:rPr>
          <w:rFonts w:ascii="宋体" w:hAnsi="宋体" w:eastAsia="宋体"/>
          <w:b w:val="0"/>
          <w:sz w:val="24"/>
        </w:rPr>
        <w:t>1.选题视角创新：将人工智能技术、高职语文教学与辩证性思维培养三者有机整合，在职业教育语境下开辟新的交叉研究领域。</w:t>
      </w:r>
    </w:p>
    <w:p>
      <w:pPr>
        <w:ind w:firstLine="480"/>
        <w:jc w:val="both"/>
      </w:pPr>
      <w:r>
        <w:rPr>
          <w:rFonts w:ascii="宋体" w:hAnsi="宋体" w:eastAsia="宋体"/>
          <w:b w:val="0"/>
          <w:sz w:val="24"/>
        </w:rPr>
        <w:t>2.理论框架创新：首次构建"AI赋能—语文教学—辩证思维"三位一体的分析模型，为同类研究提供方法论参照。</w:t>
      </w:r>
    </w:p>
    <w:p>
      <w:pPr>
        <w:ind w:firstLine="480"/>
        <w:jc w:val="both"/>
      </w:pPr>
      <w:r>
        <w:rPr>
          <w:rFonts w:ascii="宋体" w:hAnsi="宋体" w:eastAsia="宋体"/>
          <w:b w:val="0"/>
          <w:sz w:val="24"/>
        </w:rPr>
        <w:t>3.实践路径创新：提出基于智能阅读、AI写作辅助、辩证思辨对话等技术手段的多元培养路径，具有较强的可操作性与推广价值。</w:t>
      </w:r>
    </w:p>
    <w:p/>
    <w:p>
      <w:pPr>
        <w:jc w:val="left"/>
      </w:pPr>
      <w:r>
        <w:rPr>
          <w:rFonts w:ascii="黑体" w:hAnsi="黑体" w:eastAsia="黑体"/>
          <w:b/>
          <w:sz w:val="28"/>
        </w:rPr>
        <w:t>七、研究计划与进度安排</w:t>
      </w:r>
    </w:p>
    <w:p>
      <w:pPr>
        <w:ind w:firstLine="480"/>
        <w:jc w:val="both"/>
      </w:pPr>
      <w:r>
        <w:rPr>
          <w:rFonts w:ascii="宋体" w:hAnsi="宋体" w:eastAsia="宋体"/>
          <w:b w:val="0"/>
          <w:sz w:val="24"/>
        </w:rPr>
        <w:t>本课题计划研究周期为两年，具体进度安排如下：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黑体" w:hAnsi="黑体" w:eastAsia="黑体"/>
                <w:b/>
                <w:sz w:val="24"/>
              </w:rPr>
              <w:t>研究阶段</w:t>
            </w:r>
          </w:p>
        </w:tc>
        <w:tc>
          <w:tcPr>
            <w:tcW w:type="dxa" w:w="2882"/>
          </w:tcPr>
          <w:p>
            <w:pPr>
              <w:jc w:val="center"/>
            </w:pPr>
            <w:r>
              <w:rPr>
                <w:rFonts w:ascii="黑体" w:hAnsi="黑体" w:eastAsia="黑体"/>
                <w:b/>
                <w:sz w:val="24"/>
              </w:rPr>
              <w:t>时间安排</w:t>
            </w:r>
          </w:p>
        </w:tc>
        <w:tc>
          <w:tcPr>
            <w:tcW w:type="dxa" w:w="2882"/>
          </w:tcPr>
          <w:p>
            <w:pPr>
              <w:jc w:val="center"/>
            </w:pPr>
            <w:r>
              <w:rPr>
                <w:rFonts w:ascii="黑体" w:hAnsi="黑体" w:eastAsia="黑体"/>
                <w:b/>
                <w:sz w:val="24"/>
              </w:rPr>
              <w:t>主要任务</w:t>
            </w:r>
          </w:p>
        </w:tc>
      </w:tr>
      <w:tr>
        <w:tc>
          <w:tcPr>
            <w:tcW w:type="dxa" w:w="2882"/>
          </w:tcPr>
          <w:p>
            <w:pPr>
              <w:jc w:val="center"/>
            </w:pPr>
            <w:r>
              <w:rPr>
                <w:rFonts w:ascii="宋体" w:hAnsi="宋体" w:eastAsia="宋体"/>
                <w:b w:val="0"/>
                <w:sz w:val="24"/>
              </w:rPr>
              <w:t>准备阶段</w:t>
            </w:r>
          </w:p>
        </w:tc>
        <w:tc>
          <w:tcPr>
            <w:tcW w:type="dxa" w:w="2882"/>
          </w:tcPr>
          <w:p>
            <w:pPr>
              <w:jc w:val="center"/>
            </w:pPr>
            <w:r>
              <w:rPr>
                <w:rFonts w:ascii="宋体" w:hAnsi="宋体" w:eastAsia="宋体"/>
                <w:b w:val="0"/>
                <w:sz w:val="24"/>
              </w:rPr>
              <w:t>第1—3个月</w:t>
            </w:r>
          </w:p>
        </w:tc>
        <w:tc>
          <w:tcPr>
            <w:tcW w:type="dxa" w:w="2882"/>
          </w:tcPr>
          <w:p>
            <w:r>
              <w:rPr>
                <w:rFonts w:ascii="宋体" w:hAnsi="宋体" w:eastAsia="宋体"/>
                <w:b w:val="0"/>
                <w:sz w:val="24"/>
              </w:rPr>
              <w:t>文献收集与综述；调查问卷设计与预测；研究方案细化</w:t>
            </w:r>
          </w:p>
        </w:tc>
      </w:tr>
      <w:tr>
        <w:tc>
          <w:tcPr>
            <w:tcW w:type="dxa" w:w="2882"/>
          </w:tcPr>
          <w:p>
            <w:pPr>
              <w:jc w:val="center"/>
            </w:pPr>
            <w:r>
              <w:rPr>
                <w:rFonts w:ascii="宋体" w:hAnsi="宋体" w:eastAsia="宋体"/>
                <w:b w:val="0"/>
                <w:sz w:val="24"/>
              </w:rPr>
              <w:t>调查研究阶段</w:t>
            </w:r>
          </w:p>
        </w:tc>
        <w:tc>
          <w:tcPr>
            <w:tcW w:type="dxa" w:w="2882"/>
          </w:tcPr>
          <w:p>
            <w:pPr>
              <w:jc w:val="center"/>
            </w:pPr>
            <w:r>
              <w:rPr>
                <w:rFonts w:ascii="宋体" w:hAnsi="宋体" w:eastAsia="宋体"/>
                <w:b w:val="0"/>
                <w:sz w:val="24"/>
              </w:rPr>
              <w:t>第4—6个月</w:t>
            </w:r>
          </w:p>
        </w:tc>
        <w:tc>
          <w:tcPr>
            <w:tcW w:type="dxa" w:w="2882"/>
          </w:tcPr>
          <w:p>
            <w:r>
              <w:rPr>
                <w:rFonts w:ascii="宋体" w:hAnsi="宋体" w:eastAsia="宋体"/>
                <w:b w:val="0"/>
                <w:sz w:val="24"/>
              </w:rPr>
              <w:t>问卷调查与访谈；数据整理与分析；现状报告撰写</w:t>
            </w:r>
          </w:p>
        </w:tc>
      </w:tr>
      <w:tr>
        <w:tc>
          <w:tcPr>
            <w:tcW w:type="dxa" w:w="2882"/>
          </w:tcPr>
          <w:p>
            <w:pPr>
              <w:jc w:val="center"/>
            </w:pPr>
            <w:r>
              <w:rPr>
                <w:rFonts w:ascii="宋体" w:hAnsi="宋体" w:eastAsia="宋体"/>
                <w:b w:val="0"/>
                <w:sz w:val="24"/>
              </w:rPr>
              <w:t>理论构建阶段</w:t>
            </w:r>
          </w:p>
        </w:tc>
        <w:tc>
          <w:tcPr>
            <w:tcW w:type="dxa" w:w="2882"/>
          </w:tcPr>
          <w:p>
            <w:pPr>
              <w:jc w:val="center"/>
            </w:pPr>
            <w:r>
              <w:rPr>
                <w:rFonts w:ascii="宋体" w:hAnsi="宋体" w:eastAsia="宋体"/>
                <w:b w:val="0"/>
                <w:sz w:val="24"/>
              </w:rPr>
              <w:t>第7—10个月</w:t>
            </w:r>
          </w:p>
        </w:tc>
        <w:tc>
          <w:tcPr>
            <w:tcW w:type="dxa" w:w="2882"/>
          </w:tcPr>
          <w:p>
            <w:r>
              <w:rPr>
                <w:rFonts w:ascii="宋体" w:hAnsi="宋体" w:eastAsia="宋体"/>
                <w:b w:val="0"/>
                <w:sz w:val="24"/>
              </w:rPr>
              <w:t>路径体系构建；教学方案设计；专家论证与修订</w:t>
            </w:r>
          </w:p>
        </w:tc>
      </w:tr>
      <w:tr>
        <w:tc>
          <w:tcPr>
            <w:tcW w:type="dxa" w:w="2882"/>
          </w:tcPr>
          <w:p>
            <w:pPr>
              <w:jc w:val="center"/>
            </w:pPr>
            <w:r>
              <w:rPr>
                <w:rFonts w:ascii="宋体" w:hAnsi="宋体" w:eastAsia="宋体"/>
                <w:b w:val="0"/>
                <w:sz w:val="24"/>
              </w:rPr>
              <w:t>实验验证阶段</w:t>
            </w:r>
          </w:p>
        </w:tc>
        <w:tc>
          <w:tcPr>
            <w:tcW w:type="dxa" w:w="2882"/>
          </w:tcPr>
          <w:p>
            <w:pPr>
              <w:jc w:val="center"/>
            </w:pPr>
            <w:r>
              <w:rPr>
                <w:rFonts w:ascii="宋体" w:hAnsi="宋体" w:eastAsia="宋体"/>
                <w:b w:val="0"/>
                <w:sz w:val="24"/>
              </w:rPr>
              <w:t>第11—18个月</w:t>
            </w:r>
          </w:p>
        </w:tc>
        <w:tc>
          <w:tcPr>
            <w:tcW w:type="dxa" w:w="2882"/>
          </w:tcPr>
          <w:p>
            <w:r>
              <w:rPr>
                <w:rFonts w:ascii="宋体" w:hAnsi="宋体" w:eastAsia="宋体"/>
                <w:b w:val="0"/>
                <w:sz w:val="24"/>
              </w:rPr>
              <w:t>开展准实验教学；数据收集与统计分析；路径迭代优化</w:t>
            </w:r>
          </w:p>
        </w:tc>
      </w:tr>
      <w:tr>
        <w:tc>
          <w:tcPr>
            <w:tcW w:type="dxa" w:w="2882"/>
          </w:tcPr>
          <w:p>
            <w:pPr>
              <w:jc w:val="center"/>
            </w:pPr>
            <w:r>
              <w:rPr>
                <w:rFonts w:ascii="宋体" w:hAnsi="宋体" w:eastAsia="宋体"/>
                <w:b w:val="0"/>
                <w:sz w:val="24"/>
              </w:rPr>
              <w:t>成果凝练阶段</w:t>
            </w:r>
          </w:p>
        </w:tc>
        <w:tc>
          <w:tcPr>
            <w:tcW w:type="dxa" w:w="2882"/>
          </w:tcPr>
          <w:p>
            <w:pPr>
              <w:jc w:val="center"/>
            </w:pPr>
            <w:r>
              <w:rPr>
                <w:rFonts w:ascii="宋体" w:hAnsi="宋体" w:eastAsia="宋体"/>
                <w:b w:val="0"/>
                <w:sz w:val="24"/>
              </w:rPr>
              <w:t>第19—24个月</w:t>
            </w:r>
          </w:p>
        </w:tc>
        <w:tc>
          <w:tcPr>
            <w:tcW w:type="dxa" w:w="2882"/>
          </w:tcPr>
          <w:p>
            <w:r>
              <w:rPr>
                <w:rFonts w:ascii="宋体" w:hAnsi="宋体" w:eastAsia="宋体"/>
                <w:b w:val="0"/>
                <w:sz w:val="24"/>
              </w:rPr>
              <w:t>撰写研究报告；发表学术论文；形成推广材料</w:t>
            </w:r>
          </w:p>
        </w:tc>
      </w:tr>
    </w:tbl>
    <w:p/>
    <w:p>
      <w:pPr>
        <w:jc w:val="left"/>
      </w:pPr>
      <w:r>
        <w:rPr>
          <w:rFonts w:ascii="黑体" w:hAnsi="黑体" w:eastAsia="黑体"/>
          <w:b/>
          <w:sz w:val="28"/>
        </w:rPr>
        <w:t>八、预期研究成果</w:t>
      </w:r>
    </w:p>
    <w:p>
      <w:pPr>
        <w:ind w:firstLine="480"/>
        <w:jc w:val="both"/>
      </w:pPr>
      <w:r>
        <w:rPr>
          <w:rFonts w:ascii="宋体" w:hAnsi="宋体" w:eastAsia="宋体"/>
          <w:b w:val="0"/>
          <w:sz w:val="24"/>
        </w:rPr>
        <w:t>1.学术论文：在中文核心期刊或CSSCI来源期刊发表学术论文3—5篇，内容涵盖辩证性思维测量工具开发、路径构建与实验验证等核心研究议题。</w:t>
      </w:r>
    </w:p>
    <w:p>
      <w:pPr>
        <w:ind w:firstLine="480"/>
        <w:jc w:val="both"/>
      </w:pPr>
      <w:r>
        <w:rPr>
          <w:rFonts w:ascii="宋体" w:hAnsi="宋体" w:eastAsia="宋体"/>
          <w:b w:val="0"/>
          <w:sz w:val="24"/>
        </w:rPr>
        <w:t>2.研究报告：形成《高职院校学生辩证性思维现状调查研究报告》和《基于人工智能的高职语文辩证性思维培养路径研究总报告》各一份。</w:t>
      </w:r>
    </w:p>
    <w:p>
      <w:pPr>
        <w:ind w:firstLine="480"/>
        <w:jc w:val="both"/>
      </w:pPr>
      <w:r>
        <w:rPr>
          <w:rFonts w:ascii="宋体" w:hAnsi="宋体" w:eastAsia="宋体"/>
          <w:b w:val="0"/>
          <w:sz w:val="24"/>
        </w:rPr>
        <w:t>3.教学资源：开发《基于人工智能的高职语文辩证性思维培养教学案例集》（不少于20个典型案例）及配套教师使用手册。</w:t>
      </w:r>
    </w:p>
    <w:p>
      <w:pPr>
        <w:ind w:firstLine="480"/>
        <w:jc w:val="both"/>
      </w:pPr>
      <w:r>
        <w:rPr>
          <w:rFonts w:ascii="宋体" w:hAnsi="宋体" w:eastAsia="宋体"/>
          <w:b w:val="0"/>
          <w:sz w:val="24"/>
        </w:rPr>
        <w:t>4.操作规范：形成《高职语文人工智能辅助教学操作指南》，为一线教师提供具体可行的操作参考。</w:t>
      </w:r>
    </w:p>
    <w:p>
      <w:pPr>
        <w:ind w:firstLine="480"/>
        <w:jc w:val="both"/>
      </w:pPr>
      <w:r>
        <w:rPr>
          <w:rFonts w:ascii="宋体" w:hAnsi="宋体" w:eastAsia="宋体"/>
          <w:b w:val="0"/>
          <w:sz w:val="24"/>
        </w:rPr>
        <w:t>5.政策建议：形成面向教育主管部门的政策建议报告，推动人工智能融入职业院校公共基础课程教学改革。</w:t>
      </w:r>
    </w:p>
    <w:p/>
    <w:p>
      <w:pPr>
        <w:jc w:val="left"/>
      </w:pPr>
      <w:r>
        <w:rPr>
          <w:rFonts w:ascii="黑体" w:hAnsi="黑体" w:eastAsia="黑体"/>
          <w:b/>
          <w:sz w:val="28"/>
        </w:rPr>
        <w:t>九、研究基础与条件保障</w:t>
      </w:r>
    </w:p>
    <w:p>
      <w:pPr>
        <w:jc w:val="both"/>
      </w:pPr>
      <w:r>
        <w:rPr>
          <w:rFonts w:ascii="黑体" w:hAnsi="黑体" w:eastAsia="黑体"/>
          <w:b/>
          <w:sz w:val="24"/>
        </w:rPr>
        <w:t>（一）前期研究基础</w:t>
      </w:r>
    </w:p>
    <w:p>
      <w:pPr>
        <w:ind w:firstLine="480"/>
        <w:jc w:val="both"/>
      </w:pPr>
      <w:r>
        <w:rPr>
          <w:rFonts w:ascii="宋体" w:hAnsi="宋体" w:eastAsia="宋体"/>
          <w:b w:val="0"/>
          <w:sz w:val="24"/>
        </w:rPr>
        <w:t>课题组成员长期从事高职语文教学与研究工作，在语文教学改革、思维能力培养、教育技术应用等领域积累了较为丰富的研究经验，已在相关领域发表论文多篇，主持或参与省市级教改课题多项，具备开展本课题研究的良好前期基础。</w:t>
      </w:r>
    </w:p>
    <w:p>
      <w:pPr>
        <w:jc w:val="both"/>
      </w:pPr>
      <w:r>
        <w:rPr>
          <w:rFonts w:ascii="黑体" w:hAnsi="黑体" w:eastAsia="黑体"/>
          <w:b/>
          <w:sz w:val="24"/>
        </w:rPr>
        <w:t>（二）条件保障</w:t>
      </w:r>
    </w:p>
    <w:p>
      <w:pPr>
        <w:ind w:firstLine="480"/>
        <w:jc w:val="both"/>
      </w:pPr>
      <w:r>
        <w:rPr>
          <w:rFonts w:ascii="宋体" w:hAnsi="宋体" w:eastAsia="宋体"/>
          <w:b w:val="0"/>
          <w:sz w:val="24"/>
        </w:rPr>
        <w:t>1.人员保障：课题组由语文教育学、教育技术学、心理学等多学科专家组成，形成合理的研究梯队，确保研究的系统性与科学性。</w:t>
      </w:r>
    </w:p>
    <w:p>
      <w:pPr>
        <w:ind w:firstLine="480"/>
        <w:jc w:val="both"/>
      </w:pPr>
      <w:r>
        <w:rPr>
          <w:rFonts w:ascii="宋体" w:hAnsi="宋体" w:eastAsia="宋体"/>
          <w:b w:val="0"/>
          <w:sz w:val="24"/>
        </w:rPr>
        <w:t>2.资源保障：依托所在院校丰富的数字化教学资源及与企业合作的人工智能实验平台，为教学实验提供技术支撑。</w:t>
      </w:r>
    </w:p>
    <w:p>
      <w:pPr>
        <w:ind w:firstLine="480"/>
        <w:jc w:val="both"/>
      </w:pPr>
      <w:r>
        <w:rPr>
          <w:rFonts w:ascii="宋体" w:hAnsi="宋体" w:eastAsia="宋体"/>
          <w:b w:val="0"/>
          <w:sz w:val="24"/>
        </w:rPr>
        <w:t>3.经费保障：课题所需经费将通过课题立项资助及院校配套经费两渠道保障，专款专用，合理使用。</w:t>
      </w:r>
    </w:p>
    <w:p>
      <w:pPr>
        <w:ind w:firstLine="480"/>
        <w:jc w:val="both"/>
      </w:pPr>
      <w:r>
        <w:rPr>
          <w:rFonts w:ascii="宋体" w:hAnsi="宋体" w:eastAsia="宋体"/>
          <w:b w:val="0"/>
          <w:sz w:val="24"/>
        </w:rPr>
        <w:t>4.制度保障：所在单位将为课题研究提供必要的时间、空间及行政支持，确保研究计划按期推进。</w:t>
      </w:r>
    </w:p>
    <w:p/>
    <w:p>
      <w:pPr>
        <w:jc w:val="left"/>
      </w:pPr>
      <w:r>
        <w:rPr>
          <w:rFonts w:ascii="黑体" w:hAnsi="黑体" w:eastAsia="黑体"/>
          <w:b/>
          <w:sz w:val="28"/>
        </w:rPr>
        <w:t>十、经费预算</w:t>
      </w:r>
    </w:p>
    <w:p>
      <w:pPr>
        <w:ind w:firstLine="480"/>
        <w:jc w:val="both"/>
      </w:pPr>
      <w:r>
        <w:rPr>
          <w:rFonts w:ascii="宋体" w:hAnsi="宋体" w:eastAsia="宋体"/>
          <w:b w:val="0"/>
          <w:sz w:val="24"/>
        </w:rPr>
        <w:t>本课题申请经费总额为        元，具体预算如下：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Pr>
                <w:rFonts w:ascii="黑体" w:hAnsi="黑体" w:eastAsia="黑体"/>
                <w:b/>
                <w:sz w:val="24"/>
              </w:rPr>
              <w:t>经费类别</w:t>
            </w:r>
          </w:p>
        </w:tc>
        <w:tc>
          <w:tcPr>
            <w:tcW w:type="dxa" w:w="2882"/>
          </w:tcPr>
          <w:p>
            <w:pPr>
              <w:jc w:val="center"/>
            </w:pPr>
            <w:r>
              <w:rPr>
                <w:rFonts w:ascii="黑体" w:hAnsi="黑体" w:eastAsia="黑体"/>
                <w:b/>
                <w:sz w:val="24"/>
              </w:rPr>
              <w:t>金额（元）</w:t>
            </w:r>
          </w:p>
        </w:tc>
        <w:tc>
          <w:tcPr>
            <w:tcW w:type="dxa" w:w="2882"/>
          </w:tcPr>
          <w:p>
            <w:pPr>
              <w:jc w:val="center"/>
            </w:pPr>
            <w:r>
              <w:rPr>
                <w:rFonts w:ascii="黑体" w:hAnsi="黑体" w:eastAsia="黑体"/>
                <w:b/>
                <w:sz w:val="24"/>
              </w:rPr>
              <w:t>说明</w:t>
            </w:r>
          </w:p>
        </w:tc>
      </w:tr>
      <w:tr>
        <w:tc>
          <w:tcPr>
            <w:tcW w:type="dxa" w:w="2882"/>
          </w:tcPr>
          <w:p>
            <w:pPr>
              <w:jc w:val="center"/>
            </w:pPr>
            <w:r>
              <w:rPr>
                <w:rFonts w:ascii="宋体" w:hAnsi="宋体" w:eastAsia="宋体"/>
                <w:b w:val="0"/>
                <w:sz w:val="24"/>
              </w:rPr>
              <w:t>调研差旅费</w:t>
            </w:r>
          </w:p>
        </w:tc>
        <w:tc>
          <w:tcPr>
            <w:tcW w:type="dxa" w:w="2882"/>
          </w:tcPr>
          <w:p>
            <w:pPr>
              <w:jc w:val="center"/>
            </w:pPr>
            <w:r>
              <w:rPr>
                <w:rFonts w:ascii="宋体" w:hAnsi="宋体" w:eastAsia="宋体"/>
                <w:b w:val="0"/>
                <w:sz w:val="24"/>
              </w:rPr>
            </w:r>
          </w:p>
        </w:tc>
        <w:tc>
          <w:tcPr>
            <w:tcW w:type="dxa" w:w="2882"/>
          </w:tcPr>
          <w:p>
            <w:r>
              <w:rPr>
                <w:rFonts w:ascii="宋体" w:hAnsi="宋体" w:eastAsia="宋体"/>
                <w:b w:val="0"/>
                <w:sz w:val="24"/>
              </w:rPr>
              <w:t>问卷调查、访谈及实地调研交通食宿</w:t>
            </w:r>
          </w:p>
        </w:tc>
      </w:tr>
      <w:tr>
        <w:tc>
          <w:tcPr>
            <w:tcW w:type="dxa" w:w="2882"/>
          </w:tcPr>
          <w:p>
            <w:pPr>
              <w:jc w:val="center"/>
            </w:pPr>
            <w:r>
              <w:rPr>
                <w:rFonts w:ascii="宋体" w:hAnsi="宋体" w:eastAsia="宋体"/>
                <w:b w:val="0"/>
                <w:sz w:val="24"/>
              </w:rPr>
              <w:t>资料购置费</w:t>
            </w:r>
          </w:p>
        </w:tc>
        <w:tc>
          <w:tcPr>
            <w:tcW w:type="dxa" w:w="2882"/>
          </w:tcPr>
          <w:p>
            <w:pPr>
              <w:jc w:val="center"/>
            </w:pPr>
            <w:r>
              <w:rPr>
                <w:rFonts w:ascii="宋体" w:hAnsi="宋体" w:eastAsia="宋体"/>
                <w:b w:val="0"/>
                <w:sz w:val="24"/>
              </w:rPr>
            </w:r>
          </w:p>
        </w:tc>
        <w:tc>
          <w:tcPr>
            <w:tcW w:type="dxa" w:w="2882"/>
          </w:tcPr>
          <w:p>
            <w:r>
              <w:rPr>
                <w:rFonts w:ascii="宋体" w:hAnsi="宋体" w:eastAsia="宋体"/>
                <w:b w:val="0"/>
                <w:sz w:val="24"/>
              </w:rPr>
              <w:t>相关文献书籍、数据库及AI工具使用费</w:t>
            </w:r>
          </w:p>
        </w:tc>
      </w:tr>
      <w:tr>
        <w:tc>
          <w:tcPr>
            <w:tcW w:type="dxa" w:w="2882"/>
          </w:tcPr>
          <w:p>
            <w:pPr>
              <w:jc w:val="center"/>
            </w:pPr>
            <w:r>
              <w:rPr>
                <w:rFonts w:ascii="宋体" w:hAnsi="宋体" w:eastAsia="宋体"/>
                <w:b w:val="0"/>
                <w:sz w:val="24"/>
              </w:rPr>
              <w:t>印刷出版费</w:t>
            </w:r>
          </w:p>
        </w:tc>
        <w:tc>
          <w:tcPr>
            <w:tcW w:type="dxa" w:w="2882"/>
          </w:tcPr>
          <w:p>
            <w:pPr>
              <w:jc w:val="center"/>
            </w:pPr>
            <w:r>
              <w:rPr>
                <w:rFonts w:ascii="宋体" w:hAnsi="宋体" w:eastAsia="宋体"/>
                <w:b w:val="0"/>
                <w:sz w:val="24"/>
              </w:rPr>
            </w:r>
          </w:p>
        </w:tc>
        <w:tc>
          <w:tcPr>
            <w:tcW w:type="dxa" w:w="2882"/>
          </w:tcPr>
          <w:p>
            <w:r>
              <w:rPr>
                <w:rFonts w:ascii="宋体" w:hAnsi="宋体" w:eastAsia="宋体"/>
                <w:b w:val="0"/>
                <w:sz w:val="24"/>
              </w:rPr>
              <w:t>问卷印刷、报告出版及教学材料制作</w:t>
            </w:r>
          </w:p>
        </w:tc>
      </w:tr>
      <w:tr>
        <w:tc>
          <w:tcPr>
            <w:tcW w:type="dxa" w:w="2882"/>
          </w:tcPr>
          <w:p>
            <w:pPr>
              <w:jc w:val="center"/>
            </w:pPr>
            <w:r>
              <w:rPr>
                <w:rFonts w:ascii="宋体" w:hAnsi="宋体" w:eastAsia="宋体"/>
                <w:b w:val="0"/>
                <w:sz w:val="24"/>
              </w:rPr>
              <w:t>专家咨询费</w:t>
            </w:r>
          </w:p>
        </w:tc>
        <w:tc>
          <w:tcPr>
            <w:tcW w:type="dxa" w:w="2882"/>
          </w:tcPr>
          <w:p>
            <w:pPr>
              <w:jc w:val="center"/>
            </w:pPr>
            <w:r>
              <w:rPr>
                <w:rFonts w:ascii="宋体" w:hAnsi="宋体" w:eastAsia="宋体"/>
                <w:b w:val="0"/>
                <w:sz w:val="24"/>
              </w:rPr>
            </w:r>
          </w:p>
        </w:tc>
        <w:tc>
          <w:tcPr>
            <w:tcW w:type="dxa" w:w="2882"/>
          </w:tcPr>
          <w:p>
            <w:r>
              <w:rPr>
                <w:rFonts w:ascii="宋体" w:hAnsi="宋体" w:eastAsia="宋体"/>
                <w:b w:val="0"/>
                <w:sz w:val="24"/>
              </w:rPr>
              <w:t>邀请专家论证、评审研究成果</w:t>
            </w:r>
          </w:p>
        </w:tc>
      </w:tr>
      <w:tr>
        <w:tc>
          <w:tcPr>
            <w:tcW w:type="dxa" w:w="2882"/>
          </w:tcPr>
          <w:p>
            <w:pPr>
              <w:jc w:val="center"/>
            </w:pPr>
            <w:r>
              <w:rPr>
                <w:rFonts w:ascii="宋体" w:hAnsi="宋体" w:eastAsia="宋体"/>
                <w:b w:val="0"/>
                <w:sz w:val="24"/>
              </w:rPr>
              <w:t>会议交流费</w:t>
            </w:r>
          </w:p>
        </w:tc>
        <w:tc>
          <w:tcPr>
            <w:tcW w:type="dxa" w:w="2882"/>
          </w:tcPr>
          <w:p>
            <w:pPr>
              <w:jc w:val="center"/>
            </w:pPr>
            <w:r>
              <w:rPr>
                <w:rFonts w:ascii="宋体" w:hAnsi="宋体" w:eastAsia="宋体"/>
                <w:b w:val="0"/>
                <w:sz w:val="24"/>
              </w:rPr>
            </w:r>
          </w:p>
        </w:tc>
        <w:tc>
          <w:tcPr>
            <w:tcW w:type="dxa" w:w="2882"/>
          </w:tcPr>
          <w:p>
            <w:r>
              <w:rPr>
                <w:rFonts w:ascii="宋体" w:hAnsi="宋体" w:eastAsia="宋体"/>
                <w:b w:val="0"/>
                <w:sz w:val="24"/>
              </w:rPr>
              <w:t>参加学术会议及课题研讨</w:t>
            </w:r>
          </w:p>
        </w:tc>
      </w:tr>
      <w:tr>
        <w:tc>
          <w:tcPr>
            <w:tcW w:type="dxa" w:w="2882"/>
          </w:tcPr>
          <w:p>
            <w:pPr>
              <w:jc w:val="center"/>
            </w:pPr>
            <w:r>
              <w:rPr>
                <w:rFonts w:ascii="宋体" w:hAnsi="宋体" w:eastAsia="宋体"/>
                <w:b w:val="0"/>
                <w:sz w:val="24"/>
              </w:rPr>
              <w:t>其他费用</w:t>
            </w:r>
          </w:p>
        </w:tc>
        <w:tc>
          <w:tcPr>
            <w:tcW w:type="dxa" w:w="2882"/>
          </w:tcPr>
          <w:p>
            <w:pPr>
              <w:jc w:val="center"/>
            </w:pPr>
            <w:r>
              <w:rPr>
                <w:rFonts w:ascii="宋体" w:hAnsi="宋体" w:eastAsia="宋体"/>
                <w:b w:val="0"/>
                <w:sz w:val="24"/>
              </w:rPr>
            </w:r>
          </w:p>
        </w:tc>
        <w:tc>
          <w:tcPr>
            <w:tcW w:type="dxa" w:w="2882"/>
          </w:tcPr>
          <w:p>
            <w:r>
              <w:rPr>
                <w:rFonts w:ascii="宋体" w:hAnsi="宋体" w:eastAsia="宋体"/>
                <w:b w:val="0"/>
                <w:sz w:val="24"/>
              </w:rPr>
              <w:t>不可预见支出</w:t>
            </w:r>
          </w:p>
        </w:tc>
      </w:tr>
    </w:tbl>
    <w:p/>
    <w:p>
      <w:pPr>
        <w:jc w:val="left"/>
      </w:pPr>
      <w:r>
        <w:rPr>
          <w:rFonts w:ascii="黑体" w:hAnsi="黑体" w:eastAsia="黑体"/>
          <w:b/>
          <w:sz w:val="28"/>
        </w:rPr>
        <w:t>十一、主要参考文献</w:t>
      </w:r>
    </w:p>
    <w:p>
      <w:pPr>
        <w:jc w:val="left"/>
      </w:pPr>
      <w:r>
        <w:rPr>
          <w:rFonts w:ascii="宋体" w:hAnsi="宋体" w:eastAsia="宋体"/>
          <w:b w:val="0"/>
          <w:sz w:val="22"/>
        </w:rPr>
        <w:t>[1] 中华人民共和国国务院. 新一代人工智能发展规划[EB/OL]. (2017-07-08)[2024-10-01]. http://www.gov.cn.</w:t>
      </w:r>
    </w:p>
    <w:p>
      <w:pPr>
        <w:jc w:val="left"/>
      </w:pPr>
      <w:r>
        <w:rPr>
          <w:rFonts w:ascii="宋体" w:hAnsi="宋体" w:eastAsia="宋体"/>
          <w:b w:val="0"/>
          <w:sz w:val="22"/>
        </w:rPr>
        <w:t>[2] 教育部. 中国教育现代化2035[EB/OL]. (2019-02-23)[2024-10-01]. http://www.moe.gov.cn.</w:t>
      </w:r>
    </w:p>
    <w:p>
      <w:pPr>
        <w:jc w:val="left"/>
      </w:pPr>
      <w:r>
        <w:rPr>
          <w:rFonts w:ascii="宋体" w:hAnsi="宋体" w:eastAsia="宋体"/>
          <w:b w:val="0"/>
          <w:sz w:val="22"/>
        </w:rPr>
        <w:t>[3] 申军，张晓燕. 高职语文课程辩证性思维培养策略研究[J]. 职业技术教育，2020，41(8)：45-49.</w:t>
      </w:r>
    </w:p>
    <w:p>
      <w:pPr>
        <w:jc w:val="left"/>
      </w:pPr>
      <w:r>
        <w:rPr>
          <w:rFonts w:ascii="宋体" w:hAnsi="宋体" w:eastAsia="宋体"/>
          <w:b w:val="0"/>
          <w:sz w:val="22"/>
        </w:rPr>
        <w:t>[4] 李晓燕. 任务驱动教学对高职生辩证思维发展的影响研究[J]. 中国职业技术教育，2021(15)：82-86.</w:t>
      </w:r>
    </w:p>
    <w:p>
      <w:pPr>
        <w:jc w:val="left"/>
      </w:pPr>
      <w:r>
        <w:rPr>
          <w:rFonts w:ascii="宋体" w:hAnsi="宋体" w:eastAsia="宋体"/>
          <w:b w:val="0"/>
          <w:sz w:val="22"/>
        </w:rPr>
        <w:t>[5] Paul R, Elder L. Critical Thinking: The Nature of Critical and Creative Thought[J]. Journal of Developmental Education, 2006, 30(2): 34-35.</w:t>
      </w:r>
    </w:p>
    <w:p>
      <w:pPr>
        <w:jc w:val="left"/>
      </w:pPr>
      <w:r>
        <w:rPr>
          <w:rFonts w:ascii="宋体" w:hAnsi="宋体" w:eastAsia="宋体"/>
          <w:b w:val="0"/>
          <w:sz w:val="22"/>
        </w:rPr>
        <w:t>[6] Facione P A. Critical Thinking: A Statement of Expert Consensus for Purposes of Educational Assessment and Instruction[R]. Millbrae: The California Academic Press, 1990.</w:t>
      </w:r>
    </w:p>
    <w:p>
      <w:pPr>
        <w:jc w:val="left"/>
      </w:pPr>
      <w:r>
        <w:rPr>
          <w:rFonts w:ascii="宋体" w:hAnsi="宋体" w:eastAsia="宋体"/>
          <w:b w:val="0"/>
          <w:sz w:val="22"/>
        </w:rPr>
        <w:t>[7] Holmes W, Bialik M, Fadel C. Artificial Intelligence in Education: Promises and Implications for Teaching and Learning[M]. Boston: Center for Curriculum Redesign, 2019.</w:t>
      </w:r>
    </w:p>
    <w:p>
      <w:pPr>
        <w:jc w:val="left"/>
      </w:pPr>
      <w:r>
        <w:rPr>
          <w:rFonts w:ascii="宋体" w:hAnsi="宋体" w:eastAsia="宋体"/>
          <w:b w:val="0"/>
          <w:sz w:val="22"/>
        </w:rPr>
        <w:t>[8] Luckin R, Holmes W, Griffiths M, et al. Intelligence Unleashed: An Argument for AI in Education[M]. London: Pearson, 2016.</w:t>
      </w:r>
    </w:p>
    <w:p>
      <w:pPr>
        <w:jc w:val="left"/>
      </w:pPr>
      <w:r>
        <w:rPr>
          <w:rFonts w:ascii="宋体" w:hAnsi="宋体" w:eastAsia="宋体"/>
          <w:b w:val="0"/>
          <w:sz w:val="22"/>
        </w:rPr>
        <w:t>[9] 余胜泉. 人工智能教师的未来角色[J]. 开放教育研究，2018，24(1)：16-28.</w:t>
      </w:r>
    </w:p>
    <w:p>
      <w:pPr>
        <w:jc w:val="left"/>
      </w:pPr>
      <w:r>
        <w:rPr>
          <w:rFonts w:ascii="宋体" w:hAnsi="宋体" w:eastAsia="宋体"/>
          <w:b w:val="0"/>
          <w:sz w:val="22"/>
        </w:rPr>
        <w:t>[10] 祝智庭，彭红超. 人工智能赋能智慧教育之学理探析[J]. 现代远程教育研究，2019(5)：3-13.</w:t>
      </w:r>
    </w:p>
    <w:p/>
    <w:p>
      <w:pPr>
        <w:jc w:val="left"/>
      </w:pPr>
      <w:r>
        <w:rPr>
          <w:rFonts w:ascii="黑体" w:hAnsi="黑体" w:eastAsia="黑体"/>
          <w:b/>
          <w:sz w:val="28"/>
        </w:rPr>
        <w:t>十二、课题组成员及分工</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Pr>
                <w:rFonts w:ascii="黑体" w:hAnsi="黑体" w:eastAsia="黑体"/>
                <w:b/>
                <w:sz w:val="24"/>
              </w:rPr>
              <w:t>姓名</w:t>
            </w:r>
          </w:p>
        </w:tc>
        <w:tc>
          <w:tcPr>
            <w:tcW w:type="dxa" w:w="1729"/>
          </w:tcPr>
          <w:p>
            <w:pPr>
              <w:jc w:val="center"/>
            </w:pPr>
            <w:r>
              <w:rPr>
                <w:rFonts w:ascii="黑体" w:hAnsi="黑体" w:eastAsia="黑体"/>
                <w:b/>
                <w:sz w:val="24"/>
              </w:rPr>
              <w:t>职称/职务</w:t>
            </w:r>
          </w:p>
        </w:tc>
        <w:tc>
          <w:tcPr>
            <w:tcW w:type="dxa" w:w="1729"/>
          </w:tcPr>
          <w:p>
            <w:pPr>
              <w:jc w:val="center"/>
            </w:pPr>
            <w:r>
              <w:rPr>
                <w:rFonts w:ascii="黑体" w:hAnsi="黑体" w:eastAsia="黑体"/>
                <w:b/>
                <w:sz w:val="24"/>
              </w:rPr>
              <w:t>所在单位</w:t>
            </w:r>
          </w:p>
        </w:tc>
        <w:tc>
          <w:tcPr>
            <w:tcW w:type="dxa" w:w="1729"/>
          </w:tcPr>
          <w:p>
            <w:pPr>
              <w:jc w:val="center"/>
            </w:pPr>
            <w:r>
              <w:rPr>
                <w:rFonts w:ascii="黑体" w:hAnsi="黑体" w:eastAsia="黑体"/>
                <w:b/>
                <w:sz w:val="24"/>
              </w:rPr>
              <w:t>研究分工</w:t>
            </w:r>
          </w:p>
        </w:tc>
        <w:tc>
          <w:tcPr>
            <w:tcW w:type="dxa" w:w="1729"/>
          </w:tcPr>
          <w:p>
            <w:pPr>
              <w:jc w:val="center"/>
            </w:pPr>
            <w:r>
              <w:rPr>
                <w:rFonts w:ascii="黑体" w:hAnsi="黑体" w:eastAsia="黑体"/>
                <w:b/>
                <w:sz w:val="24"/>
              </w:rPr>
              <w:t>承担工作量</w:t>
            </w:r>
          </w:p>
        </w:tc>
      </w:tr>
      <w:tr>
        <w:tc>
          <w:tcPr>
            <w:tcW w:type="dxa" w:w="1729"/>
          </w:tcPr>
          <w:p>
            <w:pPr>
              <w:jc w:val="center"/>
            </w:pPr>
            <w:r>
              <w:rPr>
                <w:rFonts w:ascii="宋体" w:hAnsi="宋体" w:eastAsia="宋体"/>
                <w:b w:val="0"/>
                <w:sz w:val="24"/>
              </w:rPr>
              <w:t>（负责人）</w:t>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t>课题总设计、统筹协调、报告撰写</w:t>
            </w:r>
          </w:p>
        </w:tc>
        <w:tc>
          <w:tcPr>
            <w:tcW w:type="dxa" w:w="1729"/>
          </w:tcPr>
          <w:p>
            <w:pPr>
              <w:jc w:val="center"/>
            </w:pPr>
            <w:r>
              <w:rPr>
                <w:rFonts w:ascii="宋体" w:hAnsi="宋体" w:eastAsia="宋体"/>
                <w:b w:val="0"/>
                <w:sz w:val="24"/>
              </w:rPr>
              <w:t>40%</w:t>
            </w:r>
          </w:p>
        </w:tc>
      </w:tr>
      <w:tr>
        <w:tc>
          <w:tcPr>
            <w:tcW w:type="dxa" w:w="1729"/>
          </w:tcPr>
          <w:p>
            <w:pPr>
              <w:jc w:val="center"/>
            </w:pPr>
            <w:r>
              <w:rPr>
                <w:rFonts w:ascii="宋体" w:hAnsi="宋体" w:eastAsia="宋体"/>
                <w:b w:val="0"/>
                <w:sz w:val="24"/>
              </w:rPr>
              <w:t>（成员一）</w:t>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t>文献综述、问卷调查与数据分析</w:t>
            </w:r>
          </w:p>
        </w:tc>
        <w:tc>
          <w:tcPr>
            <w:tcW w:type="dxa" w:w="1729"/>
          </w:tcPr>
          <w:p>
            <w:pPr>
              <w:jc w:val="center"/>
            </w:pPr>
            <w:r>
              <w:rPr>
                <w:rFonts w:ascii="宋体" w:hAnsi="宋体" w:eastAsia="宋体"/>
                <w:b w:val="0"/>
                <w:sz w:val="24"/>
              </w:rPr>
              <w:t>20%</w:t>
            </w:r>
          </w:p>
        </w:tc>
      </w:tr>
      <w:tr>
        <w:tc>
          <w:tcPr>
            <w:tcW w:type="dxa" w:w="1729"/>
          </w:tcPr>
          <w:p>
            <w:pPr>
              <w:jc w:val="center"/>
            </w:pPr>
            <w:r>
              <w:rPr>
                <w:rFonts w:ascii="宋体" w:hAnsi="宋体" w:eastAsia="宋体"/>
                <w:b w:val="0"/>
                <w:sz w:val="24"/>
              </w:rPr>
              <w:t>（成员二）</w:t>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t>教学实验实施、案例开发</w:t>
            </w:r>
          </w:p>
        </w:tc>
        <w:tc>
          <w:tcPr>
            <w:tcW w:type="dxa" w:w="1729"/>
          </w:tcPr>
          <w:p>
            <w:pPr>
              <w:jc w:val="center"/>
            </w:pPr>
            <w:r>
              <w:rPr>
                <w:rFonts w:ascii="宋体" w:hAnsi="宋体" w:eastAsia="宋体"/>
                <w:b w:val="0"/>
                <w:sz w:val="24"/>
              </w:rPr>
              <w:t>20%</w:t>
            </w:r>
          </w:p>
        </w:tc>
      </w:tr>
      <w:tr>
        <w:tc>
          <w:tcPr>
            <w:tcW w:type="dxa" w:w="1729"/>
          </w:tcPr>
          <w:p>
            <w:pPr>
              <w:jc w:val="center"/>
            </w:pPr>
            <w:r>
              <w:rPr>
                <w:rFonts w:ascii="宋体" w:hAnsi="宋体" w:eastAsia="宋体"/>
                <w:b w:val="0"/>
                <w:sz w:val="24"/>
              </w:rPr>
              <w:t>（成员三）</w:t>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t>技术支持、AI工具应用研究</w:t>
            </w:r>
          </w:p>
        </w:tc>
        <w:tc>
          <w:tcPr>
            <w:tcW w:type="dxa" w:w="1729"/>
          </w:tcPr>
          <w:p>
            <w:pPr>
              <w:jc w:val="center"/>
            </w:pPr>
            <w:r>
              <w:rPr>
                <w:rFonts w:ascii="宋体" w:hAnsi="宋体" w:eastAsia="宋体"/>
                <w:b w:val="0"/>
                <w:sz w:val="24"/>
              </w:rPr>
              <w:t>15%</w:t>
            </w:r>
          </w:p>
        </w:tc>
      </w:tr>
      <w:tr>
        <w:tc>
          <w:tcPr>
            <w:tcW w:type="dxa" w:w="1729"/>
          </w:tcPr>
          <w:p>
            <w:pPr>
              <w:jc w:val="center"/>
            </w:pPr>
            <w:r>
              <w:rPr>
                <w:rFonts w:ascii="宋体" w:hAnsi="宋体" w:eastAsia="宋体"/>
                <w:b w:val="0"/>
                <w:sz w:val="24"/>
              </w:rPr>
              <w:t>（成员四）</w:t>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r>
          </w:p>
        </w:tc>
        <w:tc>
          <w:tcPr>
            <w:tcW w:type="dxa" w:w="1729"/>
          </w:tcPr>
          <w:p>
            <w:pPr>
              <w:jc w:val="center"/>
            </w:pPr>
            <w:r>
              <w:rPr>
                <w:rFonts w:ascii="宋体" w:hAnsi="宋体" w:eastAsia="宋体"/>
                <w:b w:val="0"/>
                <w:sz w:val="24"/>
              </w:rPr>
              <w:t>成果整理、推广材料制作</w:t>
            </w:r>
          </w:p>
        </w:tc>
        <w:tc>
          <w:tcPr>
            <w:tcW w:type="dxa" w:w="1729"/>
          </w:tcPr>
          <w:p>
            <w:pPr>
              <w:jc w:val="center"/>
            </w:pPr>
            <w:r>
              <w:rPr>
                <w:rFonts w:ascii="宋体" w:hAnsi="宋体" w:eastAsia="宋体"/>
                <w:b w:val="0"/>
                <w:sz w:val="24"/>
              </w:rPr>
              <w:t>5%</w:t>
            </w:r>
          </w:p>
        </w:tc>
      </w:tr>
    </w:tbl>
    <w:p/>
    <w:p/>
    <w:p>
      <w:pPr>
        <w:ind w:firstLine="480"/>
        <w:jc w:val="both"/>
      </w:pPr>
      <w:r>
        <w:rPr>
          <w:rFonts w:ascii="宋体" w:hAnsi="宋体" w:eastAsia="宋体"/>
          <w:b w:val="0"/>
          <w:sz w:val="24"/>
        </w:rPr>
        <w:t>申请人声明：本课题申请报告内容真实，无抄袭剽窃等学术不端行为。本人同意遵守课题管理的相关规定，如获立项，将严格按照研究计划开展研究工作。</w:t>
      </w:r>
    </w:p>
    <w:p/>
    <w:p/>
    <w:p>
      <w:pPr>
        <w:jc w:val="right"/>
      </w:pPr>
      <w:r>
        <w:rPr>
          <w:rFonts w:ascii="宋体" w:hAnsi="宋体" w:eastAsia="宋体"/>
          <w:b w:val="0"/>
          <w:sz w:val="24"/>
        </w:rPr>
        <w:t xml:space="preserve">申请人签名：              </w:t>
      </w:r>
    </w:p>
    <w:p>
      <w:pPr>
        <w:jc w:val="right"/>
      </w:pPr>
      <w:r>
        <w:rPr>
          <w:rFonts w:ascii="宋体" w:hAnsi="宋体" w:eastAsia="宋体"/>
          <w:b w:val="0"/>
          <w:sz w:val="24"/>
        </w:rPr>
        <w:t xml:space="preserve">所在单位盖章：              </w:t>
      </w:r>
    </w:p>
    <w:p>
      <w:pPr>
        <w:jc w:val="right"/>
      </w:pPr>
      <w:r>
        <w:rPr>
          <w:rFonts w:ascii="宋体" w:hAnsi="宋体" w:eastAsia="宋体"/>
          <w:b w:val="0"/>
          <w:sz w:val="24"/>
        </w:rPr>
        <w:t>日        期：    年    月    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