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i w:val="0"/>
          <w:sz w:val="40"/>
        </w:rPr>
        <w:t>EUV光刻光学规范与标准汇报PPT大纲</w:t>
      </w:r>
    </w:p>
    <w:p>
      <w:pPr>
        <w:jc w:val="center"/>
      </w:pPr>
      <w:r>
        <w:rPr>
          <w:b/>
          <w:i w:val="0"/>
          <w:sz w:val="24"/>
        </w:rPr>
        <w:t>Presentation Outline for EUV Lithography Optical Specifications and Standards</w:t>
      </w:r>
    </w:p>
    <w:p>
      <w:pPr>
        <w:jc w:val="center"/>
      </w:pPr>
      <w:r>
        <w:rPr>
          <w:b w:val="0"/>
          <w:i/>
        </w:rPr>
        <w:t>用途：汇报、评审、技术交流、项目预研</w:t>
      </w:r>
    </w:p>
    <w:p>
      <w:pPr>
        <w:pStyle w:val="Heading1"/>
      </w:pPr>
      <w:r>
        <w:rPr>
          <w:b w:val="0"/>
          <w:i w:val="0"/>
        </w:rPr>
        <w:t>逐页大纲 / Slide-by-slide Outline</w:t>
      </w:r>
    </w:p>
    <w:p>
      <w:pPr>
        <w:pStyle w:val="Heading2"/>
      </w:pPr>
      <w:r>
        <w:rPr>
          <w:b w:val="0"/>
          <w:i w:val="0"/>
        </w:rPr>
        <w:t>Slide 1. 封面 / Cover</w:t>
      </w:r>
    </w:p>
    <w:p>
      <w:pPr>
        <w:pStyle w:val="ListBullet"/>
      </w:pPr>
      <w:r>
        <w:t>核心内容 / Core message: 题目、汇报人、日期、适用范围</w:t>
      </w:r>
    </w:p>
    <w:p>
      <w:pPr>
        <w:pStyle w:val="ListBullet"/>
      </w:pPr>
      <w:r>
        <w:t>建议视觉 / Suggested visual: 建议视觉：EUV光路或多层膜结构图</w:t>
      </w:r>
    </w:p>
    <w:p>
      <w:pPr>
        <w:pStyle w:val="ListBullet"/>
      </w:pPr>
      <w:r>
        <w:t>讲述建议 / Speaker note: 先讲物理约束，再讲规范逻辑，最后讲采购和验收。</w:t>
      </w:r>
    </w:p>
    <w:p>
      <w:pPr>
        <w:pStyle w:val="Heading2"/>
      </w:pPr>
      <w:r>
        <w:rPr>
          <w:b w:val="0"/>
          <w:i w:val="0"/>
        </w:rPr>
        <w:t>Slide 2. 为什么必须研究EUV光学规范 / Why optical specs matter</w:t>
      </w:r>
    </w:p>
    <w:p>
      <w:pPr>
        <w:pStyle w:val="ListBullet"/>
      </w:pPr>
      <w:r>
        <w:t>核心内容 / Core message: 13.5 nm导致强吸收、全反射、多镜损耗与高NA约束</w:t>
      </w:r>
    </w:p>
    <w:p>
      <w:pPr>
        <w:pStyle w:val="ListBullet"/>
      </w:pPr>
      <w:r>
        <w:t>建议视觉 / Suggested visual: 建议视觉：问题树</w:t>
      </w:r>
    </w:p>
    <w:p>
      <w:pPr>
        <w:pStyle w:val="ListBullet"/>
      </w:pPr>
      <w:r>
        <w:t>讲述建议 / Speaker note: 先讲物理约束，再讲规范逻辑，最后讲采购和验收。</w:t>
      </w:r>
    </w:p>
    <w:p>
      <w:pPr>
        <w:pStyle w:val="Heading2"/>
      </w:pPr>
      <w:r>
        <w:rPr>
          <w:b w:val="0"/>
          <w:i w:val="0"/>
        </w:rPr>
        <w:t>Slide 3. 第一性原理：波长、NA、景深 / First principles</w:t>
      </w:r>
    </w:p>
    <w:p>
      <w:pPr>
        <w:pStyle w:val="ListBullet"/>
      </w:pPr>
      <w:r>
        <w:t>核心内容 / Core message: Rayleigh分辨率、DOF公式及工程解释</w:t>
      </w:r>
    </w:p>
    <w:p>
      <w:pPr>
        <w:pStyle w:val="ListBullet"/>
      </w:pPr>
      <w:r>
        <w:t>建议视觉 / Suggested visual: 建议视觉：公式+简图</w:t>
      </w:r>
    </w:p>
    <w:p>
      <w:pPr>
        <w:pStyle w:val="ListBullet"/>
      </w:pPr>
      <w:r>
        <w:t>讲述建议 / Speaker note: 先讲物理约束，再讲规范逻辑，最后讲采购和验收。</w:t>
      </w:r>
    </w:p>
    <w:p>
      <w:pPr>
        <w:pStyle w:val="Heading2"/>
      </w:pPr>
      <w:r>
        <w:rPr>
          <w:b w:val="0"/>
          <w:i w:val="0"/>
        </w:rPr>
        <w:t>Slide 4. 多镜通量瓶颈 / Throughput bottleneck</w:t>
      </w:r>
    </w:p>
    <w:p>
      <w:pPr>
        <w:pStyle w:val="ListBullet"/>
      </w:pPr>
      <w:r>
        <w:t>核心内容 / Core message: R^N导致总通量对单镜反射率极敏感</w:t>
      </w:r>
    </w:p>
    <w:p>
      <w:pPr>
        <w:pStyle w:val="ListBullet"/>
      </w:pPr>
      <w:r>
        <w:t>建议视觉 / Suggested visual: 建议视觉：图1</w:t>
      </w:r>
    </w:p>
    <w:p>
      <w:pPr>
        <w:pStyle w:val="ListBullet"/>
      </w:pPr>
      <w:r>
        <w:t>讲述建议 / Speaker note: 先讲物理约束，再讲规范逻辑，最后讲采购和验收。</w:t>
      </w:r>
    </w:p>
    <w:p>
      <w:pPr>
        <w:pStyle w:val="Heading2"/>
      </w:pPr>
      <w:r>
        <w:rPr>
          <w:b w:val="0"/>
          <w:i w:val="0"/>
        </w:rPr>
        <w:t>Slide 5. Mo/Si多层膜核心逻辑 / Multilayer mirror logic</w:t>
      </w:r>
    </w:p>
    <w:p>
      <w:pPr>
        <w:pStyle w:val="ListBullet"/>
      </w:pPr>
      <w:r>
        <w:t>核心内容 / Core message: 布拉格条件、层周期、界面与污染</w:t>
      </w:r>
    </w:p>
    <w:p>
      <w:pPr>
        <w:pStyle w:val="ListBullet"/>
      </w:pPr>
      <w:r>
        <w:t>建议视觉 / Suggested visual: 建议视觉：图2</w:t>
      </w:r>
    </w:p>
    <w:p>
      <w:pPr>
        <w:pStyle w:val="ListBullet"/>
      </w:pPr>
      <w:r>
        <w:t>讲述建议 / Speaker note: 先讲物理约束，再讲规范逻辑，最后讲采购和验收。</w:t>
      </w:r>
    </w:p>
    <w:p>
      <w:pPr>
        <w:pStyle w:val="Heading2"/>
      </w:pPr>
      <w:r>
        <w:rPr>
          <w:b w:val="0"/>
          <w:i w:val="0"/>
        </w:rPr>
        <w:t>Slide 6. 从面形到像差 / From figure error to imaging error</w:t>
      </w:r>
    </w:p>
    <w:p>
      <w:pPr>
        <w:pStyle w:val="ListBullet"/>
      </w:pPr>
      <w:r>
        <w:t>核心内容 / Core message: 面形、WFE、PSD、flare因果链</w:t>
      </w:r>
    </w:p>
    <w:p>
      <w:pPr>
        <w:pStyle w:val="ListBullet"/>
      </w:pPr>
      <w:r>
        <w:t>建议视觉 / Suggested visual: 建议视觉：因果链图</w:t>
      </w:r>
    </w:p>
    <w:p>
      <w:pPr>
        <w:pStyle w:val="ListBullet"/>
      </w:pPr>
      <w:r>
        <w:t>讲述建议 / Speaker note: 先讲物理约束，再讲规范逻辑，最后讲采购和验收。</w:t>
      </w:r>
    </w:p>
    <w:p>
      <w:pPr>
        <w:pStyle w:val="Heading2"/>
      </w:pPr>
      <w:r>
        <w:rPr>
          <w:b w:val="0"/>
          <w:i w:val="0"/>
        </w:rPr>
        <w:t>Slide 7. 规范总表 / Overall spec matrix</w:t>
      </w:r>
    </w:p>
    <w:p>
      <w:pPr>
        <w:pStyle w:val="ListBullet"/>
      </w:pPr>
      <w:r>
        <w:t>核心内容 / Core message: 系统、反射镜、膜层、掩模、环境五大类</w:t>
      </w:r>
    </w:p>
    <w:p>
      <w:pPr>
        <w:pStyle w:val="ListBullet"/>
      </w:pPr>
      <w:r>
        <w:t>建议视觉 / Suggested visual: 建议视觉：总表</w:t>
      </w:r>
    </w:p>
    <w:p>
      <w:pPr>
        <w:pStyle w:val="ListBullet"/>
      </w:pPr>
      <w:r>
        <w:t>讲述建议 / Speaker note: 先讲物理约束，再讲规范逻辑，最后讲采购和验收。</w:t>
      </w:r>
    </w:p>
    <w:p>
      <w:pPr>
        <w:pStyle w:val="Heading2"/>
      </w:pPr>
      <w:r>
        <w:rPr>
          <w:b w:val="0"/>
          <w:i w:val="0"/>
        </w:rPr>
        <w:t>Slide 8. High-NA为什么整体加严 / Why High-NA tightens specs</w:t>
      </w:r>
    </w:p>
    <w:p>
      <w:pPr>
        <w:pStyle w:val="ListBullet"/>
      </w:pPr>
      <w:r>
        <w:t>核心内容 / Core message: 景深缩小、掩模3D效应、平坦度/对焦加严</w:t>
      </w:r>
    </w:p>
    <w:p>
      <w:pPr>
        <w:pStyle w:val="ListBullet"/>
      </w:pPr>
      <w:r>
        <w:t>建议视觉 / Suggested visual: 建议视觉：图3</w:t>
      </w:r>
    </w:p>
    <w:p>
      <w:pPr>
        <w:pStyle w:val="ListBullet"/>
      </w:pPr>
      <w:r>
        <w:t>讲述建议 / Speaker note: 先讲物理约束，再讲规范逻辑，最后讲采购和验收。</w:t>
      </w:r>
    </w:p>
    <w:p>
      <w:pPr>
        <w:pStyle w:val="Heading2"/>
      </w:pPr>
      <w:r>
        <w:rPr>
          <w:b w:val="0"/>
          <w:i w:val="0"/>
        </w:rPr>
        <w:t>Slide 9. 采购规范如何写 / Procurement-style writing</w:t>
      </w:r>
    </w:p>
    <w:p>
      <w:pPr>
        <w:pStyle w:val="ListBullet"/>
      </w:pPr>
      <w:r>
        <w:t>核心内容 / Core message: 参数—定义—测试方法—判定标准—抽样规则—失效处置</w:t>
      </w:r>
    </w:p>
    <w:p>
      <w:pPr>
        <w:pStyle w:val="ListBullet"/>
      </w:pPr>
      <w:r>
        <w:t>建议视觉 / Suggested visual: 建议视觉：采购表样例</w:t>
      </w:r>
    </w:p>
    <w:p>
      <w:pPr>
        <w:pStyle w:val="ListBullet"/>
      </w:pPr>
      <w:r>
        <w:t>讲述建议 / Speaker note: 先讲物理约束，再讲规范逻辑，最后讲采购和验收。</w:t>
      </w:r>
    </w:p>
    <w:p>
      <w:pPr>
        <w:pStyle w:val="Heading2"/>
      </w:pPr>
      <w:r>
        <w:rPr>
          <w:b w:val="0"/>
          <w:i w:val="0"/>
        </w:rPr>
        <w:t>Slide 10. 计量与验收体系 / Metrology and acceptance</w:t>
      </w:r>
    </w:p>
    <w:p>
      <w:pPr>
        <w:pStyle w:val="ListBullet"/>
      </w:pPr>
      <w:r>
        <w:t>核心内容 / Core message: Fizeau、CGH、AFM、XRR、EUV反射率计、actinic inspection</w:t>
      </w:r>
    </w:p>
    <w:p>
      <w:pPr>
        <w:pStyle w:val="ListBullet"/>
      </w:pPr>
      <w:r>
        <w:t>建议视觉 / Suggested visual: 建议视觉：方法矩阵</w:t>
      </w:r>
    </w:p>
    <w:p>
      <w:pPr>
        <w:pStyle w:val="ListBullet"/>
      </w:pPr>
      <w:r>
        <w:t>讲述建议 / Speaker note: 先讲物理约束，再讲规范逻辑，最后讲采购和验收。</w:t>
      </w:r>
    </w:p>
    <w:p>
      <w:pPr>
        <w:pStyle w:val="Heading2"/>
      </w:pPr>
      <w:r>
        <w:rPr>
          <w:b w:val="0"/>
          <w:i w:val="0"/>
        </w:rPr>
        <w:t>Slide 11. 污染与寿命管理 / Contamination and lifetime</w:t>
      </w:r>
    </w:p>
    <w:p>
      <w:pPr>
        <w:pStyle w:val="ListBullet"/>
      </w:pPr>
      <w:r>
        <w:t>核心内容 / Core message: 碳污染、锡污染、出气、恢复与见证片</w:t>
      </w:r>
    </w:p>
    <w:p>
      <w:pPr>
        <w:pStyle w:val="ListBullet"/>
      </w:pPr>
      <w:r>
        <w:t>建议视觉 / Suggested visual: 建议视觉：污染闭环图</w:t>
      </w:r>
    </w:p>
    <w:p>
      <w:pPr>
        <w:pStyle w:val="ListBullet"/>
      </w:pPr>
      <w:r>
        <w:t>讲述建议 / Speaker note: 先讲物理约束，再讲规范逻辑，最后讲采购和验收。</w:t>
      </w:r>
    </w:p>
    <w:p>
      <w:pPr>
        <w:pStyle w:val="Heading2"/>
      </w:pPr>
      <w:r>
        <w:rPr>
          <w:b w:val="0"/>
          <w:i w:val="0"/>
        </w:rPr>
        <w:t>Slide 12. 失效处置 / Failure handling</w:t>
      </w:r>
    </w:p>
    <w:p>
      <w:pPr>
        <w:pStyle w:val="ListBullet"/>
      </w:pPr>
      <w:r>
        <w:t>核心内容 / Core message: 隔离、定位、返工/判废、8D、控制图更新</w:t>
      </w:r>
    </w:p>
    <w:p>
      <w:pPr>
        <w:pStyle w:val="ListBullet"/>
      </w:pPr>
      <w:r>
        <w:t>建议视觉 / Suggested visual: 建议视觉：流程图</w:t>
      </w:r>
    </w:p>
    <w:p>
      <w:pPr>
        <w:pStyle w:val="ListBullet"/>
      </w:pPr>
      <w:r>
        <w:t>讲述建议 / Speaker note: 先讲物理约束，再讲规范逻辑，最后讲采购和验收。</w:t>
      </w:r>
    </w:p>
    <w:p>
      <w:pPr>
        <w:pStyle w:val="Heading2"/>
      </w:pPr>
      <w:r>
        <w:rPr>
          <w:b w:val="0"/>
          <w:i w:val="0"/>
        </w:rPr>
        <w:t>Slide 13. 结论与参考资料 / Conclusion and references</w:t>
      </w:r>
    </w:p>
    <w:p>
      <w:pPr>
        <w:pStyle w:val="ListBullet"/>
      </w:pPr>
      <w:r>
        <w:t>核心内容 / Core message: NIST、PTB、CXRO、IRDS、ASML、ZEISS、SPIE</w:t>
      </w:r>
    </w:p>
    <w:p>
      <w:pPr>
        <w:pStyle w:val="ListBullet"/>
      </w:pPr>
      <w:r>
        <w:t>建议视觉 / Suggested visual: 建议视觉：引用清单</w:t>
      </w:r>
    </w:p>
    <w:p>
      <w:pPr>
        <w:pStyle w:val="ListBullet"/>
      </w:pPr>
      <w:r>
        <w:t>讲述建议 / Speaker note: 先讲物理约束，再讲规范逻辑，最后讲采购和验收。</w:t>
      </w:r>
    </w:p>
    <w:p>
      <w:pPr>
        <w:pStyle w:val="Heading1"/>
      </w:pPr>
      <w:r>
        <w:rPr>
          <w:b w:val="0"/>
          <w:i w:val="0"/>
        </w:rPr>
        <w:t>可直接上页的关键公式 / Key equations for slides</w:t>
      </w:r>
    </w:p>
    <w:p>
      <w:pPr>
        <w:jc w:val="center"/>
      </w:pPr>
      <w:r>
        <w:rPr>
          <w:rFonts w:ascii="Courier New" w:hAnsi="Courier New" w:eastAsia="Courier New"/>
          <w:b/>
          <w:sz w:val="24"/>
        </w:rPr>
        <w:t>R ≈ k1 · λ / NA</w:t>
      </w:r>
    </w:p>
    <w:p>
      <w:pPr>
        <w:jc w:val="center"/>
      </w:pPr>
      <w:r>
        <w:rPr>
          <w:rFonts w:ascii="Courier New" w:hAnsi="Courier New" w:eastAsia="Courier New"/>
          <w:b/>
          <w:sz w:val="24"/>
        </w:rPr>
        <w:t>DOF ≈ k2 · λ / NA²</w:t>
      </w:r>
    </w:p>
    <w:p>
      <w:pPr>
        <w:jc w:val="center"/>
      </w:pPr>
      <w:r>
        <w:rPr>
          <w:rFonts w:ascii="Courier New" w:hAnsi="Courier New" w:eastAsia="Courier New"/>
          <w:b/>
          <w:sz w:val="24"/>
        </w:rPr>
        <w:t>T_total ≈ R^N</w:t>
      </w:r>
    </w:p>
    <w:p>
      <w:pPr>
        <w:jc w:val="center"/>
      </w:pPr>
      <w:r>
        <w:rPr>
          <w:rFonts w:ascii="Courier New" w:hAnsi="Courier New" w:eastAsia="Courier New"/>
          <w:b/>
          <w:sz w:val="24"/>
        </w:rPr>
        <w:t>mλ = 2d · sinθ</w:t>
      </w:r>
    </w:p>
    <w:p>
      <w:pPr>
        <w:jc w:val="center"/>
      </w:pPr>
      <w:r>
        <w:rPr>
          <w:rFonts w:ascii="Courier New" w:hAnsi="Courier New" w:eastAsia="Courier New"/>
          <w:b/>
          <w:sz w:val="24"/>
        </w:rPr>
        <w:t>TIS ≈ (4πσ / λ)²</w:t>
      </w:r>
    </w:p>
    <w:p>
      <w:pPr>
        <w:pStyle w:val="Heading1"/>
      </w:pPr>
      <w:r>
        <w:rPr>
          <w:b w:val="0"/>
          <w:i w:val="0"/>
        </w:rPr>
        <w:t>建议附录页 / Suggested appendix slides</w:t>
      </w:r>
    </w:p>
    <w:p>
      <w:pPr>
        <w:pStyle w:val="ListBullet"/>
      </w:pPr>
      <w:r>
        <w:t>术语表 / Glossary</w:t>
      </w:r>
    </w:p>
    <w:p>
      <w:pPr>
        <w:pStyle w:val="ListBullet"/>
      </w:pPr>
      <w:r>
        <w:t>采购规范样例页 / Sample procurement tables</w:t>
      </w:r>
    </w:p>
    <w:p>
      <w:pPr>
        <w:pStyle w:val="ListBullet"/>
      </w:pPr>
      <w:r>
        <w:t>High-NA风险清单 / High-NA risk list</w:t>
      </w:r>
    </w:p>
    <w:p>
      <w:pPr>
        <w:pStyle w:val="ListBullet"/>
      </w:pPr>
      <w:r>
        <w:t>参考文献 / References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Sim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Sim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Sim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Sim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