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55C5" w14:textId="44FBB4BC" w:rsidR="00A46AD4" w:rsidRPr="00C230EB" w:rsidRDefault="00C230EB" w:rsidP="00C230EB">
      <w:pPr>
        <w:spacing w:after="40"/>
        <w:jc w:val="center"/>
        <w:rPr>
          <w:b/>
          <w:bCs/>
          <w:sz w:val="30"/>
          <w:szCs w:val="30"/>
        </w:rPr>
      </w:pPr>
      <w:r w:rsidRPr="00C230EB">
        <w:rPr>
          <w:rFonts w:hint="eastAsia"/>
          <w:b/>
          <w:bCs/>
          <w:sz w:val="30"/>
          <w:szCs w:val="30"/>
        </w:rPr>
        <w:t>0411接口开发进度</w:t>
      </w:r>
    </w:p>
    <w:p w14:paraId="3931008C" w14:textId="77777777" w:rsidR="00C230EB" w:rsidRDefault="00C230EB">
      <w:pPr>
        <w:spacing w:after="40"/>
      </w:pPr>
    </w:p>
    <w:tbl>
      <w:tblPr>
        <w:tblpPr w:leftFromText="180" w:rightFromText="180" w:vertAnchor="text" w:horzAnchor="margin" w:tblpY="-3"/>
        <w:tblW w:w="908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29"/>
        <w:gridCol w:w="5953"/>
      </w:tblGrid>
      <w:tr w:rsidR="00C230EB" w14:paraId="2E5ED342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AF7"/>
          </w:tcPr>
          <w:p w14:paraId="64069FEE" w14:textId="77777777" w:rsidR="00C230EB" w:rsidRDefault="00C230EB" w:rsidP="00C230EB">
            <w:pPr>
              <w:spacing w:after="80"/>
              <w:jc w:val="center"/>
              <w:rPr>
                <w:rFonts w:hint="eastAsia"/>
              </w:rPr>
            </w:pPr>
            <w:r>
              <w:t>维度</w:t>
            </w:r>
          </w:p>
        </w:tc>
        <w:tc>
          <w:tcPr>
            <w:tcW w:w="929" w:type="dxa"/>
            <w:shd w:val="clear" w:color="auto" w:fill="D9EAF7"/>
          </w:tcPr>
          <w:p w14:paraId="6D32699D" w14:textId="77777777" w:rsidR="00C230EB" w:rsidRDefault="00C230EB" w:rsidP="00C230EB">
            <w:pPr>
              <w:spacing w:after="80"/>
              <w:jc w:val="center"/>
              <w:rPr>
                <w:rFonts w:hint="eastAsia"/>
              </w:rPr>
            </w:pPr>
            <w:r>
              <w:t>状态</w:t>
            </w:r>
          </w:p>
        </w:tc>
        <w:tc>
          <w:tcPr>
            <w:tcW w:w="5953" w:type="dxa"/>
            <w:shd w:val="clear" w:color="auto" w:fill="D9EAF7"/>
          </w:tcPr>
          <w:p w14:paraId="420AAB6A" w14:textId="77777777" w:rsidR="00C230EB" w:rsidRDefault="00C230EB" w:rsidP="00C230EB">
            <w:pPr>
              <w:spacing w:after="80"/>
              <w:jc w:val="center"/>
              <w:rPr>
                <w:rFonts w:hint="eastAsia"/>
              </w:rPr>
            </w:pPr>
            <w:r>
              <w:t>说明</w:t>
            </w:r>
          </w:p>
        </w:tc>
      </w:tr>
      <w:tr w:rsidR="00C230EB" w14:paraId="49CB5582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DB44FA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内部业务骨架</w:t>
            </w:r>
          </w:p>
        </w:tc>
        <w:tc>
          <w:tcPr>
            <w:tcW w:w="929" w:type="dxa"/>
          </w:tcPr>
          <w:p w14:paraId="24F1CE90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绿</w:t>
            </w:r>
          </w:p>
        </w:tc>
        <w:tc>
          <w:tcPr>
            <w:tcW w:w="5953" w:type="dxa"/>
          </w:tcPr>
          <w:p w14:paraId="6B8E3670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订单接收、试算页、申请提交、放款/还款回调处理、状态流转、持久化已具备</w:t>
            </w:r>
          </w:p>
        </w:tc>
      </w:tr>
      <w:tr w:rsidR="00C230EB" w14:paraId="65D22D6F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9C2895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KJ 标准协议适配</w:t>
            </w:r>
          </w:p>
        </w:tc>
        <w:tc>
          <w:tcPr>
            <w:tcW w:w="929" w:type="dxa"/>
          </w:tcPr>
          <w:p w14:paraId="39CD9321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绿</w:t>
            </w:r>
          </w:p>
        </w:tc>
        <w:tc>
          <w:tcPr>
            <w:tcW w:w="5953" w:type="dxa"/>
          </w:tcPr>
          <w:p w14:paraId="1E9218E8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 xml:space="preserve">已按 </w:t>
            </w:r>
            <w:proofErr w:type="spellStart"/>
            <w:r w:rsidRPr="00C230EB">
              <w:rPr>
                <w:rFonts w:ascii="Consolas" w:eastAsia="Consolas" w:hAnsi="Consolas"/>
                <w:highlight w:val="lightGray"/>
              </w:rPr>
              <w:t>channelId</w:t>
            </w:r>
            <w:proofErr w:type="spellEnd"/>
            <w:r w:rsidRPr="00C230EB">
              <w:rPr>
                <w:rFonts w:ascii="Consolas" w:eastAsia="Consolas" w:hAnsi="Consolas"/>
                <w:highlight w:val="lightGray"/>
              </w:rPr>
              <w:t xml:space="preserve"> + timestamp + sign + version + AES param</w:t>
            </w:r>
            <w:r>
              <w:t xml:space="preserve"> 实现请求/响应协议</w:t>
            </w:r>
          </w:p>
        </w:tc>
      </w:tr>
      <w:tr w:rsidR="00C230EB" w14:paraId="0DEA45A5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25DB28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KJ 回调报文兼容</w:t>
            </w:r>
          </w:p>
        </w:tc>
        <w:tc>
          <w:tcPr>
            <w:tcW w:w="929" w:type="dxa"/>
          </w:tcPr>
          <w:p w14:paraId="06557396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绿</w:t>
            </w:r>
          </w:p>
        </w:tc>
        <w:tc>
          <w:tcPr>
            <w:tcW w:w="5953" w:type="dxa"/>
          </w:tcPr>
          <w:p w14:paraId="1740041B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 xml:space="preserve">已支持 </w:t>
            </w:r>
            <w:proofErr w:type="spellStart"/>
            <w:r w:rsidRPr="00C230EB">
              <w:rPr>
                <w:rFonts w:ascii="Consolas" w:eastAsia="Consolas" w:hAnsi="Consolas"/>
                <w:highlight w:val="lightGray"/>
              </w:rPr>
              <w:t>loanInfoNotice</w:t>
            </w:r>
            <w:proofErr w:type="spellEnd"/>
            <w:r w:rsidRPr="00C230EB">
              <w:rPr>
                <w:rFonts w:ascii="Consolas" w:eastAsia="Consolas" w:hAnsi="Consolas"/>
                <w:highlight w:val="lightGray"/>
              </w:rPr>
              <w:t xml:space="preserve"> / </w:t>
            </w:r>
            <w:proofErr w:type="spellStart"/>
            <w:r w:rsidRPr="00C230EB">
              <w:rPr>
                <w:rFonts w:ascii="Consolas" w:eastAsia="Consolas" w:hAnsi="Consolas"/>
                <w:highlight w:val="lightGray"/>
              </w:rPr>
              <w:t>repayInfoNotice</w:t>
            </w:r>
            <w:proofErr w:type="spellEnd"/>
            <w:r>
              <w:t xml:space="preserve"> 标准结构接入，并映射到内部处理模型</w:t>
            </w:r>
          </w:p>
        </w:tc>
      </w:tr>
      <w:tr w:rsidR="00C230EB" w14:paraId="74BE6970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7E8981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真实调用地址确认</w:t>
            </w:r>
          </w:p>
        </w:tc>
        <w:tc>
          <w:tcPr>
            <w:tcW w:w="929" w:type="dxa"/>
          </w:tcPr>
          <w:p w14:paraId="646E0D67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黄</w:t>
            </w:r>
          </w:p>
        </w:tc>
        <w:tc>
          <w:tcPr>
            <w:tcW w:w="5953" w:type="dxa"/>
          </w:tcPr>
          <w:p w14:paraId="6D0505DA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文档中未提供真实 host / domain / IP，仅有相对路径</w:t>
            </w:r>
          </w:p>
        </w:tc>
      </w:tr>
      <w:tr w:rsidR="00C230EB" w14:paraId="4B8F1A10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7DFE798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官方签名 / 加密 demo 确认</w:t>
            </w:r>
          </w:p>
        </w:tc>
        <w:tc>
          <w:tcPr>
            <w:tcW w:w="929" w:type="dxa"/>
          </w:tcPr>
          <w:p w14:paraId="73C4A06F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黄</w:t>
            </w:r>
          </w:p>
        </w:tc>
        <w:tc>
          <w:tcPr>
            <w:tcW w:w="5953" w:type="dxa"/>
          </w:tcPr>
          <w:p w14:paraId="594BC9F1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 xml:space="preserve">当前签名默认实现为推断值，需 KJ 官方 demo </w:t>
            </w:r>
            <w:proofErr w:type="gramStart"/>
            <w:r>
              <w:t>或样例</w:t>
            </w:r>
            <w:proofErr w:type="gramEnd"/>
            <w:r>
              <w:t>确认</w:t>
            </w:r>
          </w:p>
        </w:tc>
      </w:tr>
      <w:tr w:rsidR="00C230EB" w14:paraId="36E9BE76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E7A6C9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真实联调准备度</w:t>
            </w:r>
          </w:p>
        </w:tc>
        <w:tc>
          <w:tcPr>
            <w:tcW w:w="929" w:type="dxa"/>
          </w:tcPr>
          <w:p w14:paraId="10F65818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黄</w:t>
            </w:r>
          </w:p>
        </w:tc>
        <w:tc>
          <w:tcPr>
            <w:tcW w:w="5953" w:type="dxa"/>
          </w:tcPr>
          <w:p w14:paraId="559E59D9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协议层、回调结构、真实 HTTP 能力与基础测试已具备；待补真实地址、正式密钥与官方签名样例后可进入真实联调</w:t>
            </w:r>
          </w:p>
        </w:tc>
      </w:tr>
      <w:tr w:rsidR="00C230EB" w14:paraId="22635742" w14:textId="77777777" w:rsidTr="00C230EB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3C8C89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直接上线准备度</w:t>
            </w:r>
          </w:p>
        </w:tc>
        <w:tc>
          <w:tcPr>
            <w:tcW w:w="929" w:type="dxa"/>
          </w:tcPr>
          <w:p w14:paraId="6DE82B2C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红</w:t>
            </w:r>
          </w:p>
        </w:tc>
        <w:tc>
          <w:tcPr>
            <w:tcW w:w="5953" w:type="dxa"/>
          </w:tcPr>
          <w:p w14:paraId="7ECD3B28" w14:textId="77777777" w:rsidR="00C230EB" w:rsidRDefault="00C230EB" w:rsidP="00C230EB">
            <w:pPr>
              <w:spacing w:after="80"/>
              <w:rPr>
                <w:rFonts w:hint="eastAsia"/>
              </w:rPr>
            </w:pPr>
            <w:r>
              <w:t>在真实地址与签名规则未最终确认前，不建议作为正式生产版本上线</w:t>
            </w:r>
          </w:p>
        </w:tc>
      </w:tr>
    </w:tbl>
    <w:p w14:paraId="0E51C080" w14:textId="77777777" w:rsidR="00C230EB" w:rsidRDefault="00C230EB">
      <w:pPr>
        <w:spacing w:after="40"/>
        <w:rPr>
          <w:rFonts w:hint="eastAsia"/>
        </w:rPr>
      </w:pPr>
    </w:p>
    <w:p w14:paraId="39B7C31B" w14:textId="48F1F35E" w:rsidR="00A46AD4" w:rsidRDefault="00A46AD4">
      <w:pPr>
        <w:spacing w:after="120"/>
        <w:ind w:left="720"/>
        <w:rPr>
          <w:rFonts w:hint="eastAsia"/>
        </w:rPr>
      </w:pPr>
    </w:p>
    <w:sectPr w:rsidR="00A46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C168C" w14:textId="77777777" w:rsidR="0080054D" w:rsidRDefault="0080054D" w:rsidP="00C230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1CF6FA" w14:textId="77777777" w:rsidR="0080054D" w:rsidRDefault="0080054D" w:rsidP="00C230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8D6F" w14:textId="77777777" w:rsidR="0080054D" w:rsidRDefault="0080054D" w:rsidP="00C230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35EB53" w14:textId="77777777" w:rsidR="0080054D" w:rsidRDefault="0080054D" w:rsidP="00C230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D4"/>
    <w:rsid w:val="0080054D"/>
    <w:rsid w:val="008C679D"/>
    <w:rsid w:val="00A46AD4"/>
    <w:rsid w:val="00C2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635E6"/>
  <w15:docId w15:val="{528993B6-8E87-433F-BCCE-E10ED95C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30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30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30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30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246</Characters>
  <Application>Microsoft Office Word</Application>
  <DocSecurity>0</DocSecurity>
  <Lines>17</Lines>
  <Paragraphs>24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科技平台 KJ 对接红黄绿状态清单</dc:title>
  <dc:creator>OpenAI Codex CLI</dc:creator>
  <cp:lastModifiedBy>Yuntao Zou</cp:lastModifiedBy>
  <cp:revision>2</cp:revision>
  <dcterms:created xsi:type="dcterms:W3CDTF">2026-04-11T09:08:00Z</dcterms:created>
  <dcterms:modified xsi:type="dcterms:W3CDTF">2026-04-11T09:08:00Z</dcterms:modified>
</cp:coreProperties>
</file>