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956" w:rsidRPr="00A64698" w:rsidRDefault="008B6956" w:rsidP="008B6956">
      <w:pPr>
        <w:pStyle w:val="a3"/>
        <w:numPr>
          <w:ilvl w:val="0"/>
          <w:numId w:val="2"/>
        </w:numPr>
        <w:ind w:firstLineChars="0"/>
        <w:rPr>
          <w:rFonts w:cs="宋体"/>
          <w:b/>
          <w:kern w:val="0"/>
          <w:sz w:val="24"/>
          <w:szCs w:val="24"/>
        </w:rPr>
      </w:pPr>
      <w:r w:rsidRPr="00A64698">
        <w:rPr>
          <w:rFonts w:cs="宋体" w:hint="eastAsia"/>
          <w:b/>
          <w:kern w:val="0"/>
          <w:sz w:val="24"/>
          <w:szCs w:val="24"/>
        </w:rPr>
        <w:t>金融机构如何对待地方政府性债务</w:t>
      </w:r>
    </w:p>
    <w:p w:rsidR="00617EEA" w:rsidRPr="00617EEA" w:rsidRDefault="00617EEA" w:rsidP="004C7CD5">
      <w:pPr>
        <w:ind w:firstLine="420"/>
        <w:rPr>
          <w:rFonts w:cs="宋体"/>
          <w:kern w:val="0"/>
          <w:szCs w:val="21"/>
        </w:rPr>
      </w:pPr>
      <w:r w:rsidRPr="00617EEA">
        <w:rPr>
          <w:rFonts w:cs="宋体" w:hint="eastAsia"/>
          <w:kern w:val="0"/>
          <w:szCs w:val="21"/>
        </w:rPr>
        <w:t>金融机构面对政府举债衝动时有两种困难：一是还款能力测算困难，从中国政府资产管理的法律和现有财政体系看，政府资产负债表在对偿还贷款能力时无参考意义，借款人通常以政府储备土地作为抵押、关联公司作为担保，甚至政府或人大通过某种形式决议作为还款能力的保障。</w:t>
      </w:r>
    </w:p>
    <w:p w:rsidR="00617EEA" w:rsidRPr="00617EEA" w:rsidRDefault="00617EEA" w:rsidP="008B6956">
      <w:pPr>
        <w:rPr>
          <w:rFonts w:cs="宋体"/>
          <w:kern w:val="0"/>
          <w:szCs w:val="21"/>
        </w:rPr>
      </w:pPr>
    </w:p>
    <w:p w:rsidR="00617EEA" w:rsidRPr="00617EEA" w:rsidRDefault="00617EEA" w:rsidP="004C7CD5">
      <w:pPr>
        <w:ind w:firstLine="420"/>
        <w:rPr>
          <w:rFonts w:cs="宋体"/>
          <w:kern w:val="0"/>
          <w:szCs w:val="21"/>
        </w:rPr>
      </w:pPr>
      <w:r w:rsidRPr="00617EEA">
        <w:rPr>
          <w:rFonts w:cs="宋体" w:hint="eastAsia"/>
          <w:kern w:val="0"/>
          <w:szCs w:val="21"/>
        </w:rPr>
        <w:t>这些形式在中国境内的大多数商业银行虽然予以认可，但应该看到的是，在债务合同违约时，难以便捷地通过司法途径追偿债权；二是贷后管理困难，由于财政、公共事业单位及融资平台企业银行账户的蓄水池效应，银行资金转入借款人账户后，很难分清哪些是自己的资金，实际上已经脱离银行的贷后管控。由此可见，金融机构在配置地方政府性债务类资产业务时，是有风险的。金融机构如何管控风险，初步认为应该从以下几个方面操作：</w:t>
      </w:r>
    </w:p>
    <w:p w:rsidR="00617EEA" w:rsidRPr="00617EEA" w:rsidRDefault="00617EEA" w:rsidP="008B6956">
      <w:pPr>
        <w:rPr>
          <w:rFonts w:cs="宋体"/>
          <w:kern w:val="0"/>
          <w:szCs w:val="21"/>
        </w:rPr>
      </w:pPr>
    </w:p>
    <w:p w:rsidR="00617EEA" w:rsidRPr="00617EEA" w:rsidRDefault="00617EEA" w:rsidP="008B6956">
      <w:pPr>
        <w:rPr>
          <w:rFonts w:cs="宋体"/>
          <w:kern w:val="0"/>
          <w:szCs w:val="21"/>
        </w:rPr>
      </w:pPr>
      <w:r w:rsidRPr="00617EEA">
        <w:rPr>
          <w:rFonts w:cs="宋体" w:hint="eastAsia"/>
          <w:kern w:val="0"/>
          <w:szCs w:val="21"/>
        </w:rPr>
        <w:t>一、谨慎选择抵押品和担保方式</w:t>
      </w:r>
    </w:p>
    <w:p w:rsidR="00617EEA" w:rsidRPr="00617EEA" w:rsidRDefault="00617EEA" w:rsidP="004C7CD5">
      <w:pPr>
        <w:ind w:firstLine="420"/>
        <w:rPr>
          <w:rFonts w:cs="宋体"/>
          <w:kern w:val="0"/>
          <w:szCs w:val="21"/>
        </w:rPr>
      </w:pPr>
      <w:r w:rsidRPr="00617EEA">
        <w:rPr>
          <w:rFonts w:cs="宋体" w:hint="eastAsia"/>
          <w:kern w:val="0"/>
          <w:szCs w:val="21"/>
        </w:rPr>
        <w:t>通常认为企业账户资金担保最为安全；其次是企业可变现流动资产（如股票、债券等）；再次是以收费权作为抵押（如高速公路收费等）。实物资产作为抵押应较谨慎，如用土地储备作为抵押，要注意是否牴触中国《土地法》中的政府在出让土地时招拍的规定。在以行政或事业单位资产作为抵押时，要关注这些资产是否可作变现，如学校、公市政公路等不可变现资产为低效抵押。不建议金融机构依据中国政府或人大某种形式的承诺作为依据来评估还款能力。</w:t>
      </w:r>
    </w:p>
    <w:p w:rsidR="00617EEA" w:rsidRPr="00617EEA" w:rsidRDefault="00617EEA" w:rsidP="008B6956">
      <w:pPr>
        <w:rPr>
          <w:rFonts w:cs="宋体"/>
          <w:kern w:val="0"/>
          <w:szCs w:val="21"/>
        </w:rPr>
      </w:pPr>
    </w:p>
    <w:p w:rsidR="00617EEA" w:rsidRPr="00617EEA" w:rsidRDefault="00617EEA" w:rsidP="008B6956">
      <w:pPr>
        <w:rPr>
          <w:rFonts w:cs="宋体"/>
          <w:kern w:val="0"/>
          <w:szCs w:val="21"/>
        </w:rPr>
      </w:pPr>
      <w:r w:rsidRPr="00617EEA">
        <w:rPr>
          <w:rFonts w:cs="宋体" w:hint="eastAsia"/>
          <w:kern w:val="0"/>
          <w:szCs w:val="21"/>
        </w:rPr>
        <w:t>二、关注地方政府性债务举借的法理合规性</w:t>
      </w:r>
    </w:p>
    <w:p w:rsidR="00617EEA" w:rsidRPr="00617EEA" w:rsidRDefault="00617EEA" w:rsidP="004C7CD5">
      <w:pPr>
        <w:ind w:firstLine="420"/>
        <w:rPr>
          <w:rFonts w:cs="宋体"/>
          <w:kern w:val="0"/>
          <w:szCs w:val="21"/>
        </w:rPr>
      </w:pPr>
      <w:r w:rsidRPr="00617EEA">
        <w:rPr>
          <w:rFonts w:cs="宋体" w:hint="eastAsia"/>
          <w:kern w:val="0"/>
          <w:szCs w:val="21"/>
        </w:rPr>
        <w:t>中国《预算法》于2014年8月修改以前，是不允许地方政府列赤字预算的，修改后，则要求地方政府举债要得到国务院及人大相关手续批淮。目前形成的地方政府性债务在借新还旧环节如没有国务院及人大的批淮，便存在法理合规风险；实际上，除了极少数的地方政府性债务有合法的程序外，绝大多数均没有履行合法的程序。为了防范风险，建议金融机构须做这类业务时，应尽量要求地方政府出具相关审批。</w:t>
      </w:r>
    </w:p>
    <w:p w:rsidR="00617EEA" w:rsidRPr="00617EEA" w:rsidRDefault="00617EEA" w:rsidP="008B6956">
      <w:pPr>
        <w:rPr>
          <w:rFonts w:cs="宋体"/>
          <w:kern w:val="0"/>
          <w:szCs w:val="21"/>
        </w:rPr>
      </w:pPr>
    </w:p>
    <w:p w:rsidR="00617EEA" w:rsidRPr="00617EEA" w:rsidRDefault="00617EEA" w:rsidP="008B6956">
      <w:pPr>
        <w:rPr>
          <w:rFonts w:cs="宋体"/>
          <w:kern w:val="0"/>
          <w:szCs w:val="21"/>
        </w:rPr>
      </w:pPr>
      <w:r w:rsidRPr="00617EEA">
        <w:rPr>
          <w:rFonts w:cs="宋体" w:hint="eastAsia"/>
          <w:kern w:val="0"/>
          <w:szCs w:val="21"/>
        </w:rPr>
        <w:t>三、对政府性债务分类对待态度</w:t>
      </w:r>
    </w:p>
    <w:p w:rsidR="00617EEA" w:rsidRPr="00617EEA" w:rsidRDefault="00617EEA" w:rsidP="00075E87">
      <w:pPr>
        <w:ind w:firstLine="420"/>
        <w:rPr>
          <w:rFonts w:cs="宋体"/>
          <w:kern w:val="0"/>
          <w:szCs w:val="21"/>
        </w:rPr>
      </w:pPr>
      <w:r w:rsidRPr="00617EEA">
        <w:rPr>
          <w:rFonts w:cs="宋体" w:hint="eastAsia"/>
          <w:kern w:val="0"/>
          <w:szCs w:val="21"/>
        </w:rPr>
        <w:t>对政府直接债务时，金融机构不应只是分析公共财政收支规模来判断偿债能力，因为就分税制体系下的地方政府，收入处于弱势，大多数地区的收入仅够行政运行和人员开支；而中央财政对地方的转移支付大多是有专项用途的，不能用以偿还债务，所以以债务规模和公共财政收入做模型分析是不可取的。</w:t>
      </w:r>
    </w:p>
    <w:p w:rsidR="00617EEA" w:rsidRPr="00617EEA" w:rsidRDefault="00617EEA" w:rsidP="00075E87">
      <w:pPr>
        <w:ind w:firstLine="420"/>
        <w:rPr>
          <w:rFonts w:cs="宋体"/>
          <w:kern w:val="0"/>
          <w:szCs w:val="21"/>
        </w:rPr>
      </w:pPr>
      <w:r w:rsidRPr="00617EEA">
        <w:rPr>
          <w:rFonts w:cs="宋体" w:hint="eastAsia"/>
          <w:kern w:val="0"/>
          <w:szCs w:val="21"/>
        </w:rPr>
        <w:t>那麽，当金融机构配置地方政府直接债务时，建议应有充足的抵押品，而不是基于对其公共预算收入的判断。对此类债务不建议大规模配置，除非银团贷款或有其他保障。</w:t>
      </w:r>
    </w:p>
    <w:p w:rsidR="00617EEA" w:rsidRPr="00617EEA" w:rsidRDefault="00617EEA" w:rsidP="00075E87">
      <w:pPr>
        <w:ind w:firstLine="420"/>
        <w:rPr>
          <w:rFonts w:cs="宋体"/>
          <w:kern w:val="0"/>
          <w:szCs w:val="21"/>
        </w:rPr>
      </w:pPr>
      <w:r w:rsidRPr="00617EEA">
        <w:rPr>
          <w:rFonts w:cs="宋体" w:hint="eastAsia"/>
          <w:kern w:val="0"/>
          <w:szCs w:val="21"/>
        </w:rPr>
        <w:t>对政府负有担保责任的债务，一般是指融资平台公司贷款，即金融机构在向政府借款时，通过融资平台公司借款形式来实施。金融机构在配置此类贷款时，建议主要针对融资平台公司的还款能力，把担保代偿能力放到次要地位。对此类债务，如有融资平台公司有充沛的现金流、易变现资产和土地等，建议金融机构可主要配置此类债务。</w:t>
      </w:r>
    </w:p>
    <w:p w:rsidR="00617EEA" w:rsidRPr="00617EEA" w:rsidRDefault="00617EEA" w:rsidP="004C7CD5">
      <w:pPr>
        <w:ind w:firstLine="420"/>
        <w:rPr>
          <w:rFonts w:cs="宋体"/>
          <w:kern w:val="0"/>
          <w:szCs w:val="21"/>
        </w:rPr>
      </w:pPr>
      <w:r w:rsidRPr="00617EEA">
        <w:rPr>
          <w:rFonts w:cs="宋体" w:hint="eastAsia"/>
          <w:kern w:val="0"/>
          <w:szCs w:val="21"/>
        </w:rPr>
        <w:t>对政府负有救助责任的债务，一般只有学校、医院等公益性机构债务。由于此类地方政府性债务贷款主体的特殊性，当金融机构出现债务违约时，无法申请法院强制清盘，而其抵押品或担保方也往往难以承担相应义务。建议金融机构配置此类债务时，应以短期为主，规模也不宜过大。</w:t>
      </w:r>
    </w:p>
    <w:p w:rsidR="00617EEA" w:rsidRPr="00617EEA" w:rsidRDefault="00617EEA" w:rsidP="008B6956">
      <w:pPr>
        <w:rPr>
          <w:rFonts w:cs="宋体"/>
          <w:kern w:val="0"/>
          <w:szCs w:val="21"/>
        </w:rPr>
      </w:pPr>
    </w:p>
    <w:p w:rsidR="00617EEA" w:rsidRPr="00617EEA" w:rsidRDefault="00617EEA" w:rsidP="008B6956">
      <w:pPr>
        <w:rPr>
          <w:rFonts w:cs="宋体"/>
          <w:kern w:val="0"/>
          <w:szCs w:val="21"/>
        </w:rPr>
      </w:pPr>
      <w:r w:rsidRPr="00617EEA">
        <w:rPr>
          <w:rFonts w:cs="宋体" w:hint="eastAsia"/>
          <w:kern w:val="0"/>
          <w:szCs w:val="21"/>
        </w:rPr>
        <w:lastRenderedPageBreak/>
        <w:t>四、地方政府偿债能力如何判断</w:t>
      </w:r>
    </w:p>
    <w:p w:rsidR="00617EEA" w:rsidRPr="00617EEA" w:rsidRDefault="00617EEA" w:rsidP="008B6956">
      <w:pPr>
        <w:rPr>
          <w:rFonts w:cs="宋体"/>
          <w:kern w:val="0"/>
          <w:szCs w:val="21"/>
        </w:rPr>
      </w:pPr>
      <w:r w:rsidRPr="00617EEA">
        <w:rPr>
          <w:rFonts w:cs="宋体" w:hint="eastAsia"/>
          <w:kern w:val="0"/>
          <w:szCs w:val="21"/>
        </w:rPr>
        <w:t>此处建议以下列几个方面判断：</w:t>
      </w:r>
    </w:p>
    <w:p w:rsidR="004C7CD5" w:rsidRDefault="004C7CD5" w:rsidP="004C7CD5">
      <w:pPr>
        <w:rPr>
          <w:rFonts w:cs="宋体"/>
          <w:kern w:val="0"/>
          <w:szCs w:val="21"/>
        </w:rPr>
      </w:pPr>
      <w:r>
        <w:rPr>
          <w:rFonts w:cs="宋体" w:hint="eastAsia"/>
          <w:kern w:val="0"/>
          <w:szCs w:val="21"/>
        </w:rPr>
        <w:t xml:space="preserve">1． </w:t>
      </w:r>
      <w:r w:rsidR="00617EEA" w:rsidRPr="004C7CD5">
        <w:rPr>
          <w:rFonts w:cs="宋体" w:hint="eastAsia"/>
          <w:kern w:val="0"/>
          <w:szCs w:val="21"/>
        </w:rPr>
        <w:t>非税收入规模，即土地出让金、矿业权出让金、排污费，甚至交通违章收费规模。现有地方财政管理制度，地方政府在非税收入使用上有较大</w:t>
      </w:r>
      <w:bookmarkStart w:id="0" w:name="_GoBack"/>
      <w:bookmarkEnd w:id="0"/>
      <w:r w:rsidR="00617EEA" w:rsidRPr="004C7CD5">
        <w:rPr>
          <w:rFonts w:cs="宋体" w:hint="eastAsia"/>
          <w:kern w:val="0"/>
          <w:szCs w:val="21"/>
        </w:rPr>
        <w:t>的自主权，如果非税收入丰沛，那政府偿债能力就有保障。</w:t>
      </w:r>
    </w:p>
    <w:p w:rsidR="007B4D2C" w:rsidRPr="004C7CD5" w:rsidRDefault="007B4D2C" w:rsidP="004C7CD5">
      <w:pPr>
        <w:rPr>
          <w:rFonts w:cs="宋体"/>
          <w:kern w:val="0"/>
          <w:szCs w:val="21"/>
        </w:rPr>
      </w:pPr>
    </w:p>
    <w:p w:rsidR="00617EEA" w:rsidRPr="00617EEA" w:rsidRDefault="00617EEA" w:rsidP="008B6956">
      <w:pPr>
        <w:rPr>
          <w:rFonts w:cs="宋体"/>
          <w:kern w:val="0"/>
          <w:szCs w:val="21"/>
        </w:rPr>
      </w:pPr>
      <w:r w:rsidRPr="00617EEA">
        <w:rPr>
          <w:rFonts w:cs="宋体" w:hint="eastAsia"/>
          <w:kern w:val="0"/>
          <w:szCs w:val="21"/>
        </w:rPr>
        <w:t>2. 融资平台公司的实力，在融资平台公司作为地方政府性债务名义的主体是，金融机构的第一追偿对象就是企业，别把希望放在政府或其部门的担保方上。</w:t>
      </w:r>
    </w:p>
    <w:p w:rsidR="007B4D2C" w:rsidRDefault="007B4D2C" w:rsidP="008B6956">
      <w:pPr>
        <w:rPr>
          <w:rFonts w:cs="宋体"/>
          <w:kern w:val="0"/>
          <w:szCs w:val="21"/>
        </w:rPr>
      </w:pPr>
    </w:p>
    <w:p w:rsidR="00617EEA" w:rsidRDefault="00617EEA" w:rsidP="008B6956">
      <w:pPr>
        <w:rPr>
          <w:rFonts w:cs="宋体"/>
          <w:kern w:val="0"/>
          <w:szCs w:val="21"/>
        </w:rPr>
      </w:pPr>
      <w:r w:rsidRPr="00617EEA">
        <w:rPr>
          <w:rFonts w:cs="宋体" w:hint="eastAsia"/>
          <w:kern w:val="0"/>
          <w:szCs w:val="21"/>
        </w:rPr>
        <w:t>3. 区域内的地方政府性债务规模，当区域内地方政府性债务利息总规模超出其公共预算盈馀和非税收入合计时，对该区域内不应新增地方政府新债务。</w:t>
      </w:r>
    </w:p>
    <w:p w:rsidR="00FA201A" w:rsidRPr="00617EEA" w:rsidRDefault="00FA201A" w:rsidP="008B6956">
      <w:pPr>
        <w:rPr>
          <w:rFonts w:cs="宋体"/>
          <w:kern w:val="0"/>
          <w:szCs w:val="21"/>
        </w:rPr>
      </w:pPr>
    </w:p>
    <w:p w:rsidR="00617EEA" w:rsidRPr="00617EEA" w:rsidRDefault="00617EEA" w:rsidP="008B6956">
      <w:pPr>
        <w:rPr>
          <w:rFonts w:cs="宋体"/>
          <w:kern w:val="0"/>
          <w:szCs w:val="21"/>
        </w:rPr>
      </w:pPr>
      <w:r w:rsidRPr="00617EEA">
        <w:rPr>
          <w:rFonts w:cs="宋体" w:hint="eastAsia"/>
          <w:kern w:val="0"/>
          <w:szCs w:val="21"/>
        </w:rPr>
        <w:t>五、地方政府性债务的较佳模式</w:t>
      </w:r>
    </w:p>
    <w:p w:rsidR="00617EEA" w:rsidRPr="00617EEA" w:rsidRDefault="00617EEA" w:rsidP="008B6956">
      <w:pPr>
        <w:rPr>
          <w:rFonts w:cs="宋体"/>
          <w:kern w:val="0"/>
          <w:szCs w:val="21"/>
        </w:rPr>
      </w:pPr>
      <w:r w:rsidRPr="00617EEA">
        <w:rPr>
          <w:rFonts w:cs="宋体" w:hint="eastAsia"/>
          <w:kern w:val="0"/>
          <w:szCs w:val="21"/>
        </w:rPr>
        <w:t>1. 为了防范风险，建议金融机构配置地方政府性债务时，应以银团贷款模式为主，这样，金融机构的议价能力可以提高，在面临危机时可以分散风险。</w:t>
      </w:r>
    </w:p>
    <w:p w:rsidR="007B4D2C" w:rsidRDefault="007B4D2C" w:rsidP="008B6956">
      <w:pPr>
        <w:rPr>
          <w:rFonts w:cs="宋体"/>
          <w:kern w:val="0"/>
          <w:szCs w:val="21"/>
        </w:rPr>
      </w:pPr>
    </w:p>
    <w:p w:rsidR="00617EEA" w:rsidRPr="00617EEA" w:rsidRDefault="00617EEA" w:rsidP="008B6956">
      <w:pPr>
        <w:rPr>
          <w:rFonts w:cs="宋体"/>
          <w:kern w:val="0"/>
          <w:szCs w:val="21"/>
        </w:rPr>
      </w:pPr>
      <w:r w:rsidRPr="00617EEA">
        <w:rPr>
          <w:rFonts w:cs="宋体" w:hint="eastAsia"/>
          <w:kern w:val="0"/>
          <w:szCs w:val="21"/>
        </w:rPr>
        <w:t>2. 建议以政府</w:t>
      </w:r>
      <w:r w:rsidR="00FE1EC7">
        <w:rPr>
          <w:rFonts w:cs="宋体" w:hint="eastAsia"/>
          <w:kern w:val="0"/>
          <w:szCs w:val="21"/>
        </w:rPr>
        <w:t>管</w:t>
      </w:r>
      <w:r w:rsidRPr="00617EEA">
        <w:rPr>
          <w:rFonts w:cs="宋体" w:hint="eastAsia"/>
          <w:kern w:val="0"/>
          <w:szCs w:val="21"/>
        </w:rPr>
        <w:t>辖下国有企业作为抵押或担保方，担</w:t>
      </w:r>
      <w:r w:rsidR="00571B06">
        <w:rPr>
          <w:rFonts w:cs="宋体" w:hint="eastAsia"/>
          <w:kern w:val="0"/>
          <w:szCs w:val="21"/>
        </w:rPr>
        <w:t>保企业自身资产有偿还债务的能力，避免采</w:t>
      </w:r>
      <w:r w:rsidRPr="00617EEA">
        <w:rPr>
          <w:rFonts w:cs="宋体" w:hint="eastAsia"/>
          <w:kern w:val="0"/>
          <w:szCs w:val="21"/>
        </w:rPr>
        <w:t>取其他方式。</w:t>
      </w:r>
    </w:p>
    <w:p w:rsidR="00772376" w:rsidRPr="00DC1843" w:rsidRDefault="00772376" w:rsidP="008B6956">
      <w:pPr>
        <w:rPr>
          <w:rFonts w:cs="宋体"/>
          <w:kern w:val="0"/>
          <w:szCs w:val="21"/>
        </w:rPr>
      </w:pPr>
    </w:p>
    <w:p w:rsidR="00617EEA" w:rsidRDefault="00617EEA" w:rsidP="008B6956">
      <w:pPr>
        <w:rPr>
          <w:rFonts w:cs="宋体"/>
          <w:kern w:val="0"/>
          <w:szCs w:val="21"/>
        </w:rPr>
      </w:pPr>
      <w:r w:rsidRPr="00617EEA">
        <w:rPr>
          <w:rFonts w:cs="宋体" w:hint="eastAsia"/>
          <w:kern w:val="0"/>
          <w:szCs w:val="21"/>
        </w:rPr>
        <w:t>3. 贷款期限以中短期为主，减少长期贷款比例，避免政府人员更替带来的风险。</w:t>
      </w:r>
    </w:p>
    <w:p w:rsidR="00721FD3" w:rsidRPr="00617EEA" w:rsidRDefault="00721FD3" w:rsidP="008B6956">
      <w:pPr>
        <w:rPr>
          <w:rFonts w:cs="宋体"/>
          <w:kern w:val="0"/>
          <w:szCs w:val="21"/>
        </w:rPr>
      </w:pPr>
    </w:p>
    <w:p w:rsidR="00617EEA" w:rsidRPr="00A64698" w:rsidRDefault="00CE3347" w:rsidP="008B6956">
      <w:pPr>
        <w:rPr>
          <w:rFonts w:cs="宋体"/>
          <w:b/>
          <w:kern w:val="0"/>
          <w:sz w:val="24"/>
          <w:szCs w:val="24"/>
        </w:rPr>
      </w:pPr>
      <w:r w:rsidRPr="00A64698">
        <w:rPr>
          <w:rFonts w:cs="宋体" w:hint="eastAsia"/>
          <w:b/>
          <w:kern w:val="0"/>
          <w:sz w:val="24"/>
          <w:szCs w:val="24"/>
        </w:rPr>
        <w:t>（二）</w:t>
      </w:r>
      <w:r w:rsidR="00617EEA" w:rsidRPr="00A64698">
        <w:rPr>
          <w:rFonts w:cs="宋体" w:hint="eastAsia"/>
          <w:b/>
          <w:kern w:val="0"/>
          <w:sz w:val="24"/>
          <w:szCs w:val="24"/>
        </w:rPr>
        <w:t>金融机构与地方政府性债务未来的发展</w:t>
      </w:r>
    </w:p>
    <w:p w:rsidR="00617EEA" w:rsidRPr="00617EEA" w:rsidRDefault="00617EEA" w:rsidP="008B6956">
      <w:pPr>
        <w:rPr>
          <w:rFonts w:cs="宋体"/>
          <w:kern w:val="0"/>
          <w:szCs w:val="21"/>
        </w:rPr>
      </w:pPr>
      <w:r w:rsidRPr="00617EEA">
        <w:rPr>
          <w:rFonts w:cs="宋体" w:hint="eastAsia"/>
          <w:kern w:val="0"/>
          <w:szCs w:val="21"/>
        </w:rPr>
        <w:t>一、资产置换形式化解债务不可避免，金融机构应做好应对准备，避免廉价资产化解债权。自国家审计署2013年公告政府性债务后，没有再实施全国性的普查，但据部分研究机构判断，规模扩张应很迅速。在地方政府财政能力无法偿还债务时，必然提出资产化解债务的方案。</w:t>
      </w:r>
    </w:p>
    <w:p w:rsidR="00617EEA" w:rsidRPr="00617EEA" w:rsidRDefault="00617EEA" w:rsidP="007B4D2C">
      <w:pPr>
        <w:ind w:firstLine="420"/>
        <w:rPr>
          <w:rFonts w:cs="宋体"/>
          <w:kern w:val="0"/>
          <w:szCs w:val="21"/>
        </w:rPr>
      </w:pPr>
      <w:r w:rsidRPr="00617EEA">
        <w:rPr>
          <w:rFonts w:cs="宋体" w:hint="eastAsia"/>
          <w:kern w:val="0"/>
          <w:szCs w:val="21"/>
        </w:rPr>
        <w:t>目前，部分地区已经出现的土地使用权资产化解、国有股股权化解等方式。此时，地方政府必然有高估化债资产的衝动，金融机构应提前做好应对，在法律合同文本和预案中，有防止资产高估的方法。</w:t>
      </w:r>
    </w:p>
    <w:p w:rsidR="00617EEA" w:rsidRPr="00617EEA" w:rsidRDefault="00617EEA" w:rsidP="008B6956">
      <w:pPr>
        <w:rPr>
          <w:rFonts w:cs="宋体"/>
          <w:kern w:val="0"/>
          <w:szCs w:val="21"/>
        </w:rPr>
      </w:pPr>
    </w:p>
    <w:p w:rsidR="00617EEA" w:rsidRPr="00617EEA" w:rsidRDefault="00617EEA" w:rsidP="008B6956">
      <w:pPr>
        <w:rPr>
          <w:rFonts w:cs="宋体"/>
          <w:kern w:val="0"/>
          <w:szCs w:val="21"/>
        </w:rPr>
      </w:pPr>
      <w:r w:rsidRPr="00617EEA">
        <w:rPr>
          <w:rFonts w:cs="宋体" w:hint="eastAsia"/>
          <w:kern w:val="0"/>
          <w:szCs w:val="21"/>
        </w:rPr>
        <w:t>二、做好对地方政府性债务的分类管理，特别是教育机构债务，应谨慎对待。中国学校的收入主要来源为财政拨款、学生缴费和捐赠资金；财政拨款和学生缴费主要是维</w:t>
      </w:r>
      <w:r w:rsidR="00903F0B">
        <w:rPr>
          <w:rFonts w:cs="宋体" w:hint="eastAsia"/>
          <w:kern w:val="0"/>
          <w:szCs w:val="21"/>
        </w:rPr>
        <w:t>持教师工资和教学正常开支，捐赠资金大多是定向用途，而且规模普遍占</w:t>
      </w:r>
      <w:r w:rsidRPr="00617EEA">
        <w:rPr>
          <w:rFonts w:cs="宋体" w:hint="eastAsia"/>
          <w:kern w:val="0"/>
          <w:szCs w:val="21"/>
        </w:rPr>
        <w:t>比很小。</w:t>
      </w:r>
    </w:p>
    <w:p w:rsidR="00617EEA" w:rsidRPr="00617EEA" w:rsidRDefault="00617EEA" w:rsidP="007B4D2C">
      <w:pPr>
        <w:ind w:firstLine="420"/>
        <w:rPr>
          <w:rFonts w:cs="宋体"/>
          <w:kern w:val="0"/>
          <w:szCs w:val="21"/>
        </w:rPr>
      </w:pPr>
      <w:r w:rsidRPr="00617EEA">
        <w:rPr>
          <w:rFonts w:cs="宋体" w:hint="eastAsia"/>
          <w:kern w:val="0"/>
          <w:szCs w:val="21"/>
        </w:rPr>
        <w:t>目前，大量学校为了新校区建设而大量举债，部分学校连利息也无法偿还，类似事件，媒体多有报道。金融机构在对政府负有偿还责任的贷款，应尽可能缩减规模，对担保责任贷款应视情况合理而配置资产业务</w:t>
      </w:r>
      <w:r w:rsidR="00FF2A48">
        <w:rPr>
          <w:rFonts w:cs="宋体" w:hint="eastAsia"/>
          <w:kern w:val="0"/>
          <w:szCs w:val="21"/>
        </w:rPr>
        <w:t>，对政府直接贷款，则要采</w:t>
      </w:r>
      <w:r w:rsidRPr="00617EEA">
        <w:rPr>
          <w:rFonts w:cs="宋体" w:hint="eastAsia"/>
          <w:kern w:val="0"/>
          <w:szCs w:val="21"/>
        </w:rPr>
        <w:t>取银团贷款等手段防范风险。</w:t>
      </w:r>
    </w:p>
    <w:p w:rsidR="00617EEA" w:rsidRPr="00617EEA" w:rsidRDefault="00B17B55" w:rsidP="008B6956">
      <w:pPr>
        <w:rPr>
          <w:rFonts w:cs="宋体" w:hint="eastAsia"/>
          <w:kern w:val="0"/>
          <w:szCs w:val="21"/>
        </w:rPr>
      </w:pPr>
      <w:r>
        <w:rPr>
          <w:rFonts w:cs="宋体"/>
          <w:kern w:val="0"/>
          <w:szCs w:val="21"/>
        </w:rPr>
        <w:tab/>
      </w:r>
    </w:p>
    <w:p w:rsidR="00617EEA" w:rsidRPr="00617EEA" w:rsidRDefault="008944E6" w:rsidP="008B6956">
      <w:pPr>
        <w:rPr>
          <w:rFonts w:cs="宋体"/>
          <w:kern w:val="0"/>
          <w:szCs w:val="21"/>
        </w:rPr>
      </w:pPr>
      <w:r>
        <w:rPr>
          <w:rFonts w:cs="宋体" w:hint="eastAsia"/>
          <w:kern w:val="0"/>
          <w:szCs w:val="21"/>
        </w:rPr>
        <w:t>三、总体上，压缩地方政府性债务在资产业务总规模中的占</w:t>
      </w:r>
      <w:r w:rsidR="00C64EB7">
        <w:rPr>
          <w:rFonts w:cs="宋体" w:hint="eastAsia"/>
          <w:kern w:val="0"/>
          <w:szCs w:val="21"/>
        </w:rPr>
        <w:t>比。从宏观看，地方政府性债务的膨胀，会令政府采</w:t>
      </w:r>
      <w:r w:rsidR="00617EEA" w:rsidRPr="00617EEA">
        <w:rPr>
          <w:rFonts w:cs="宋体" w:hint="eastAsia"/>
          <w:kern w:val="0"/>
          <w:szCs w:val="21"/>
        </w:rPr>
        <w:t>取宽鬆的货币政策，使得资产业务利润贬值。另一方面，从目前中国的经济形势看，财政收入增长困难、支出压力增大的情况下，继续膨胀的地方政府性债务风险突显，建议金融机构增加零售业务规模，有效防范风险。</w:t>
      </w:r>
    </w:p>
    <w:p w:rsidR="00D54C3E" w:rsidRPr="00617EEA" w:rsidRDefault="00D54C3E" w:rsidP="008B6956"/>
    <w:sectPr w:rsidR="00D54C3E" w:rsidRPr="00617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C32" w:rsidRDefault="00836C32" w:rsidP="00B57F2D">
      <w:r>
        <w:separator/>
      </w:r>
    </w:p>
  </w:endnote>
  <w:endnote w:type="continuationSeparator" w:id="0">
    <w:p w:rsidR="00836C32" w:rsidRDefault="00836C32" w:rsidP="00B57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C32" w:rsidRDefault="00836C32" w:rsidP="00B57F2D">
      <w:r>
        <w:separator/>
      </w:r>
    </w:p>
  </w:footnote>
  <w:footnote w:type="continuationSeparator" w:id="0">
    <w:p w:rsidR="00836C32" w:rsidRDefault="00836C32" w:rsidP="00B57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A0E37"/>
    <w:multiLevelType w:val="hybridMultilevel"/>
    <w:tmpl w:val="7EF87EC6"/>
    <w:lvl w:ilvl="0" w:tplc="16FE9402">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F46732"/>
    <w:multiLevelType w:val="hybridMultilevel"/>
    <w:tmpl w:val="9076814A"/>
    <w:lvl w:ilvl="0" w:tplc="56AEB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E17C7F"/>
    <w:multiLevelType w:val="hybridMultilevel"/>
    <w:tmpl w:val="67AA7F8A"/>
    <w:lvl w:ilvl="0" w:tplc="C636A1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2A"/>
    <w:rsid w:val="00011B46"/>
    <w:rsid w:val="000720C6"/>
    <w:rsid w:val="00075E87"/>
    <w:rsid w:val="0016524D"/>
    <w:rsid w:val="001A7579"/>
    <w:rsid w:val="00265D25"/>
    <w:rsid w:val="004B3777"/>
    <w:rsid w:val="004C7CD5"/>
    <w:rsid w:val="00571B06"/>
    <w:rsid w:val="005C2201"/>
    <w:rsid w:val="005E5A8B"/>
    <w:rsid w:val="00617EEA"/>
    <w:rsid w:val="006E58BA"/>
    <w:rsid w:val="00721FD3"/>
    <w:rsid w:val="00772376"/>
    <w:rsid w:val="007B4D2C"/>
    <w:rsid w:val="00836C32"/>
    <w:rsid w:val="00860CDF"/>
    <w:rsid w:val="008944E6"/>
    <w:rsid w:val="008B6956"/>
    <w:rsid w:val="00903F0B"/>
    <w:rsid w:val="00913E2A"/>
    <w:rsid w:val="00A15BF5"/>
    <w:rsid w:val="00A64698"/>
    <w:rsid w:val="00AD40F8"/>
    <w:rsid w:val="00B17B55"/>
    <w:rsid w:val="00B57F2D"/>
    <w:rsid w:val="00B82DC0"/>
    <w:rsid w:val="00B91CE6"/>
    <w:rsid w:val="00BE2789"/>
    <w:rsid w:val="00C64EB7"/>
    <w:rsid w:val="00CE3347"/>
    <w:rsid w:val="00D531AD"/>
    <w:rsid w:val="00D54C3E"/>
    <w:rsid w:val="00D6714D"/>
    <w:rsid w:val="00D90A04"/>
    <w:rsid w:val="00DC1843"/>
    <w:rsid w:val="00F163AD"/>
    <w:rsid w:val="00FA201A"/>
    <w:rsid w:val="00FE1EC7"/>
    <w:rsid w:val="00FF2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BE6DA"/>
  <w15:chartTrackingRefBased/>
  <w15:docId w15:val="{1A3AE482-2F3E-4CD0-9A8B-7D5C0E46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14D"/>
    <w:pPr>
      <w:ind w:firstLineChars="200" w:firstLine="420"/>
    </w:pPr>
  </w:style>
  <w:style w:type="paragraph" w:styleId="a4">
    <w:name w:val="header"/>
    <w:basedOn w:val="a"/>
    <w:link w:val="a5"/>
    <w:uiPriority w:val="99"/>
    <w:unhideWhenUsed/>
    <w:rsid w:val="00B57F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F2D"/>
    <w:rPr>
      <w:sz w:val="18"/>
      <w:szCs w:val="18"/>
    </w:rPr>
  </w:style>
  <w:style w:type="paragraph" w:styleId="a6">
    <w:name w:val="footer"/>
    <w:basedOn w:val="a"/>
    <w:link w:val="a7"/>
    <w:uiPriority w:val="99"/>
    <w:unhideWhenUsed/>
    <w:rsid w:val="00B57F2D"/>
    <w:pPr>
      <w:tabs>
        <w:tab w:val="center" w:pos="4153"/>
        <w:tab w:val="right" w:pos="8306"/>
      </w:tabs>
      <w:snapToGrid w:val="0"/>
      <w:jc w:val="left"/>
    </w:pPr>
    <w:rPr>
      <w:sz w:val="18"/>
      <w:szCs w:val="18"/>
    </w:rPr>
  </w:style>
  <w:style w:type="character" w:customStyle="1" w:styleId="a7">
    <w:name w:val="页脚 字符"/>
    <w:basedOn w:val="a0"/>
    <w:link w:val="a6"/>
    <w:uiPriority w:val="99"/>
    <w:rsid w:val="00B57F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AF450-A503-45B4-B889-4F113E68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35</cp:revision>
  <dcterms:created xsi:type="dcterms:W3CDTF">2017-07-13T02:05:00Z</dcterms:created>
  <dcterms:modified xsi:type="dcterms:W3CDTF">2017-07-17T07:46:00Z</dcterms:modified>
</cp:coreProperties>
</file>