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rPr>
          <w:b/>
        </w:rPr>
        <w:t>1.登录系统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149_登录系统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2.登录系统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158_登录系统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3.文库构建待选表核对lims号功能，并保存任务单号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304_文库构建待选表核对lims号功能，并保存任务单号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4.文库构建结果表提交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535_文库构建结果表提交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5.文库构建明细表提交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546_文库构建明细表提交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6.文库构建明细表入库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604_文库构建明细表入库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7.文库构建结果表完成任务单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616_文库构建结果表完成任务单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8.文库富集待选表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700_文库富集待选表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9.文库富集明细表生成结果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733_文库富集明细表生成结果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10.文库富集结果表生成上机分组号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753_文库富集结果表生成上机分组号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11.文库富集结果表提交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757_文库富集结果表提交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12.文库富集提交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808_文库富集提交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13.文库富集待选表入库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823_文库富集待选表入库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14.文库富集结果表完成任务单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836_文库富集结果表完成任务单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15.文库定量待选表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55952_文库定量待选表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16.文库定量结果表提交 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142_文库定量结果表提交 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>17.文库定量明细表提交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159_文库定量明细表提交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18.文库定量明细表入库 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220_文库定量明细表入库 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19.文库定量结果表完成任务单 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235_文库定量结果表完成任务单 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20.上机待选表选择样本加入并保存 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340_上机待选表选择样本加入并保存 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21.浓度调整前明细表生成结果操作 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414_浓度调整前明细表生成结果操作 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22.浓度调整前明细表提交操作 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416_浓度调整前明细表提交操作 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23.浓度调整前明细表入库操作 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438_浓度调整前明细表入库操作 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rPr>
          <w:b/>
        </w:rPr>
        <w:t xml:space="preserve">24.浓度调整后明细表确认上机 </w:t>
      </w:r>
    </w:p>
    <w:p>
      <w:r>
        <w:drawing>
          <wp:inline xmlns:a="http://schemas.openxmlformats.org/drawingml/2006/main" xmlns:pic="http://schemas.openxmlformats.org/drawingml/2006/picture">
            <wp:extent cx="54864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20230811160530_浓度调整后明细表确认上机 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