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3479" w14:textId="77777777" w:rsidR="00337AFD" w:rsidRPr="00337AFD" w:rsidRDefault="00337AFD" w:rsidP="00337AFD">
      <w:pPr>
        <w:widowControl/>
        <w:pBdr>
          <w:top w:val="nil"/>
          <w:left w:val="nil"/>
          <w:bottom w:val="nil"/>
          <w:right w:val="nil"/>
          <w:between w:val="nil"/>
          <w:bar w:val="nil"/>
        </w:pBdr>
        <w:jc w:val="center"/>
        <w:outlineLvl w:val="0"/>
        <w:rPr>
          <w:rFonts w:ascii="Times New Roman" w:eastAsia="Times New Roman" w:hAnsi="Times New Roman" w:cs="Times New Roman"/>
          <w:color w:val="000000"/>
          <w:kern w:val="0"/>
          <w:sz w:val="40"/>
          <w:szCs w:val="40"/>
          <w:bdr w:val="nil"/>
        </w:rPr>
      </w:pPr>
      <w:r w:rsidRPr="00337AFD">
        <w:rPr>
          <w:rFonts w:ascii="Times New Roman" w:eastAsia="Helvetica" w:hAnsi="Times New Roman" w:cs="Arial Unicode MS"/>
          <w:color w:val="000000"/>
          <w:kern w:val="0"/>
          <w:sz w:val="40"/>
          <w:szCs w:val="40"/>
          <w:bdr w:val="nil"/>
        </w:rPr>
        <w:t>Research Topic</w:t>
      </w:r>
    </w:p>
    <w:p w14:paraId="613DD90D" w14:textId="77777777" w:rsidR="00337AFD" w:rsidRPr="00337AFD" w:rsidRDefault="00337AFD" w:rsidP="00CC3C77">
      <w:pPr>
        <w:rPr>
          <w:rFonts w:ascii="Times New Roman" w:eastAsia="Times New Roman" w:hAnsi="Times New Roman" w:cs="Times New Roman"/>
          <w:color w:val="000000"/>
          <w:kern w:val="0"/>
          <w:sz w:val="24"/>
          <w:szCs w:val="24"/>
          <w:bdr w:val="nil"/>
        </w:rPr>
      </w:pPr>
      <w:r w:rsidRPr="00337AFD">
        <w:rPr>
          <w:rFonts w:ascii="Times New Roman" w:eastAsia="Helvetica" w:hAnsi="Times New Roman" w:cs="Arial Unicode MS"/>
          <w:color w:val="000000"/>
          <w:kern w:val="0"/>
          <w:sz w:val="24"/>
          <w:szCs w:val="24"/>
          <w:bdr w:val="nil"/>
        </w:rPr>
        <w:t>A</w:t>
      </w:r>
      <w:r w:rsidR="005D6F2A">
        <w:rPr>
          <w:rFonts w:ascii="Times New Roman" w:eastAsia="Helvetica" w:hAnsi="Times New Roman" w:cs="Arial Unicode MS"/>
          <w:color w:val="000000"/>
          <w:kern w:val="0"/>
          <w:sz w:val="24"/>
          <w:szCs w:val="24"/>
          <w:bdr w:val="nil"/>
        </w:rPr>
        <w:t>8</w:t>
      </w:r>
      <w:r w:rsidRPr="00337AFD">
        <w:rPr>
          <w:rFonts w:ascii="Times New Roman" w:eastAsia="Helvetica" w:hAnsi="Times New Roman" w:cs="Arial Unicode MS"/>
          <w:color w:val="000000"/>
          <w:kern w:val="0"/>
          <w:sz w:val="24"/>
          <w:szCs w:val="24"/>
          <w:bdr w:val="nil"/>
        </w:rPr>
        <w:t xml:space="preserve">G01  </w:t>
      </w:r>
    </w:p>
    <w:p w14:paraId="1CBCB26C" w14:textId="7BD1DD7A" w:rsidR="00337AFD" w:rsidRPr="00337AFD" w:rsidRDefault="00337AFD" w:rsidP="00CC3C77">
      <w:pPr>
        <w:rPr>
          <w:rFonts w:ascii="Times New Roman" w:eastAsia="Times New Roman" w:hAnsi="Times New Roman" w:cs="Times New Roman"/>
          <w:color w:val="000000"/>
          <w:kern w:val="0"/>
          <w:sz w:val="24"/>
          <w:szCs w:val="24"/>
          <w:bdr w:val="nil"/>
        </w:rPr>
      </w:pPr>
      <w:r w:rsidRPr="00337AFD">
        <w:rPr>
          <w:rFonts w:ascii="Times New Roman" w:eastAsia="Helvetica" w:hAnsi="Times New Roman" w:cs="Arial Unicode MS"/>
          <w:color w:val="000000"/>
          <w:kern w:val="0"/>
          <w:sz w:val="24"/>
          <w:szCs w:val="24"/>
          <w:bdr w:val="nil"/>
        </w:rPr>
        <w:t>Group members</w:t>
      </w:r>
      <w:r w:rsidRPr="00337AFD">
        <w:rPr>
          <w:rFonts w:ascii="Arial Unicode MS" w:eastAsia="Arial Unicode MS" w:hAnsi="Arial Unicode MS" w:cs="Arial Unicode MS"/>
          <w:color w:val="000000"/>
          <w:kern w:val="0"/>
          <w:sz w:val="24"/>
          <w:szCs w:val="24"/>
          <w:bdr w:val="nil"/>
        </w:rPr>
        <w:t>：</w:t>
      </w:r>
      <w:r w:rsidRPr="00337AFD">
        <w:rPr>
          <w:rFonts w:ascii="Times New Roman" w:eastAsia="Helvetica" w:hAnsi="Times New Roman" w:cs="Arial Unicode MS"/>
          <w:color w:val="000000"/>
          <w:kern w:val="0"/>
          <w:sz w:val="24"/>
          <w:szCs w:val="24"/>
          <w:bdr w:val="nil"/>
        </w:rPr>
        <w:t xml:space="preserve">__________ </w:t>
      </w:r>
      <w:r w:rsidR="00CC3C77">
        <w:rPr>
          <w:rFonts w:ascii="Times New Roman" w:eastAsia="Helvetica" w:hAnsi="Times New Roman" w:cs="Arial Unicode MS"/>
          <w:color w:val="000000"/>
          <w:kern w:val="0"/>
          <w:sz w:val="24"/>
          <w:szCs w:val="24"/>
          <w:bdr w:val="nil"/>
        </w:rPr>
        <w:t xml:space="preserve"> </w:t>
      </w:r>
      <w:r w:rsidRPr="00337AFD">
        <w:rPr>
          <w:rFonts w:ascii="Times New Roman" w:eastAsia="Helvetica" w:hAnsi="Times New Roman" w:cs="Arial Unicode MS"/>
          <w:color w:val="000000"/>
          <w:kern w:val="0"/>
          <w:sz w:val="24"/>
          <w:szCs w:val="24"/>
          <w:bdr w:val="nil"/>
        </w:rPr>
        <w:t xml:space="preserve">___________  ___________ </w:t>
      </w:r>
      <w:r w:rsidR="00CC3C77">
        <w:rPr>
          <w:rFonts w:ascii="Times New Roman" w:eastAsia="Helvetica" w:hAnsi="Times New Roman" w:cs="Arial Unicode MS"/>
          <w:color w:val="000000"/>
          <w:kern w:val="0"/>
          <w:sz w:val="24"/>
          <w:szCs w:val="24"/>
          <w:bdr w:val="nil"/>
        </w:rPr>
        <w:t xml:space="preserve"> </w:t>
      </w:r>
      <w:r w:rsidRPr="00337AFD">
        <w:rPr>
          <w:rFonts w:ascii="Times New Roman" w:eastAsia="Helvetica" w:hAnsi="Times New Roman" w:cs="Arial Unicode MS"/>
          <w:color w:val="000000"/>
          <w:kern w:val="0"/>
          <w:sz w:val="24"/>
          <w:szCs w:val="24"/>
          <w:bdr w:val="nil"/>
        </w:rPr>
        <w:t>____________</w:t>
      </w:r>
    </w:p>
    <w:p w14:paraId="0E15A5E4" w14:textId="77777777" w:rsidR="00337AFD" w:rsidRPr="00337AFD" w:rsidRDefault="00337AFD" w:rsidP="00CC3C77">
      <w:pPr>
        <w:rPr>
          <w:rFonts w:ascii="Times New Roman" w:eastAsia="Times New Roman" w:hAnsi="Times New Roman" w:cs="Times New Roman"/>
          <w:color w:val="000000"/>
          <w:kern w:val="0"/>
          <w:sz w:val="24"/>
          <w:szCs w:val="24"/>
          <w:bdr w:val="nil"/>
        </w:rPr>
      </w:pPr>
      <w:r w:rsidRPr="00337AFD">
        <w:rPr>
          <w:rFonts w:ascii="Times New Roman" w:eastAsia="Helvetica" w:hAnsi="Times New Roman" w:cs="Arial Unicode MS"/>
          <w:color w:val="000000"/>
          <w:kern w:val="0"/>
          <w:sz w:val="24"/>
          <w:szCs w:val="24"/>
          <w:bdr w:val="nil"/>
        </w:rPr>
        <w:t xml:space="preserve">  </w:t>
      </w:r>
    </w:p>
    <w:p w14:paraId="6F89C855" w14:textId="77777777" w:rsidR="00337AFD" w:rsidRPr="00337AFD" w:rsidRDefault="00CC3C77" w:rsidP="00CC3C77">
      <w:pPr>
        <w:rPr>
          <w:rFonts w:ascii="Times New Roman" w:eastAsia="Times New Roman" w:hAnsi="Times New Roman" w:cs="Times New Roman"/>
          <w:color w:val="000000"/>
          <w:kern w:val="0"/>
          <w:sz w:val="24"/>
          <w:szCs w:val="24"/>
          <w:bdr w:val="nil"/>
        </w:rPr>
      </w:pPr>
      <w:r>
        <w:rPr>
          <w:rFonts w:asciiTheme="minorEastAsia" w:hAnsiTheme="minorEastAsia" w:cs="Arial Unicode MS" w:hint="eastAsia"/>
          <w:color w:val="000000"/>
          <w:kern w:val="0"/>
          <w:sz w:val="24"/>
          <w:szCs w:val="24"/>
          <w:bdr w:val="nil"/>
        </w:rPr>
        <w:t xml:space="preserve">  </w:t>
      </w:r>
      <w:r w:rsidR="00337AFD" w:rsidRPr="00337AFD">
        <w:rPr>
          <w:rFonts w:ascii="Times New Roman" w:eastAsia="Helvetica" w:hAnsi="Times New Roman" w:cs="Arial Unicode MS"/>
          <w:color w:val="000000"/>
          <w:kern w:val="0"/>
          <w:sz w:val="24"/>
          <w:szCs w:val="24"/>
          <w:bdr w:val="nil"/>
        </w:rPr>
        <w:t>Human reactions to reward division are often studied by means of</w:t>
      </w:r>
      <w:r>
        <w:rPr>
          <w:rFonts w:asciiTheme="minorEastAsia" w:hAnsiTheme="minorEastAsia" w:cs="Arial Unicode MS" w:hint="eastAsia"/>
          <w:color w:val="000000"/>
          <w:kern w:val="0"/>
          <w:sz w:val="24"/>
          <w:szCs w:val="24"/>
          <w:bdr w:val="nil"/>
        </w:rPr>
        <w:t xml:space="preserve"> </w:t>
      </w:r>
      <w:r>
        <w:rPr>
          <w:rFonts w:asciiTheme="minorEastAsia" w:hAnsiTheme="minorEastAsia" w:cs="Arial Unicode MS"/>
          <w:color w:val="000000"/>
          <w:kern w:val="0"/>
          <w:sz w:val="24"/>
          <w:szCs w:val="24"/>
          <w:bdr w:val="nil"/>
        </w:rPr>
        <w:t>…</w:t>
      </w:r>
      <w:r w:rsidR="00337AFD" w:rsidRPr="00337AFD">
        <w:rPr>
          <w:rFonts w:ascii="Times New Roman" w:eastAsia="Helvetica" w:hAnsi="Times New Roman" w:cs="Arial Unicode MS"/>
          <w:color w:val="000000"/>
          <w:kern w:val="0"/>
          <w:sz w:val="24"/>
          <w:szCs w:val="24"/>
          <w:bdr w:val="nil"/>
        </w:rPr>
        <w:t xml:space="preserve"> </w:t>
      </w:r>
    </w:p>
    <w:p w14:paraId="13D7610A" w14:textId="77777777" w:rsidR="00406F25" w:rsidRDefault="00406F25" w:rsidP="00CC3C77">
      <w:pPr>
        <w:rPr>
          <w:rFonts w:ascii="proxima-nova" w:eastAsia="宋体" w:hAnsi="proxima-nova" w:cs="宋体" w:hint="eastAsia"/>
          <w:color w:val="000000"/>
          <w:kern w:val="0"/>
          <w:sz w:val="24"/>
          <w:szCs w:val="24"/>
        </w:rPr>
      </w:pPr>
    </w:p>
    <w:p w14:paraId="48B26F5C" w14:textId="77777777" w:rsidR="00CC3C77" w:rsidRDefault="00CC3C77" w:rsidP="00CC3C77">
      <w:pPr>
        <w:rPr>
          <w:rFonts w:ascii="proxima-nova" w:eastAsia="宋体" w:hAnsi="proxima-nova" w:cs="宋体" w:hint="eastAsia"/>
          <w:color w:val="000000"/>
          <w:kern w:val="0"/>
          <w:sz w:val="24"/>
          <w:szCs w:val="24"/>
        </w:rPr>
      </w:pPr>
      <w:r>
        <w:rPr>
          <w:rFonts w:ascii="proxima-nova" w:eastAsia="宋体" w:hAnsi="proxima-nova" w:cs="宋体" w:hint="eastAsia"/>
          <w:color w:val="000000"/>
          <w:kern w:val="0"/>
          <w:sz w:val="24"/>
          <w:szCs w:val="24"/>
        </w:rPr>
        <w:t>References:</w:t>
      </w:r>
      <w:r>
        <w:rPr>
          <w:rFonts w:ascii="proxima-nova" w:eastAsia="宋体" w:hAnsi="proxima-nova" w:cs="宋体"/>
          <w:color w:val="000000"/>
          <w:kern w:val="0"/>
          <w:sz w:val="24"/>
          <w:szCs w:val="24"/>
        </w:rPr>
        <w:t xml:space="preserve"> </w:t>
      </w:r>
    </w:p>
    <w:p w14:paraId="0066F524" w14:textId="77777777" w:rsidR="00CC3C77" w:rsidRDefault="00CC3C77" w:rsidP="00CC3C77">
      <w:pPr>
        <w:pStyle w:val="a3"/>
        <w:ind w:left="360" w:firstLineChars="0" w:firstLine="0"/>
        <w:rPr>
          <w:rFonts w:ascii="proxima-nova" w:eastAsia="宋体" w:hAnsi="proxima-nova" w:cs="宋体" w:hint="eastAsia"/>
          <w:color w:val="000000"/>
          <w:kern w:val="0"/>
          <w:sz w:val="24"/>
          <w:szCs w:val="24"/>
          <w:lang w:val="en-GB"/>
        </w:rPr>
      </w:pPr>
      <w:r w:rsidRPr="00CC3C77">
        <w:rPr>
          <w:rFonts w:ascii="proxima-nova" w:eastAsia="宋体" w:hAnsi="proxima-nova" w:cs="宋体"/>
          <w:color w:val="000000"/>
          <w:kern w:val="0"/>
          <w:sz w:val="24"/>
          <w:szCs w:val="24"/>
          <w:lang w:val="en-GB"/>
        </w:rPr>
        <w:t>Berndt, T. J. (2002). Friendship quality and social development. </w:t>
      </w:r>
      <w:r w:rsidRPr="00CC3C77">
        <w:rPr>
          <w:rFonts w:ascii="proxima-nova" w:eastAsia="宋体" w:hAnsi="proxima-nova" w:cs="宋体"/>
          <w:i/>
          <w:color w:val="000000"/>
          <w:kern w:val="0"/>
          <w:sz w:val="24"/>
          <w:szCs w:val="24"/>
          <w:lang w:val="en-GB"/>
        </w:rPr>
        <w:t>Current Directions in Psychological Science</w:t>
      </w:r>
      <w:r w:rsidRPr="00CC3C77">
        <w:rPr>
          <w:rFonts w:ascii="proxima-nova" w:eastAsia="宋体" w:hAnsi="proxima-nova" w:cs="宋体"/>
          <w:color w:val="000000"/>
          <w:kern w:val="0"/>
          <w:sz w:val="24"/>
          <w:szCs w:val="24"/>
          <w:lang w:val="en-GB"/>
        </w:rPr>
        <w:t xml:space="preserve">, </w:t>
      </w:r>
      <w:r w:rsidRPr="00CC3C77">
        <w:rPr>
          <w:rFonts w:ascii="proxima-nova" w:eastAsia="宋体" w:hAnsi="proxima-nova" w:cs="宋体"/>
          <w:i/>
          <w:color w:val="000000"/>
          <w:kern w:val="0"/>
          <w:sz w:val="24"/>
          <w:szCs w:val="24"/>
          <w:lang w:val="en-GB"/>
        </w:rPr>
        <w:t>11</w:t>
      </w:r>
      <w:r w:rsidRPr="00CC3C77">
        <w:rPr>
          <w:rFonts w:ascii="proxima-nova" w:eastAsia="宋体" w:hAnsi="proxima-nova" w:cs="宋体"/>
          <w:color w:val="000000"/>
          <w:kern w:val="0"/>
          <w:sz w:val="24"/>
          <w:szCs w:val="24"/>
          <w:lang w:val="en-GB"/>
        </w:rPr>
        <w:t>, 7–10.</w:t>
      </w:r>
    </w:p>
    <w:p w14:paraId="08D71BF5" w14:textId="77777777" w:rsidR="00CC3C77" w:rsidRDefault="00CC3C77" w:rsidP="00CC3C77">
      <w:pPr>
        <w:pStyle w:val="a3"/>
        <w:ind w:left="360" w:firstLineChars="0" w:firstLine="0"/>
        <w:rPr>
          <w:rFonts w:ascii="proxima-nova" w:eastAsia="宋体" w:hAnsi="proxima-nova" w:cs="宋体" w:hint="eastAsia"/>
          <w:color w:val="000000"/>
          <w:kern w:val="0"/>
          <w:sz w:val="24"/>
          <w:szCs w:val="24"/>
          <w:lang w:val="en-GB"/>
        </w:rPr>
      </w:pPr>
    </w:p>
    <w:p w14:paraId="3F582A1F" w14:textId="77777777" w:rsidR="00CC3C77" w:rsidRDefault="00CC3C77" w:rsidP="00CC3C77">
      <w:pPr>
        <w:pStyle w:val="a3"/>
        <w:ind w:left="360" w:firstLineChars="0" w:firstLine="0"/>
        <w:rPr>
          <w:rFonts w:ascii="proxima-nova" w:eastAsia="宋体" w:hAnsi="proxima-nova" w:cs="宋体" w:hint="eastAsia"/>
          <w:color w:val="000000"/>
          <w:kern w:val="0"/>
          <w:sz w:val="24"/>
          <w:szCs w:val="24"/>
          <w:lang w:val="en-GB"/>
        </w:rPr>
      </w:pPr>
      <w:r w:rsidRPr="00CC3C77">
        <w:rPr>
          <w:rFonts w:ascii="proxima-nova" w:eastAsia="宋体" w:hAnsi="proxima-nova" w:cs="宋体"/>
          <w:color w:val="000000"/>
          <w:kern w:val="0"/>
          <w:sz w:val="24"/>
          <w:szCs w:val="24"/>
          <w:lang w:val="en-GB"/>
        </w:rPr>
        <w:t>Wegener, D. T., &amp; Petty, R. E. (1994). Mood management across affective states: The hedonic contingency hypothesis. </w:t>
      </w:r>
      <w:r w:rsidRPr="00CC3C77">
        <w:rPr>
          <w:rFonts w:ascii="proxima-nova" w:eastAsia="宋体" w:hAnsi="proxima-nova" w:cs="宋体"/>
          <w:i/>
          <w:color w:val="000000"/>
          <w:kern w:val="0"/>
          <w:sz w:val="24"/>
          <w:szCs w:val="24"/>
          <w:lang w:val="en-GB"/>
        </w:rPr>
        <w:t>Journal of Personality and Social Psychology</w:t>
      </w:r>
      <w:r w:rsidRPr="00CC3C77">
        <w:rPr>
          <w:rFonts w:ascii="proxima-nova" w:eastAsia="宋体" w:hAnsi="proxima-nova" w:cs="宋体"/>
          <w:color w:val="000000"/>
          <w:kern w:val="0"/>
          <w:sz w:val="24"/>
          <w:szCs w:val="24"/>
          <w:lang w:val="en-GB"/>
        </w:rPr>
        <w:t xml:space="preserve">, </w:t>
      </w:r>
      <w:r w:rsidRPr="00CC3C77">
        <w:rPr>
          <w:rFonts w:ascii="proxima-nova" w:eastAsia="宋体" w:hAnsi="proxima-nova" w:cs="宋体"/>
          <w:i/>
          <w:color w:val="000000"/>
          <w:kern w:val="0"/>
          <w:sz w:val="24"/>
          <w:szCs w:val="24"/>
          <w:lang w:val="en-GB"/>
        </w:rPr>
        <w:t>66</w:t>
      </w:r>
      <w:r w:rsidRPr="00CC3C77">
        <w:rPr>
          <w:rFonts w:ascii="proxima-nova" w:eastAsia="宋体" w:hAnsi="proxima-nova" w:cs="宋体"/>
          <w:color w:val="000000"/>
          <w:kern w:val="0"/>
          <w:sz w:val="24"/>
          <w:szCs w:val="24"/>
          <w:lang w:val="en-GB"/>
        </w:rPr>
        <w:t>, 1034–1048.</w:t>
      </w:r>
    </w:p>
    <w:p w14:paraId="3454BE3F" w14:textId="77777777" w:rsidR="00F7635C" w:rsidRDefault="00F7635C" w:rsidP="00F7635C">
      <w:pPr>
        <w:rPr>
          <w:rFonts w:ascii="proxima-nova" w:eastAsia="宋体" w:hAnsi="proxima-nova" w:cs="宋体" w:hint="eastAsia"/>
          <w:color w:val="000000"/>
          <w:kern w:val="0"/>
          <w:sz w:val="24"/>
          <w:szCs w:val="24"/>
          <w:lang w:val="en-GB"/>
        </w:rPr>
      </w:pPr>
    </w:p>
    <w:p w14:paraId="32133D05" w14:textId="77777777" w:rsidR="005D6F2A" w:rsidRDefault="005D6F2A" w:rsidP="00F7635C">
      <w:pPr>
        <w:rPr>
          <w:rFonts w:ascii="proxima-nova" w:eastAsia="宋体" w:hAnsi="proxima-nova" w:cs="宋体" w:hint="eastAsia"/>
          <w:color w:val="000000"/>
          <w:kern w:val="0"/>
          <w:sz w:val="24"/>
          <w:szCs w:val="24"/>
          <w:lang w:val="en-GB"/>
        </w:rPr>
      </w:pPr>
    </w:p>
    <w:p w14:paraId="2718C342" w14:textId="77777777" w:rsidR="005D6F2A" w:rsidRPr="00F7635C" w:rsidRDefault="005D6F2A" w:rsidP="00F7635C">
      <w:pPr>
        <w:rPr>
          <w:rFonts w:ascii="proxima-nova" w:eastAsia="宋体" w:hAnsi="proxima-nova" w:cs="宋体" w:hint="eastAsia"/>
          <w:color w:val="000000"/>
          <w:kern w:val="0"/>
          <w:sz w:val="24"/>
          <w:szCs w:val="24"/>
          <w:lang w:val="en-GB"/>
        </w:rPr>
      </w:pPr>
    </w:p>
    <w:p w14:paraId="7C0777AA" w14:textId="77777777" w:rsidR="00A65D86" w:rsidRPr="00A65D86" w:rsidRDefault="00A65D86" w:rsidP="00027CEC">
      <w:pPr>
        <w:widowControl/>
        <w:spacing w:before="120" w:after="288" w:line="312" w:lineRule="atLeast"/>
        <w:rPr>
          <w:rFonts w:ascii="proxima-nova" w:eastAsia="宋体" w:hAnsi="proxima-nova" w:cs="宋体" w:hint="eastAsia"/>
          <w:b/>
          <w:kern w:val="0"/>
          <w:sz w:val="24"/>
          <w:szCs w:val="24"/>
        </w:rPr>
      </w:pPr>
      <w:r w:rsidRPr="00A65D86">
        <w:rPr>
          <w:rFonts w:ascii="proxima-nova" w:eastAsia="宋体" w:hAnsi="proxima-nova" w:cs="宋体" w:hint="eastAsia"/>
          <w:b/>
          <w:kern w:val="0"/>
          <w:sz w:val="24"/>
          <w:szCs w:val="24"/>
        </w:rPr>
        <w:t>The Appendix</w:t>
      </w:r>
    </w:p>
    <w:p w14:paraId="4586B9E8" w14:textId="77777777" w:rsidR="00A65D86" w:rsidRPr="00A65D86" w:rsidRDefault="00A65D86" w:rsidP="00A65D86">
      <w:pPr>
        <w:jc w:val="center"/>
        <w:outlineLvl w:val="0"/>
        <w:rPr>
          <w:rFonts w:ascii="Times New Roman" w:eastAsia="宋体" w:hAnsi="Times New Roman" w:cs="Times New Roman"/>
          <w:b/>
          <w:smallCaps/>
          <w:sz w:val="28"/>
          <w:lang w:val="en-GB"/>
        </w:rPr>
      </w:pPr>
      <w:r w:rsidRPr="00A65D86">
        <w:rPr>
          <w:rFonts w:ascii="Times New Roman" w:eastAsia="宋体" w:hAnsi="Times New Roman" w:cs="Times New Roman"/>
          <w:b/>
          <w:smallCaps/>
          <w:sz w:val="28"/>
          <w:lang w:val="en-GB"/>
        </w:rPr>
        <w:t>Reference Citation for A+ Programme: A Quick Guide</w:t>
      </w:r>
    </w:p>
    <w:p w14:paraId="5C96CA94" w14:textId="77777777" w:rsidR="00A65D86" w:rsidRPr="00A65D86" w:rsidRDefault="00A65D86" w:rsidP="00A65D86">
      <w:pPr>
        <w:rPr>
          <w:rFonts w:ascii="Times New Roman" w:eastAsia="宋体" w:hAnsi="Times New Roman" w:cs="Times New Roman"/>
          <w:sz w:val="20"/>
          <w:lang w:val="en-GB"/>
        </w:rPr>
      </w:pPr>
      <w:r w:rsidRPr="00A65D86">
        <w:rPr>
          <w:rFonts w:ascii="Times New Roman" w:eastAsia="宋体" w:hAnsi="Times New Roman" w:cs="Times New Roman"/>
          <w:sz w:val="20"/>
          <w:lang w:val="en-GB"/>
        </w:rPr>
        <w:t>The term paper of A+ programme is largely based on the American Psychological Association (APA) citation style. This style is commonly adopted in academic writing, when you refer to, summarise, paraphrase or quote from another work. The APA style includes in-text citation and the reference list. For each in-text citation, a corresponding reference entry must be listed at the end of the work. The</w:t>
      </w:r>
      <w:r w:rsidRPr="00A65D86">
        <w:rPr>
          <w:rFonts w:ascii="Times New Roman" w:eastAsia="宋体" w:hAnsi="Times New Roman" w:cs="Times New Roman"/>
          <w:sz w:val="20"/>
          <w:lang w:val="en-GB"/>
        </w:rPr>
        <w:t> </w:t>
      </w:r>
      <w:r w:rsidRPr="00A65D86">
        <w:rPr>
          <w:rFonts w:ascii="Times New Roman" w:eastAsia="宋体" w:hAnsi="Times New Roman" w:cs="Times New Roman"/>
          <w:sz w:val="20"/>
          <w:lang w:val="en-GB"/>
        </w:rPr>
        <w:t xml:space="preserve">guide is designed to be a quick and easy reference, filled with examples and tips that you may find helpful on your written reports. </w:t>
      </w:r>
    </w:p>
    <w:p w14:paraId="1FE66CAE" w14:textId="77777777" w:rsidR="00A65D86" w:rsidRPr="00A65D86" w:rsidRDefault="00A65D86" w:rsidP="00A65D86">
      <w:pPr>
        <w:rPr>
          <w:rFonts w:ascii="Times New Roman" w:eastAsia="宋体" w:hAnsi="Times New Roman" w:cs="Times New Roman"/>
          <w:lang w:val="en-GB"/>
        </w:rPr>
      </w:pPr>
    </w:p>
    <w:p w14:paraId="65E40BAD" w14:textId="77777777" w:rsidR="00A65D86" w:rsidRPr="00A65D86" w:rsidRDefault="00A65D86" w:rsidP="00A65D86">
      <w:pPr>
        <w:outlineLvl w:val="0"/>
        <w:rPr>
          <w:rFonts w:ascii="Times New Roman" w:eastAsia="宋体" w:hAnsi="Times New Roman" w:cs="Times New Roman"/>
          <w:b/>
          <w:smallCaps/>
          <w:sz w:val="24"/>
          <w:lang w:val="en-GB"/>
        </w:rPr>
      </w:pPr>
      <w:r w:rsidRPr="00A65D86">
        <w:rPr>
          <w:rFonts w:ascii="Times New Roman" w:eastAsia="宋体" w:hAnsi="Times New Roman" w:cs="Times New Roman"/>
          <w:b/>
          <w:smallCaps/>
          <w:sz w:val="24"/>
          <w:lang w:val="en-GB"/>
        </w:rPr>
        <w:t>In-text citation</w:t>
      </w:r>
    </w:p>
    <w:p w14:paraId="78A0DC16" w14:textId="77777777" w:rsidR="00A65D86" w:rsidRPr="00A65D86" w:rsidRDefault="00A65D86" w:rsidP="00A65D86">
      <w:pPr>
        <w:spacing w:after="120"/>
        <w:outlineLvl w:val="0"/>
        <w:rPr>
          <w:rFonts w:ascii="Times New Roman" w:eastAsia="宋体" w:hAnsi="Times New Roman" w:cs="Times New Roman"/>
          <w:b/>
          <w:bCs/>
          <w:sz w:val="20"/>
          <w:szCs w:val="24"/>
          <w:lang w:val="en-GB"/>
        </w:rPr>
      </w:pPr>
      <w:r w:rsidRPr="00A65D86">
        <w:rPr>
          <w:rFonts w:ascii="Times New Roman" w:eastAsia="宋体" w:hAnsi="Times New Roman" w:cs="Times New Roman"/>
          <w:b/>
          <w:bCs/>
          <w:sz w:val="20"/>
          <w:szCs w:val="24"/>
          <w:lang w:val="en-GB"/>
        </w:rPr>
        <w:t>Basic format: (Last name, year of publication)</w:t>
      </w:r>
    </w:p>
    <w:p w14:paraId="4E283BF1"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Work by one author</w:t>
      </w:r>
    </w:p>
    <w:p w14:paraId="78906171"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The work by experimental physicists is not well recognised (</w:t>
      </w:r>
      <w:proofErr w:type="spellStart"/>
      <w:r w:rsidRPr="00A65D86">
        <w:rPr>
          <w:rFonts w:ascii="Times New Roman" w:eastAsia="宋体" w:hAnsi="Times New Roman" w:cs="Arial"/>
          <w:color w:val="000000"/>
          <w:kern w:val="0"/>
          <w:sz w:val="20"/>
          <w:szCs w:val="24"/>
          <w:lang w:val="en-GB"/>
        </w:rPr>
        <w:t>Jogalekar</w:t>
      </w:r>
      <w:proofErr w:type="spellEnd"/>
      <w:r w:rsidRPr="00A65D86">
        <w:rPr>
          <w:rFonts w:ascii="Times New Roman" w:eastAsia="宋体" w:hAnsi="Times New Roman" w:cs="Arial"/>
          <w:color w:val="000000"/>
          <w:kern w:val="0"/>
          <w:sz w:val="20"/>
          <w:szCs w:val="24"/>
          <w:lang w:val="en-GB"/>
        </w:rPr>
        <w:t xml:space="preserve">, 2013). </w:t>
      </w:r>
    </w:p>
    <w:p w14:paraId="55F72489"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Work by multiple authors</w:t>
      </w:r>
    </w:p>
    <w:p w14:paraId="0541789C" w14:textId="77777777" w:rsidR="00A65D86" w:rsidRPr="00A65D86" w:rsidRDefault="00A65D86" w:rsidP="00A65D86">
      <w:pPr>
        <w:outlineLvl w:val="0"/>
        <w:rPr>
          <w:rFonts w:ascii="Times New Roman" w:eastAsia="宋体" w:hAnsi="Times New Roman" w:cs="Times New Roman"/>
          <w:sz w:val="22"/>
          <w:lang w:val="en-GB"/>
        </w:rPr>
      </w:pPr>
      <w:r w:rsidRPr="00A65D86">
        <w:rPr>
          <w:rFonts w:ascii="Times New Roman" w:eastAsia="宋体" w:hAnsi="Times New Roman" w:cs="Times New Roman"/>
          <w:sz w:val="22"/>
          <w:lang w:val="en-GB"/>
        </w:rPr>
        <w:t>- Two authors:</w:t>
      </w:r>
    </w:p>
    <w:p w14:paraId="3BBCAE2C" w14:textId="77777777" w:rsidR="00A65D86" w:rsidRPr="00A65D86" w:rsidRDefault="00A65D86" w:rsidP="00A65D86">
      <w:pPr>
        <w:spacing w:before="120" w:after="120"/>
        <w:ind w:left="567" w:right="567"/>
        <w:outlineLvl w:val="0"/>
        <w:rPr>
          <w:rFonts w:ascii="Times New Roman" w:eastAsia="宋体" w:hAnsi="Times New Roman" w:cs="Times New Roman"/>
          <w:sz w:val="18"/>
          <w:lang w:val="en-GB"/>
        </w:rPr>
      </w:pPr>
      <w:r w:rsidRPr="00A65D86">
        <w:rPr>
          <w:rFonts w:ascii="Times New Roman" w:eastAsia="宋体" w:hAnsi="Times New Roman" w:cs="Arial"/>
          <w:color w:val="000000"/>
          <w:kern w:val="0"/>
          <w:sz w:val="20"/>
          <w:szCs w:val="24"/>
          <w:lang w:val="en-GB"/>
        </w:rPr>
        <w:t>Depending on the subject, different referencing styles can be used (Smith &amp; Varonis, 2014).</w:t>
      </w:r>
    </w:p>
    <w:p w14:paraId="50729BFC"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 xml:space="preserve">According to Smith </w:t>
      </w:r>
      <w:r w:rsidR="004760E7">
        <w:rPr>
          <w:rFonts w:ascii="Times New Roman" w:eastAsia="宋体" w:hAnsi="Times New Roman" w:cs="Arial"/>
          <w:color w:val="000000"/>
          <w:kern w:val="0"/>
          <w:sz w:val="20"/>
          <w:szCs w:val="24"/>
          <w:lang w:val="en-GB"/>
        </w:rPr>
        <w:t>and</w:t>
      </w:r>
      <w:r w:rsidRPr="00A65D86">
        <w:rPr>
          <w:rFonts w:ascii="Times New Roman" w:eastAsia="宋体" w:hAnsi="Times New Roman" w:cs="Arial"/>
          <w:color w:val="000000"/>
          <w:kern w:val="0"/>
          <w:sz w:val="20"/>
          <w:szCs w:val="24"/>
          <w:lang w:val="en-GB"/>
        </w:rPr>
        <w:t xml:space="preserve"> Varonis (2014), different referencing styles can be used, depending on the subject. </w:t>
      </w:r>
    </w:p>
    <w:p w14:paraId="57D6EFC2" w14:textId="77777777" w:rsidR="00A65D86" w:rsidRPr="00A65D86" w:rsidRDefault="00A65D86" w:rsidP="004760E7">
      <w:pPr>
        <w:outlineLvl w:val="0"/>
        <w:rPr>
          <w:rFonts w:ascii="Times New Roman" w:eastAsia="宋体" w:hAnsi="Times New Roman" w:cs="Times New Roman"/>
          <w:lang w:val="en-GB"/>
        </w:rPr>
      </w:pPr>
      <w:r w:rsidRPr="00A65D86">
        <w:rPr>
          <w:rFonts w:ascii="Times New Roman" w:eastAsia="宋体" w:hAnsi="Times New Roman" w:cs="Times New Roman"/>
          <w:lang w:val="en-GB"/>
        </w:rPr>
        <w:t xml:space="preserve">- Three </w:t>
      </w:r>
      <w:r w:rsidR="004760E7">
        <w:rPr>
          <w:rFonts w:ascii="Times New Roman" w:eastAsia="宋体" w:hAnsi="Times New Roman" w:cs="Times New Roman"/>
          <w:lang w:val="en-GB"/>
        </w:rPr>
        <w:t>or more</w:t>
      </w:r>
      <w:r w:rsidRPr="00A65D86">
        <w:rPr>
          <w:rFonts w:ascii="Times New Roman" w:eastAsia="宋体" w:hAnsi="Times New Roman" w:cs="Times New Roman"/>
          <w:lang w:val="en-GB"/>
        </w:rPr>
        <w:t xml:space="preserve"> authors: </w:t>
      </w:r>
    </w:p>
    <w:p w14:paraId="6BB8BDD1"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 xml:space="preserve">Chemical diffusions can be used to clock the process of volcano eruption (Plank et al., </w:t>
      </w:r>
      <w:r w:rsidRPr="00A65D86">
        <w:rPr>
          <w:rFonts w:ascii="Times New Roman" w:eastAsia="宋体" w:hAnsi="Times New Roman" w:cs="Arial"/>
          <w:color w:val="000000"/>
          <w:kern w:val="0"/>
          <w:sz w:val="20"/>
          <w:szCs w:val="24"/>
          <w:lang w:val="en-GB"/>
        </w:rPr>
        <w:lastRenderedPageBreak/>
        <w:t>2010).</w:t>
      </w:r>
    </w:p>
    <w:p w14:paraId="2956DAB0" w14:textId="77777777" w:rsidR="00A65D86" w:rsidRPr="00A65D86" w:rsidRDefault="00A65D86" w:rsidP="00A60427">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 xml:space="preserve">Plank et al. (2010) argues that chemical diffusions can be used to clock the process of volcano eruption. </w:t>
      </w:r>
    </w:p>
    <w:p w14:paraId="04104AD0"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p>
    <w:p w14:paraId="0012BBDF" w14:textId="77777777" w:rsidR="00A65D86" w:rsidRPr="00A65D86" w:rsidRDefault="00A65D86" w:rsidP="00A65D86">
      <w:pPr>
        <w:outlineLvl w:val="0"/>
        <w:rPr>
          <w:rFonts w:ascii="Times New Roman" w:eastAsia="宋体" w:hAnsi="Times New Roman" w:cs="Times New Roman"/>
          <w:b/>
          <w:smallCaps/>
          <w:sz w:val="24"/>
          <w:lang w:val="en-GB"/>
        </w:rPr>
      </w:pPr>
      <w:r w:rsidRPr="00A65D86">
        <w:rPr>
          <w:rFonts w:ascii="Times New Roman" w:eastAsia="宋体" w:hAnsi="Times New Roman" w:cs="Times New Roman"/>
          <w:b/>
          <w:smallCaps/>
          <w:sz w:val="24"/>
          <w:lang w:val="en-GB"/>
        </w:rPr>
        <w:t>Reference entry</w:t>
      </w:r>
    </w:p>
    <w:p w14:paraId="69BE173A" w14:textId="77777777" w:rsidR="00A65D86" w:rsidRPr="00A65D86" w:rsidRDefault="00A65D86" w:rsidP="00A65D86">
      <w:pPr>
        <w:spacing w:after="120"/>
        <w:outlineLvl w:val="0"/>
        <w:rPr>
          <w:rFonts w:ascii="Times New Roman" w:eastAsia="宋体" w:hAnsi="Times New Roman" w:cs="Times New Roman"/>
          <w:b/>
          <w:bCs/>
          <w:sz w:val="20"/>
          <w:szCs w:val="24"/>
          <w:lang w:val="en-GB"/>
        </w:rPr>
      </w:pPr>
      <w:r w:rsidRPr="00A65D86">
        <w:rPr>
          <w:rFonts w:ascii="Times New Roman" w:eastAsia="宋体" w:hAnsi="Times New Roman" w:cs="Times New Roman"/>
          <w:b/>
          <w:bCs/>
          <w:sz w:val="20"/>
          <w:szCs w:val="24"/>
          <w:lang w:val="en-GB"/>
        </w:rPr>
        <w:t xml:space="preserve">Basic format: Last name first, followed by author initials. </w:t>
      </w:r>
    </w:p>
    <w:p w14:paraId="3C8DF546" w14:textId="77777777" w:rsidR="00A65D86" w:rsidRPr="00A65D86" w:rsidRDefault="00A65D86" w:rsidP="00A65D86">
      <w:pPr>
        <w:spacing w:after="120"/>
        <w:rPr>
          <w:rFonts w:ascii="Times New Roman" w:eastAsia="宋体" w:hAnsi="Times New Roman" w:cs="Times New Roman"/>
          <w:sz w:val="20"/>
          <w:lang w:val="en-GB"/>
        </w:rPr>
      </w:pPr>
      <w:r w:rsidRPr="00A65D86">
        <w:rPr>
          <w:rFonts w:ascii="Times New Roman" w:eastAsia="宋体" w:hAnsi="Times New Roman" w:cs="Times New Roman"/>
          <w:sz w:val="20"/>
          <w:lang w:val="en-GB"/>
        </w:rPr>
        <w:t xml:space="preserve">Reference entries generally, depending on the reference types, include the author’s name, year of publication, title (of the article, chapter, book, etc.), volume/issue number, page number, location and publisher. </w:t>
      </w:r>
    </w:p>
    <w:p w14:paraId="2D074071"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Single author</w:t>
      </w:r>
    </w:p>
    <w:p w14:paraId="0A4009DE"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Berndt, T. J. (2002). Friendship quality and social development. </w:t>
      </w:r>
      <w:r w:rsidRPr="00A65D86">
        <w:rPr>
          <w:rFonts w:ascii="Times New Roman" w:eastAsia="宋体" w:hAnsi="Times New Roman" w:cs="Arial"/>
          <w:i/>
          <w:color w:val="000000"/>
          <w:kern w:val="0"/>
          <w:sz w:val="20"/>
          <w:szCs w:val="24"/>
          <w:lang w:val="en-GB"/>
        </w:rPr>
        <w:t>Current Directions in Psychological Science</w:t>
      </w:r>
      <w:r w:rsidRPr="00A65D86">
        <w:rPr>
          <w:rFonts w:ascii="Times New Roman" w:eastAsia="宋体" w:hAnsi="Times New Roman" w:cs="Arial"/>
          <w:color w:val="000000"/>
          <w:kern w:val="0"/>
          <w:sz w:val="20"/>
          <w:szCs w:val="24"/>
          <w:lang w:val="en-GB"/>
        </w:rPr>
        <w:t xml:space="preserve">, </w:t>
      </w:r>
      <w:r w:rsidRPr="00A65D86">
        <w:rPr>
          <w:rFonts w:ascii="Times New Roman" w:eastAsia="宋体" w:hAnsi="Times New Roman" w:cs="Arial"/>
          <w:i/>
          <w:color w:val="000000"/>
          <w:kern w:val="0"/>
          <w:sz w:val="20"/>
          <w:szCs w:val="24"/>
          <w:lang w:val="en-GB"/>
        </w:rPr>
        <w:t>11</w:t>
      </w:r>
      <w:r w:rsidRPr="00A65D86">
        <w:rPr>
          <w:rFonts w:ascii="Times New Roman" w:eastAsia="宋体" w:hAnsi="Times New Roman" w:cs="Arial"/>
          <w:color w:val="000000"/>
          <w:kern w:val="0"/>
          <w:sz w:val="20"/>
          <w:szCs w:val="24"/>
          <w:lang w:val="en-GB"/>
        </w:rPr>
        <w:t xml:space="preserve">, 7–10. </w:t>
      </w:r>
    </w:p>
    <w:p w14:paraId="55C742D1"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Two to seven authors</w:t>
      </w:r>
    </w:p>
    <w:p w14:paraId="585B3C78"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Wegener, D. T., &amp; Petty, R. E. (1994). Mood management across affective states: The hedonic contingency hypothesis. </w:t>
      </w:r>
      <w:r w:rsidRPr="00A65D86">
        <w:rPr>
          <w:rFonts w:ascii="Times New Roman" w:eastAsia="宋体" w:hAnsi="Times New Roman" w:cs="Arial"/>
          <w:i/>
          <w:color w:val="000000"/>
          <w:kern w:val="0"/>
          <w:sz w:val="20"/>
          <w:szCs w:val="24"/>
          <w:lang w:val="en-GB"/>
        </w:rPr>
        <w:t>Journal of Personality and Social Psychology</w:t>
      </w:r>
      <w:r w:rsidRPr="00A65D86">
        <w:rPr>
          <w:rFonts w:ascii="Times New Roman" w:eastAsia="宋体" w:hAnsi="Times New Roman" w:cs="Arial"/>
          <w:color w:val="000000"/>
          <w:kern w:val="0"/>
          <w:sz w:val="20"/>
          <w:szCs w:val="24"/>
          <w:lang w:val="en-GB"/>
        </w:rPr>
        <w:t xml:space="preserve">, </w:t>
      </w:r>
      <w:r w:rsidRPr="00A65D86">
        <w:rPr>
          <w:rFonts w:ascii="Times New Roman" w:eastAsia="宋体" w:hAnsi="Times New Roman" w:cs="Arial"/>
          <w:i/>
          <w:color w:val="000000"/>
          <w:kern w:val="0"/>
          <w:sz w:val="20"/>
          <w:szCs w:val="24"/>
          <w:lang w:val="en-GB"/>
        </w:rPr>
        <w:t>66</w:t>
      </w:r>
      <w:r w:rsidRPr="00A65D86">
        <w:rPr>
          <w:rFonts w:ascii="Times New Roman" w:eastAsia="宋体" w:hAnsi="Times New Roman" w:cs="Arial"/>
          <w:color w:val="000000"/>
          <w:kern w:val="0"/>
          <w:sz w:val="20"/>
          <w:szCs w:val="24"/>
          <w:lang w:val="en-GB"/>
        </w:rPr>
        <w:t>, 1034–1048.</w:t>
      </w:r>
    </w:p>
    <w:p w14:paraId="3F2B9AB1"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Journal article</w:t>
      </w:r>
    </w:p>
    <w:p w14:paraId="06DA3CA4"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 xml:space="preserve">Wenneker, C.P., </w:t>
      </w:r>
      <w:proofErr w:type="spellStart"/>
      <w:r w:rsidRPr="00A65D86">
        <w:rPr>
          <w:rFonts w:ascii="Times New Roman" w:eastAsia="宋体" w:hAnsi="Times New Roman" w:cs="Arial"/>
          <w:color w:val="000000"/>
          <w:kern w:val="0"/>
          <w:sz w:val="20"/>
          <w:szCs w:val="24"/>
          <w:lang w:val="en-GB"/>
        </w:rPr>
        <w:t>Wigbolus</w:t>
      </w:r>
      <w:proofErr w:type="spellEnd"/>
      <w:r w:rsidRPr="00A65D86">
        <w:rPr>
          <w:rFonts w:ascii="Times New Roman" w:eastAsia="宋体" w:hAnsi="Times New Roman" w:cs="Arial"/>
          <w:color w:val="000000"/>
          <w:kern w:val="0"/>
          <w:sz w:val="20"/>
          <w:szCs w:val="24"/>
          <w:lang w:val="en-GB"/>
        </w:rPr>
        <w:t>, D.H., &amp; Spears, R. (2005). Biased language use in stereotype maintenance: The role of encoding and goals. </w:t>
      </w:r>
      <w:r w:rsidRPr="00A65D86">
        <w:rPr>
          <w:rFonts w:ascii="Times New Roman" w:eastAsia="宋体" w:hAnsi="Times New Roman" w:cs="Arial"/>
          <w:i/>
          <w:color w:val="000000"/>
          <w:kern w:val="0"/>
          <w:sz w:val="20"/>
          <w:szCs w:val="24"/>
          <w:lang w:val="en-GB"/>
        </w:rPr>
        <w:t>Journal of Personality and Social Psychology</w:t>
      </w:r>
      <w:r w:rsidRPr="00A65D86">
        <w:rPr>
          <w:rFonts w:ascii="Times New Roman" w:eastAsia="宋体" w:hAnsi="Times New Roman" w:cs="Arial"/>
          <w:color w:val="000000"/>
          <w:kern w:val="0"/>
          <w:sz w:val="20"/>
          <w:szCs w:val="24"/>
          <w:lang w:val="en-GB"/>
        </w:rPr>
        <w:t xml:space="preserve">, </w:t>
      </w:r>
      <w:r w:rsidRPr="00A65D86">
        <w:rPr>
          <w:rFonts w:ascii="Times New Roman" w:eastAsia="宋体" w:hAnsi="Times New Roman" w:cs="Arial"/>
          <w:i/>
          <w:color w:val="000000"/>
          <w:kern w:val="0"/>
          <w:sz w:val="20"/>
          <w:szCs w:val="24"/>
          <w:lang w:val="en-GB"/>
        </w:rPr>
        <w:t>89</w:t>
      </w:r>
      <w:r w:rsidRPr="00A65D86">
        <w:rPr>
          <w:rFonts w:ascii="Times New Roman" w:eastAsia="宋体" w:hAnsi="Times New Roman" w:cs="Arial"/>
          <w:color w:val="000000"/>
          <w:kern w:val="0"/>
          <w:sz w:val="20"/>
          <w:szCs w:val="24"/>
          <w:lang w:val="en-GB"/>
        </w:rPr>
        <w:t xml:space="preserve">(4), 504–516. </w:t>
      </w:r>
    </w:p>
    <w:p w14:paraId="7D5505DD"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Book</w:t>
      </w:r>
    </w:p>
    <w:p w14:paraId="41CEE885"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Calfee, R. C., &amp; Valencia, R. R. (1991). </w:t>
      </w:r>
      <w:r w:rsidRPr="00A65D86">
        <w:rPr>
          <w:rFonts w:ascii="Times New Roman" w:eastAsia="宋体" w:hAnsi="Times New Roman" w:cs="Arial"/>
          <w:i/>
          <w:color w:val="000000"/>
          <w:kern w:val="0"/>
          <w:sz w:val="20"/>
          <w:szCs w:val="24"/>
          <w:lang w:val="en-GB"/>
        </w:rPr>
        <w:t>APA guide to preparing manuscripts for journal publication</w:t>
      </w:r>
      <w:r w:rsidRPr="00A65D86">
        <w:rPr>
          <w:rFonts w:ascii="Times New Roman" w:eastAsia="宋体" w:hAnsi="Times New Roman" w:cs="Arial"/>
          <w:color w:val="000000"/>
          <w:kern w:val="0"/>
          <w:sz w:val="20"/>
          <w:szCs w:val="24"/>
          <w:lang w:val="en-GB"/>
        </w:rPr>
        <w:t>. Washington, DC: American Psychological Association.</w:t>
      </w:r>
    </w:p>
    <w:p w14:paraId="39BB0C43"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Edited Book</w:t>
      </w:r>
    </w:p>
    <w:p w14:paraId="57D226ED"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Duncan, G. J., &amp; Brooks-Gunn, J. (Eds.). (1997). </w:t>
      </w:r>
      <w:r w:rsidRPr="00A65D86">
        <w:rPr>
          <w:rFonts w:ascii="Times New Roman" w:eastAsia="宋体" w:hAnsi="Times New Roman" w:cs="Arial"/>
          <w:i/>
          <w:color w:val="000000"/>
          <w:kern w:val="0"/>
          <w:sz w:val="20"/>
          <w:szCs w:val="24"/>
          <w:lang w:val="en-GB"/>
        </w:rPr>
        <w:t>Consequences of growing up poor</w:t>
      </w:r>
      <w:r w:rsidRPr="00A65D86">
        <w:rPr>
          <w:rFonts w:ascii="Times New Roman" w:eastAsia="宋体" w:hAnsi="Times New Roman" w:cs="Arial"/>
          <w:color w:val="000000"/>
          <w:kern w:val="0"/>
          <w:sz w:val="20"/>
          <w:szCs w:val="24"/>
          <w:lang w:val="en-GB"/>
        </w:rPr>
        <w:t>. New York, NY: Russell Sage Foundation.</w:t>
      </w:r>
    </w:p>
    <w:p w14:paraId="342C41F7"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Articles/chapters in edited book</w:t>
      </w:r>
    </w:p>
    <w:p w14:paraId="20EB81D7" w14:textId="77777777" w:rsidR="00A65D86" w:rsidRPr="00A65D86" w:rsidRDefault="00A65D86" w:rsidP="00A65D86">
      <w:pPr>
        <w:spacing w:before="120" w:after="120"/>
        <w:ind w:left="567" w:right="567"/>
        <w:outlineLvl w:val="0"/>
        <w:rPr>
          <w:rFonts w:ascii="Times New Roman" w:eastAsia="宋体" w:hAnsi="Times New Roman" w:cs="Arial"/>
          <w:color w:val="000000"/>
          <w:kern w:val="0"/>
          <w:sz w:val="20"/>
          <w:szCs w:val="24"/>
          <w:lang w:val="en-GB"/>
        </w:rPr>
      </w:pPr>
      <w:r w:rsidRPr="00A65D86">
        <w:rPr>
          <w:rFonts w:ascii="Times New Roman" w:eastAsia="宋体" w:hAnsi="Times New Roman" w:cs="Arial"/>
          <w:color w:val="000000"/>
          <w:kern w:val="0"/>
          <w:sz w:val="20"/>
          <w:szCs w:val="24"/>
          <w:lang w:val="en-GB"/>
        </w:rPr>
        <w:t xml:space="preserve">O’Neil, J. M., &amp; Egan, J. (1992). Men’s and women’s gender role journeys: A metaphor for healing, transition, and transformation. In B. R. </w:t>
      </w:r>
      <w:proofErr w:type="spellStart"/>
      <w:r w:rsidRPr="00A65D86">
        <w:rPr>
          <w:rFonts w:ascii="Times New Roman" w:eastAsia="宋体" w:hAnsi="Times New Roman" w:cs="Arial"/>
          <w:color w:val="000000"/>
          <w:kern w:val="0"/>
          <w:sz w:val="20"/>
          <w:szCs w:val="24"/>
          <w:lang w:val="en-GB"/>
        </w:rPr>
        <w:t>Wainrib</w:t>
      </w:r>
      <w:proofErr w:type="spellEnd"/>
      <w:r w:rsidRPr="00A65D86">
        <w:rPr>
          <w:rFonts w:ascii="Times New Roman" w:eastAsia="宋体" w:hAnsi="Times New Roman" w:cs="Arial"/>
          <w:color w:val="000000"/>
          <w:kern w:val="0"/>
          <w:sz w:val="20"/>
          <w:szCs w:val="24"/>
          <w:lang w:val="en-GB"/>
        </w:rPr>
        <w:t xml:space="preserve"> (Ed.), </w:t>
      </w:r>
      <w:r w:rsidRPr="00A65D86">
        <w:rPr>
          <w:rFonts w:ascii="Times New Roman" w:eastAsia="宋体" w:hAnsi="Times New Roman" w:cs="Arial"/>
          <w:i/>
          <w:color w:val="000000"/>
          <w:kern w:val="0"/>
          <w:sz w:val="20"/>
          <w:szCs w:val="24"/>
          <w:lang w:val="en-GB"/>
        </w:rPr>
        <w:t>Gender issues across the life cycle</w:t>
      </w:r>
      <w:r w:rsidRPr="00A65D86">
        <w:rPr>
          <w:rFonts w:ascii="Times New Roman" w:eastAsia="宋体" w:hAnsi="Times New Roman" w:cs="Arial"/>
          <w:color w:val="000000"/>
          <w:kern w:val="0"/>
          <w:sz w:val="20"/>
          <w:szCs w:val="24"/>
          <w:lang w:val="en-GB"/>
        </w:rPr>
        <w:t> (pp. 107–123). New York, NY: Springer.</w:t>
      </w:r>
    </w:p>
    <w:p w14:paraId="05E0D82C" w14:textId="77777777" w:rsidR="00A65D86" w:rsidRPr="00A65D86" w:rsidRDefault="00A65D86" w:rsidP="00A65D86">
      <w:pPr>
        <w:spacing w:after="120"/>
        <w:outlineLvl w:val="0"/>
        <w:rPr>
          <w:rFonts w:ascii="Times New Roman" w:eastAsia="宋体" w:hAnsi="Times New Roman" w:cs="Times New Roman"/>
          <w:sz w:val="16"/>
          <w:lang w:val="en-GB"/>
        </w:rPr>
      </w:pPr>
      <w:r w:rsidRPr="00A65D86">
        <w:rPr>
          <w:rFonts w:ascii="Times New Roman" w:eastAsia="宋体" w:hAnsi="Times New Roman" w:cs="Times New Roman"/>
          <w:sz w:val="16"/>
          <w:lang w:val="en-GB"/>
        </w:rPr>
        <w:t>[NB The name of the author or editor of the book is written with the initials first before the last name. Section pages are enclosed in a parenthesis with the abbreviation pp.]</w:t>
      </w:r>
    </w:p>
    <w:p w14:paraId="1DD1B2E7" w14:textId="77777777" w:rsidR="00A65D86" w:rsidRPr="00A65D86" w:rsidRDefault="00A65D86" w:rsidP="00A65D86">
      <w:pPr>
        <w:outlineLvl w:val="0"/>
        <w:rPr>
          <w:rFonts w:ascii="Times New Roman" w:eastAsia="宋体" w:hAnsi="Times New Roman" w:cs="Times New Roman"/>
          <w:sz w:val="22"/>
          <w:u w:val="single"/>
          <w:lang w:val="en-GB"/>
        </w:rPr>
      </w:pPr>
      <w:r w:rsidRPr="00A65D86">
        <w:rPr>
          <w:rFonts w:ascii="Times New Roman" w:eastAsia="宋体" w:hAnsi="Times New Roman" w:cs="Times New Roman"/>
          <w:sz w:val="22"/>
          <w:u w:val="single"/>
          <w:lang w:val="en-GB"/>
        </w:rPr>
        <w:t>The order in referencing list</w:t>
      </w:r>
    </w:p>
    <w:p w14:paraId="10C91420" w14:textId="77777777" w:rsidR="00A65D86" w:rsidRPr="00A65D86" w:rsidRDefault="00A65D86" w:rsidP="00A65D86">
      <w:pPr>
        <w:widowControl/>
        <w:rPr>
          <w:rFonts w:ascii="Times New Roman" w:eastAsia="宋体" w:hAnsi="Times New Roman" w:cs="Times New Roman"/>
          <w:kern w:val="0"/>
          <w:sz w:val="22"/>
          <w:szCs w:val="20"/>
          <w:lang w:val="en-GB"/>
        </w:rPr>
      </w:pPr>
      <w:r w:rsidRPr="00A65D86">
        <w:rPr>
          <w:rFonts w:ascii="Times New Roman" w:eastAsia="宋体" w:hAnsi="Times New Roman" w:cs="Times New Roman"/>
          <w:color w:val="333333"/>
          <w:kern w:val="0"/>
          <w:sz w:val="20"/>
          <w:szCs w:val="18"/>
          <w:shd w:val="clear" w:color="auto" w:fill="FFFFFF"/>
          <w:lang w:val="en-GB"/>
        </w:rPr>
        <w:t xml:space="preserve">Reference entries are arranged alphabetically by the last name of the first author. If there is more than one reference published in the same year by the same author, assign letter suffixes to the year (e.g. Smith (2018a), Smith (2018b)) and organise the entries according to the alphabetic order of the letter suffixes. </w:t>
      </w:r>
    </w:p>
    <w:p w14:paraId="0D15B8B0" w14:textId="77777777" w:rsidR="00A65D86" w:rsidRPr="00A65D86" w:rsidRDefault="00A65D86" w:rsidP="00A65D86">
      <w:pPr>
        <w:widowControl/>
        <w:jc w:val="left"/>
        <w:rPr>
          <w:rFonts w:ascii="Times New Roman" w:eastAsia="宋体" w:hAnsi="Times New Roman" w:cs="Times New Roman"/>
          <w:kern w:val="0"/>
          <w:sz w:val="22"/>
          <w:szCs w:val="20"/>
          <w:lang w:val="en-GB"/>
        </w:rPr>
      </w:pPr>
    </w:p>
    <w:p w14:paraId="155B0019" w14:textId="77777777" w:rsidR="00A65D86" w:rsidRDefault="00A65D86" w:rsidP="00A65D86">
      <w:pPr>
        <w:outlineLvl w:val="0"/>
        <w:rPr>
          <w:rFonts w:ascii="Times New Roman" w:eastAsia="宋体" w:hAnsi="Times New Roman" w:cs="Times New Roman"/>
          <w:b/>
          <w:color w:val="FF0000"/>
          <w:kern w:val="0"/>
          <w:sz w:val="20"/>
          <w:szCs w:val="20"/>
          <w:shd w:val="clear" w:color="auto" w:fill="FFFFFF"/>
          <w:lang w:val="en-GB"/>
        </w:rPr>
      </w:pPr>
      <w:r w:rsidRPr="00A65D86">
        <w:rPr>
          <w:rFonts w:ascii="Times New Roman" w:eastAsia="宋体" w:hAnsi="Times New Roman" w:cs="Times New Roman"/>
          <w:b/>
          <w:color w:val="FF0000"/>
          <w:kern w:val="0"/>
          <w:sz w:val="20"/>
          <w:szCs w:val="20"/>
          <w:shd w:val="clear" w:color="auto" w:fill="FFFFFF"/>
          <w:lang w:val="en-GB"/>
        </w:rPr>
        <w:lastRenderedPageBreak/>
        <w:t xml:space="preserve">For the referencing styles not yet covered in this quick guide, please visit the following two websites for detail: </w:t>
      </w:r>
    </w:p>
    <w:p w14:paraId="5F1F6F7C" w14:textId="77777777" w:rsidR="00A65D86" w:rsidRPr="00A65D86" w:rsidRDefault="00A65D86" w:rsidP="00A65D86">
      <w:pPr>
        <w:outlineLvl w:val="0"/>
        <w:rPr>
          <w:rFonts w:ascii="Times New Roman" w:eastAsia="宋体" w:hAnsi="Times New Roman" w:cs="Times New Roman"/>
          <w:b/>
          <w:color w:val="FF0000"/>
          <w:sz w:val="20"/>
          <w:szCs w:val="20"/>
          <w:lang w:val="en-GB"/>
        </w:rPr>
      </w:pPr>
      <w:r w:rsidRPr="00A65D86">
        <w:rPr>
          <w:rFonts w:ascii="Times New Roman" w:eastAsia="宋体" w:hAnsi="Times New Roman" w:cs="Times New Roman"/>
          <w:b/>
          <w:color w:val="FF0000"/>
          <w:sz w:val="20"/>
          <w:szCs w:val="20"/>
          <w:lang w:val="en-GB"/>
        </w:rPr>
        <w:t xml:space="preserve">https://apaformat.org/apa-book-citation/ (the APA format) and </w:t>
      </w:r>
    </w:p>
    <w:p w14:paraId="5404CEEC" w14:textId="77777777" w:rsidR="00A65D86" w:rsidRDefault="00A65D86" w:rsidP="00B557B4">
      <w:pPr>
        <w:outlineLvl w:val="0"/>
        <w:rPr>
          <w:rFonts w:ascii="Times New Roman" w:eastAsia="宋体" w:hAnsi="Times New Roman" w:cs="Times New Roman"/>
          <w:b/>
          <w:color w:val="FF0000"/>
          <w:sz w:val="20"/>
          <w:szCs w:val="20"/>
          <w:lang w:val="en-GB"/>
        </w:rPr>
      </w:pPr>
      <w:r w:rsidRPr="00A65D86">
        <w:rPr>
          <w:rFonts w:ascii="Times New Roman" w:eastAsia="宋体" w:hAnsi="Times New Roman" w:cs="Times New Roman"/>
          <w:b/>
          <w:color w:val="FF0000"/>
          <w:sz w:val="20"/>
          <w:szCs w:val="20"/>
          <w:lang w:val="en-GB"/>
        </w:rPr>
        <w:t xml:space="preserve">https://owl.purdue.edu/owl/research_and_citation/apa_style/apa_formatting_and_style_guide/reference_list_author_authors.html (the Purdue Online Writing Lab on APA style). </w:t>
      </w:r>
    </w:p>
    <w:p w14:paraId="57831CA2" w14:textId="77777777" w:rsidR="002741D8" w:rsidRDefault="002741D8" w:rsidP="00B557B4">
      <w:pPr>
        <w:outlineLvl w:val="0"/>
        <w:rPr>
          <w:rFonts w:ascii="Times New Roman" w:eastAsia="宋体" w:hAnsi="Times New Roman" w:cs="Times New Roman"/>
          <w:sz w:val="16"/>
          <w:szCs w:val="20"/>
          <w:lang w:val="en-GB"/>
        </w:rPr>
      </w:pPr>
    </w:p>
    <w:p w14:paraId="5BEE5814" w14:textId="77777777" w:rsidR="002741D8" w:rsidRDefault="002741D8" w:rsidP="00B557B4">
      <w:pPr>
        <w:outlineLvl w:val="0"/>
        <w:rPr>
          <w:rFonts w:ascii="Times New Roman" w:eastAsia="宋体" w:hAnsi="Times New Roman" w:cs="Times New Roman"/>
          <w:sz w:val="16"/>
          <w:szCs w:val="20"/>
          <w:lang w:val="en-GB"/>
        </w:rPr>
      </w:pPr>
    </w:p>
    <w:p w14:paraId="61B5E050" w14:textId="77777777" w:rsidR="002741D8" w:rsidRPr="009D2700" w:rsidRDefault="009D2700" w:rsidP="00B557B4">
      <w:pPr>
        <w:outlineLvl w:val="0"/>
        <w:rPr>
          <w:rFonts w:ascii="Times New Roman" w:eastAsia="宋体" w:hAnsi="Times New Roman" w:cs="Times New Roman"/>
          <w:szCs w:val="20"/>
          <w:lang w:val="en-GB"/>
        </w:rPr>
      </w:pPr>
      <w:r w:rsidRPr="009D2700">
        <w:rPr>
          <w:rFonts w:ascii="Times New Roman" w:eastAsia="宋体" w:hAnsi="Times New Roman" w:cs="Times New Roman" w:hint="eastAsia"/>
          <w:szCs w:val="20"/>
          <w:lang w:val="en-GB"/>
        </w:rPr>
        <w:t>第二次书面报告</w:t>
      </w:r>
      <w:r w:rsidR="002741D8" w:rsidRPr="009D2700">
        <w:rPr>
          <w:rFonts w:ascii="Times New Roman" w:eastAsia="宋体" w:hAnsi="Times New Roman" w:cs="Times New Roman" w:hint="eastAsia"/>
          <w:szCs w:val="20"/>
          <w:lang w:val="en-GB"/>
        </w:rPr>
        <w:t>评分标准</w:t>
      </w:r>
    </w:p>
    <w:p w14:paraId="196B503B" w14:textId="77777777" w:rsidR="002741D8" w:rsidRPr="009D2700" w:rsidRDefault="002741D8" w:rsidP="002741D8">
      <w:pPr>
        <w:ind w:leftChars="200" w:left="420"/>
        <w:outlineLvl w:val="0"/>
        <w:rPr>
          <w:rFonts w:ascii="Times New Roman" w:eastAsia="宋体" w:hAnsi="Times New Roman" w:cs="Times New Roman"/>
          <w:szCs w:val="20"/>
          <w:lang w:val="en-GB"/>
        </w:rPr>
      </w:pPr>
      <w:r w:rsidRPr="009D2700">
        <w:rPr>
          <w:rFonts w:ascii="Times New Roman" w:eastAsia="宋体" w:hAnsi="Times New Roman" w:cs="Times New Roman" w:hint="eastAsia"/>
          <w:szCs w:val="20"/>
          <w:lang w:val="en-GB"/>
        </w:rPr>
        <w:t>所挑选文献与研究主题的相关性</w:t>
      </w:r>
    </w:p>
    <w:p w14:paraId="44F1A1E1" w14:textId="77777777" w:rsidR="002741D8" w:rsidRPr="009D2700" w:rsidRDefault="002741D8" w:rsidP="002741D8">
      <w:pPr>
        <w:ind w:leftChars="200" w:left="420"/>
        <w:outlineLvl w:val="0"/>
        <w:rPr>
          <w:rFonts w:ascii="Times New Roman" w:eastAsia="宋体" w:hAnsi="Times New Roman" w:cs="Times New Roman"/>
          <w:szCs w:val="20"/>
          <w:lang w:val="en-GB"/>
        </w:rPr>
      </w:pPr>
      <w:r w:rsidRPr="009D2700">
        <w:rPr>
          <w:rFonts w:ascii="Times New Roman" w:eastAsia="宋体" w:hAnsi="Times New Roman" w:cs="Times New Roman" w:hint="eastAsia"/>
          <w:szCs w:val="20"/>
          <w:lang w:val="en-GB"/>
        </w:rPr>
        <w:t>语言的准确性</w:t>
      </w:r>
    </w:p>
    <w:p w14:paraId="04DC024B" w14:textId="77777777" w:rsidR="002741D8" w:rsidRPr="009D2700" w:rsidRDefault="002741D8" w:rsidP="002741D8">
      <w:pPr>
        <w:ind w:leftChars="200" w:left="420"/>
        <w:outlineLvl w:val="0"/>
        <w:rPr>
          <w:rFonts w:ascii="Times New Roman" w:eastAsia="宋体" w:hAnsi="Times New Roman" w:cs="Times New Roman"/>
          <w:szCs w:val="20"/>
          <w:lang w:val="en-GB"/>
        </w:rPr>
      </w:pPr>
      <w:r w:rsidRPr="009D2700">
        <w:rPr>
          <w:rFonts w:ascii="Times New Roman" w:eastAsia="宋体" w:hAnsi="Times New Roman" w:cs="Times New Roman" w:hint="eastAsia"/>
          <w:szCs w:val="20"/>
          <w:lang w:val="en-GB"/>
        </w:rPr>
        <w:t>文献排列的逻辑性</w:t>
      </w:r>
    </w:p>
    <w:p w14:paraId="0750AAA7" w14:textId="77777777" w:rsidR="002741D8" w:rsidRPr="009D2700" w:rsidRDefault="002741D8" w:rsidP="002741D8">
      <w:pPr>
        <w:ind w:leftChars="200" w:left="420"/>
        <w:outlineLvl w:val="0"/>
        <w:rPr>
          <w:rFonts w:ascii="Times New Roman" w:eastAsia="宋体" w:hAnsi="Times New Roman" w:cs="Times New Roman"/>
          <w:szCs w:val="20"/>
          <w:lang w:val="en-GB"/>
        </w:rPr>
      </w:pPr>
      <w:r w:rsidRPr="009D2700">
        <w:rPr>
          <w:rFonts w:ascii="Times New Roman" w:eastAsia="宋体" w:hAnsi="Times New Roman" w:cs="Times New Roman" w:hint="eastAsia"/>
          <w:szCs w:val="20"/>
          <w:lang w:val="en-GB"/>
        </w:rPr>
        <w:t>整体衔接</w:t>
      </w:r>
    </w:p>
    <w:sectPr w:rsidR="002741D8" w:rsidRPr="009D2700">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3A215" w14:textId="77777777" w:rsidR="00820B41" w:rsidRDefault="00820B41" w:rsidP="00095798">
      <w:r>
        <w:separator/>
      </w:r>
    </w:p>
  </w:endnote>
  <w:endnote w:type="continuationSeparator" w:id="0">
    <w:p w14:paraId="4032A253" w14:textId="77777777" w:rsidR="00820B41" w:rsidRDefault="00820B41" w:rsidP="00095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Arial Unicode MS">
    <w:altName w:val="HP Simplified Hans"/>
    <w:panose1 w:val="020B0604020202020204"/>
    <w:charset w:val="86"/>
    <w:family w:val="swiss"/>
    <w:pitch w:val="variable"/>
    <w:sig w:usb0="F7FFAFFF" w:usb1="E9DFFFFF" w:usb2="0000003F" w:usb3="00000000" w:csb0="003F01FF" w:csb1="00000000"/>
  </w:font>
  <w:font w:name="proxima-nov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2104137620"/>
      <w:docPartObj>
        <w:docPartGallery w:val="Page Numbers (Bottom of Page)"/>
        <w:docPartUnique/>
      </w:docPartObj>
    </w:sdtPr>
    <w:sdtEndPr>
      <w:rPr>
        <w:rStyle w:val="ac"/>
      </w:rPr>
    </w:sdtEndPr>
    <w:sdtContent>
      <w:p w14:paraId="13B6BC89" w14:textId="77777777" w:rsidR="00F57FB4" w:rsidRDefault="00F57FB4" w:rsidP="00357463">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46B92B5" w14:textId="77777777" w:rsidR="00F57FB4" w:rsidRDefault="00F57FB4" w:rsidP="00F57FB4">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c"/>
      </w:rPr>
      <w:id w:val="1959521841"/>
      <w:docPartObj>
        <w:docPartGallery w:val="Page Numbers (Bottom of Page)"/>
        <w:docPartUnique/>
      </w:docPartObj>
    </w:sdtPr>
    <w:sdtEndPr>
      <w:rPr>
        <w:rStyle w:val="ac"/>
      </w:rPr>
    </w:sdtEndPr>
    <w:sdtContent>
      <w:p w14:paraId="1C31899D" w14:textId="77777777" w:rsidR="00F57FB4" w:rsidRDefault="00F57FB4" w:rsidP="00357463">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1</w:t>
        </w:r>
        <w:r>
          <w:rPr>
            <w:rStyle w:val="ac"/>
          </w:rPr>
          <w:fldChar w:fldCharType="end"/>
        </w:r>
      </w:p>
    </w:sdtContent>
  </w:sdt>
  <w:p w14:paraId="337906DB" w14:textId="77777777" w:rsidR="00F57FB4" w:rsidRDefault="00F57FB4" w:rsidP="00F57FB4">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D353" w14:textId="77777777" w:rsidR="00820B41" w:rsidRDefault="00820B41" w:rsidP="00095798">
      <w:r>
        <w:separator/>
      </w:r>
    </w:p>
  </w:footnote>
  <w:footnote w:type="continuationSeparator" w:id="0">
    <w:p w14:paraId="35B405B8" w14:textId="77777777" w:rsidR="00820B41" w:rsidRDefault="00820B41" w:rsidP="00095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EBC"/>
    <w:multiLevelType w:val="hybridMultilevel"/>
    <w:tmpl w:val="BAA027BE"/>
    <w:lvl w:ilvl="0" w:tplc="1D161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E17963"/>
    <w:multiLevelType w:val="hybridMultilevel"/>
    <w:tmpl w:val="7F08D9E0"/>
    <w:lvl w:ilvl="0" w:tplc="C34E1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14"/>
    <w:rsid w:val="00027CEC"/>
    <w:rsid w:val="000474BB"/>
    <w:rsid w:val="00095798"/>
    <w:rsid w:val="000D3B4E"/>
    <w:rsid w:val="001C219B"/>
    <w:rsid w:val="00245270"/>
    <w:rsid w:val="002741D8"/>
    <w:rsid w:val="0029400E"/>
    <w:rsid w:val="002A188D"/>
    <w:rsid w:val="002E68D2"/>
    <w:rsid w:val="003032B1"/>
    <w:rsid w:val="00337AFD"/>
    <w:rsid w:val="003B5966"/>
    <w:rsid w:val="003D5A9C"/>
    <w:rsid w:val="00406F25"/>
    <w:rsid w:val="00436523"/>
    <w:rsid w:val="00473245"/>
    <w:rsid w:val="004760E7"/>
    <w:rsid w:val="00495E1F"/>
    <w:rsid w:val="004F6F8F"/>
    <w:rsid w:val="00546C98"/>
    <w:rsid w:val="005D6F2A"/>
    <w:rsid w:val="00652393"/>
    <w:rsid w:val="006C6060"/>
    <w:rsid w:val="006D3C3E"/>
    <w:rsid w:val="00770EB1"/>
    <w:rsid w:val="007F6180"/>
    <w:rsid w:val="0080091C"/>
    <w:rsid w:val="00820B41"/>
    <w:rsid w:val="00834BAB"/>
    <w:rsid w:val="00872D14"/>
    <w:rsid w:val="008A4050"/>
    <w:rsid w:val="008D3836"/>
    <w:rsid w:val="0096701E"/>
    <w:rsid w:val="009D2700"/>
    <w:rsid w:val="00A55B4F"/>
    <w:rsid w:val="00A60427"/>
    <w:rsid w:val="00A65D86"/>
    <w:rsid w:val="00B0155E"/>
    <w:rsid w:val="00B13453"/>
    <w:rsid w:val="00B557B4"/>
    <w:rsid w:val="00B9075D"/>
    <w:rsid w:val="00BE29F5"/>
    <w:rsid w:val="00C37815"/>
    <w:rsid w:val="00CC3C77"/>
    <w:rsid w:val="00E316E9"/>
    <w:rsid w:val="00E70DB0"/>
    <w:rsid w:val="00F57FB4"/>
    <w:rsid w:val="00F7635C"/>
    <w:rsid w:val="00F86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D0FF5"/>
  <w15:chartTrackingRefBased/>
  <w15:docId w15:val="{F9F4E1DC-1114-4FE7-B774-EC0A1877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9075D"/>
    <w:pPr>
      <w:widowControl/>
      <w:spacing w:before="312" w:after="180" w:line="312" w:lineRule="atLeast"/>
      <w:jc w:val="left"/>
      <w:outlineLvl w:val="1"/>
    </w:pPr>
    <w:rPr>
      <w:rFonts w:ascii="宋体" w:eastAsia="宋体" w:hAnsi="宋体" w:cs="宋体"/>
      <w:b/>
      <w:bCs/>
      <w:color w:val="660044"/>
      <w:kern w:val="0"/>
      <w:sz w:val="38"/>
      <w:szCs w:val="3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D14"/>
    <w:pPr>
      <w:ind w:firstLineChars="200" w:firstLine="420"/>
    </w:pPr>
  </w:style>
  <w:style w:type="character" w:customStyle="1" w:styleId="20">
    <w:name w:val="标题 2 字符"/>
    <w:basedOn w:val="a0"/>
    <w:link w:val="2"/>
    <w:uiPriority w:val="9"/>
    <w:rsid w:val="00B9075D"/>
    <w:rPr>
      <w:rFonts w:ascii="宋体" w:eastAsia="宋体" w:hAnsi="宋体" w:cs="宋体"/>
      <w:b/>
      <w:bCs/>
      <w:color w:val="660044"/>
      <w:kern w:val="0"/>
      <w:sz w:val="38"/>
      <w:szCs w:val="38"/>
    </w:rPr>
  </w:style>
  <w:style w:type="character" w:styleId="a4">
    <w:name w:val="Hyperlink"/>
    <w:basedOn w:val="a0"/>
    <w:uiPriority w:val="99"/>
    <w:semiHidden/>
    <w:unhideWhenUsed/>
    <w:rsid w:val="00B9075D"/>
    <w:rPr>
      <w:strike w:val="0"/>
      <w:dstrike w:val="0"/>
      <w:color w:val="0066CC"/>
      <w:u w:val="none"/>
      <w:effect w:val="none"/>
      <w:shd w:val="clear" w:color="auto" w:fill="auto"/>
    </w:rPr>
  </w:style>
  <w:style w:type="paragraph" w:styleId="a5">
    <w:name w:val="Normal (Web)"/>
    <w:basedOn w:val="a"/>
    <w:uiPriority w:val="99"/>
    <w:semiHidden/>
    <w:unhideWhenUsed/>
    <w:rsid w:val="00B9075D"/>
    <w:pPr>
      <w:widowControl/>
      <w:spacing w:before="120" w:after="288"/>
      <w:jc w:val="left"/>
    </w:pPr>
    <w:rPr>
      <w:rFonts w:ascii="宋体" w:eastAsia="宋体" w:hAnsi="宋体" w:cs="宋体"/>
      <w:kern w:val="0"/>
      <w:sz w:val="24"/>
      <w:szCs w:val="24"/>
    </w:rPr>
  </w:style>
  <w:style w:type="character" w:styleId="a6">
    <w:name w:val="Emphasis"/>
    <w:basedOn w:val="a0"/>
    <w:uiPriority w:val="20"/>
    <w:qFormat/>
    <w:rsid w:val="00B9075D"/>
    <w:rPr>
      <w:i/>
      <w:iCs/>
    </w:rPr>
  </w:style>
  <w:style w:type="character" w:styleId="a7">
    <w:name w:val="Strong"/>
    <w:basedOn w:val="a0"/>
    <w:uiPriority w:val="22"/>
    <w:qFormat/>
    <w:rsid w:val="006C6060"/>
    <w:rPr>
      <w:b/>
      <w:bCs/>
    </w:rPr>
  </w:style>
  <w:style w:type="paragraph" w:styleId="a8">
    <w:name w:val="header"/>
    <w:basedOn w:val="a"/>
    <w:link w:val="a9"/>
    <w:uiPriority w:val="99"/>
    <w:unhideWhenUsed/>
    <w:rsid w:val="0009579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95798"/>
    <w:rPr>
      <w:sz w:val="18"/>
      <w:szCs w:val="18"/>
    </w:rPr>
  </w:style>
  <w:style w:type="paragraph" w:styleId="aa">
    <w:name w:val="footer"/>
    <w:basedOn w:val="a"/>
    <w:link w:val="ab"/>
    <w:uiPriority w:val="99"/>
    <w:unhideWhenUsed/>
    <w:rsid w:val="00095798"/>
    <w:pPr>
      <w:tabs>
        <w:tab w:val="center" w:pos="4153"/>
        <w:tab w:val="right" w:pos="8306"/>
      </w:tabs>
      <w:snapToGrid w:val="0"/>
      <w:jc w:val="left"/>
    </w:pPr>
    <w:rPr>
      <w:sz w:val="18"/>
      <w:szCs w:val="18"/>
    </w:rPr>
  </w:style>
  <w:style w:type="character" w:customStyle="1" w:styleId="ab">
    <w:name w:val="页脚 字符"/>
    <w:basedOn w:val="a0"/>
    <w:link w:val="aa"/>
    <w:uiPriority w:val="99"/>
    <w:rsid w:val="00095798"/>
    <w:rPr>
      <w:sz w:val="18"/>
      <w:szCs w:val="18"/>
    </w:rPr>
  </w:style>
  <w:style w:type="character" w:styleId="ac">
    <w:name w:val="page number"/>
    <w:basedOn w:val="a0"/>
    <w:uiPriority w:val="99"/>
    <w:semiHidden/>
    <w:unhideWhenUsed/>
    <w:rsid w:val="00F57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470857">
      <w:bodyDiv w:val="1"/>
      <w:marLeft w:val="0"/>
      <w:marRight w:val="0"/>
      <w:marTop w:val="0"/>
      <w:marBottom w:val="0"/>
      <w:divBdr>
        <w:top w:val="none" w:sz="0" w:space="0" w:color="auto"/>
        <w:left w:val="none" w:sz="0" w:space="0" w:color="auto"/>
        <w:bottom w:val="none" w:sz="0" w:space="0" w:color="auto"/>
        <w:right w:val="none" w:sz="0" w:space="0" w:color="auto"/>
      </w:divBdr>
      <w:divsChild>
        <w:div w:id="324476687">
          <w:marLeft w:val="0"/>
          <w:marRight w:val="0"/>
          <w:marTop w:val="0"/>
          <w:marBottom w:val="0"/>
          <w:divBdr>
            <w:top w:val="none" w:sz="0" w:space="0" w:color="auto"/>
            <w:left w:val="none" w:sz="0" w:space="0" w:color="auto"/>
            <w:bottom w:val="none" w:sz="0" w:space="0" w:color="auto"/>
            <w:right w:val="none" w:sz="0" w:space="0" w:color="auto"/>
          </w:divBdr>
        </w:div>
      </w:divsChild>
    </w:div>
    <w:div w:id="1303343150">
      <w:bodyDiv w:val="1"/>
      <w:marLeft w:val="0"/>
      <w:marRight w:val="0"/>
      <w:marTop w:val="0"/>
      <w:marBottom w:val="0"/>
      <w:divBdr>
        <w:top w:val="none" w:sz="0" w:space="0" w:color="auto"/>
        <w:left w:val="none" w:sz="0" w:space="0" w:color="auto"/>
        <w:bottom w:val="none" w:sz="0" w:space="0" w:color="auto"/>
        <w:right w:val="none" w:sz="0" w:space="0" w:color="auto"/>
      </w:divBdr>
      <w:divsChild>
        <w:div w:id="1240561384">
          <w:marLeft w:val="0"/>
          <w:marRight w:val="0"/>
          <w:marTop w:val="0"/>
          <w:marBottom w:val="0"/>
          <w:divBdr>
            <w:top w:val="none" w:sz="0" w:space="0" w:color="auto"/>
            <w:left w:val="none" w:sz="0" w:space="0" w:color="auto"/>
            <w:bottom w:val="none" w:sz="0" w:space="0" w:color="auto"/>
            <w:right w:val="none" w:sz="0" w:space="0" w:color="auto"/>
          </w:divBdr>
        </w:div>
      </w:divsChild>
    </w:div>
    <w:div w:id="1325089933">
      <w:bodyDiv w:val="1"/>
      <w:marLeft w:val="0"/>
      <w:marRight w:val="0"/>
      <w:marTop w:val="0"/>
      <w:marBottom w:val="0"/>
      <w:divBdr>
        <w:top w:val="none" w:sz="0" w:space="0" w:color="auto"/>
        <w:left w:val="none" w:sz="0" w:space="0" w:color="auto"/>
        <w:bottom w:val="none" w:sz="0" w:space="0" w:color="auto"/>
        <w:right w:val="none" w:sz="0" w:space="0" w:color="auto"/>
      </w:divBdr>
      <w:divsChild>
        <w:div w:id="516504495">
          <w:marLeft w:val="0"/>
          <w:marRight w:val="0"/>
          <w:marTop w:val="0"/>
          <w:marBottom w:val="0"/>
          <w:divBdr>
            <w:top w:val="none" w:sz="0" w:space="0" w:color="auto"/>
            <w:left w:val="none" w:sz="0" w:space="0" w:color="auto"/>
            <w:bottom w:val="none" w:sz="0" w:space="0" w:color="auto"/>
            <w:right w:val="none" w:sz="0" w:space="0" w:color="auto"/>
          </w:divBdr>
          <w:divsChild>
            <w:div w:id="11187923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460343856">
      <w:bodyDiv w:val="1"/>
      <w:marLeft w:val="0"/>
      <w:marRight w:val="0"/>
      <w:marTop w:val="0"/>
      <w:marBottom w:val="0"/>
      <w:divBdr>
        <w:top w:val="none" w:sz="0" w:space="0" w:color="auto"/>
        <w:left w:val="none" w:sz="0" w:space="0" w:color="auto"/>
        <w:bottom w:val="none" w:sz="0" w:space="0" w:color="auto"/>
        <w:right w:val="none" w:sz="0" w:space="0" w:color="auto"/>
      </w:divBdr>
      <w:divsChild>
        <w:div w:id="789275180">
          <w:marLeft w:val="0"/>
          <w:marRight w:val="0"/>
          <w:marTop w:val="0"/>
          <w:marBottom w:val="0"/>
          <w:divBdr>
            <w:top w:val="none" w:sz="0" w:space="0" w:color="auto"/>
            <w:left w:val="none" w:sz="0" w:space="0" w:color="auto"/>
            <w:bottom w:val="none" w:sz="0" w:space="0" w:color="auto"/>
            <w:right w:val="none" w:sz="0" w:space="0" w:color="auto"/>
          </w:divBdr>
        </w:div>
      </w:divsChild>
    </w:div>
    <w:div w:id="17622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3426</Characters>
  <Application>Microsoft Office Word</Application>
  <DocSecurity>0</DocSecurity>
  <Lines>28</Lines>
  <Paragraphs>8</Paragraphs>
  <ScaleCrop>false</ScaleCrop>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周 强</cp:lastModifiedBy>
  <cp:revision>2</cp:revision>
  <dcterms:created xsi:type="dcterms:W3CDTF">2021-11-28T07:40:00Z</dcterms:created>
  <dcterms:modified xsi:type="dcterms:W3CDTF">2021-11-28T07:40:00Z</dcterms:modified>
</cp:coreProperties>
</file>