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老年房颤患者两种直接口服抗凝药比较研究数据分析报告</w:t>
      </w:r>
    </w:p>
    <w:p>
      <w:pPr>
        <w:jc w:val="center"/>
      </w:pPr>
      <w:r>
        <w:t xml:space="preserve">HospitalAI 合成验证环境 · RPT-PROJECT-NVAF-DOAC-2026-01-v1</w:t>
      </w:r>
    </w:p>
    <w:p>
      <w:pPr>
        <w:jc w:val="center"/>
      </w:pPr>
      <w:r>
        <w:t xml:space="preserve">主要研究者：待真实项目指定　统计负责人：统计师审核岗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目的：在 65 岁及以上非瓣膜性房颤患者中，阿哌沙班与利伐沙班的血栓栓塞结局和大出血风险是否存在差异？</w:t>
      </w:r>
    </w:p>
    <w:p>
      <w:r>
        <w:t xml:space="preserve">方法：新使用者、回顾性队列研究；倾向评分稳定化 IPTW；时间结局采用 Kaplan-Meier 与 Cox 回归。，按预先固定统计计划执行基线平衡、倾向评分加权和时间结局分析。</w:t>
      </w:r>
    </w:p>
    <w:p>
      <w:r>
        <w:t xml:space="preserve">结果：共纳入 1960 条合成记录，形成暴露组比较、结局发生率和模型诊断演示结果。</w:t>
      </w:r>
    </w:p>
    <w:p>
      <w:r>
        <w:t xml:space="preserve">结论：本结果仅验证科研流程，不构成药物有效性或安全性证据。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在 65 岁及以上非瓣膜性房颤患者中，阿哌沙班与利伐沙班的血栓栓塞结局和大出血风险是否存在差异？</w:t>
      </w:r>
    </w:p>
    <w:p>
      <w:r>
        <w:t xml:space="preserve">研究设计：新使用者、回顾性队列研究；倾向评分稳定化 IPTW；时间结局采用 Kaplan-Meier 与 Cox 回归。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研究设计：新使用者、回顾性队列研究；倾向评分稳定化 IPTW；时间结局采用 Kaplan-Meier 与 Cox 回归。</w:t>
      </w:r>
    </w:p>
    <w:p>
      <w:r>
        <w:t xml:space="preserve">观察时间窗：索引日期起至结局、换药/停药、死亡或 720 天</w:t>
      </w:r>
    </w:p>
    <w:p>
      <w:r>
        <w:t xml:space="preserve">主要终点：缺血性卒中或系统性栓塞；大出血</w:t>
      </w:r>
    </w:p>
    <w:p>
      <w:r>
        <w:t xml:space="preserve">次要终点：全因死亡；再入院；换药或停药</w:t>
      </w:r>
    </w:p>
    <w:p>
      <w:r>
        <w:t xml:space="preserve">暴露定义：索引日首次处方阿哌沙班或利伐沙班，按预设洗脱期识别新使用者</w:t>
      </w:r>
    </w:p>
    <w:p>
      <w:r>
        <w:t xml:space="preserve">预设混杂因素：年龄、性别、肾功能、高血压、糖尿病、既往卒中、既往出血、心衰、抗血小板药</w:t>
      </w:r>
    </w:p>
    <w:p>
      <w:r>
        <w:t xml:space="preserve">统计方法：描述性统计 + SMD + 稳定化 IPTW + Kaplan-Meier/log-rank + Cox 比例风险模型 + 亚组及敏感性分析</w:t>
      </w:r>
    </w:p>
    <w:p>
      <w:r>
        <w:t xml:space="preserve">统计软件：Python 固定分析流水线（版本随成果包锁定）</w:t>
      </w:r>
    </w:p>
    <w:p>
      <w:r>
        <w:t xml:space="preserve">报告规范：STROBE + RECORD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65 岁</w:t>
      </w:r>
    </w:p>
    <w:p>
      <w:r>
        <w:t xml:space="preserve">2. 非瓣膜性房颤</w:t>
      </w:r>
    </w:p>
    <w:p>
      <w:r>
        <w:t xml:space="preserve">3. 阿哌沙班或利伐沙班新使用者</w:t>
      </w:r>
    </w:p>
    <w:p>
      <w:r>
        <w:t xml:space="preserve">4. 随访 &gt;= 30 天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瓣膜性房颤或机械瓣膜</w:t>
      </w:r>
    </w:p>
    <w:p>
      <w:r>
        <w:t xml:space="preserve">2. 索引日前抗凝药洗脱期不足</w:t>
      </w:r>
    </w:p>
    <w:p>
      <w:r>
        <w:t xml:space="preserve">3. 关键暴露字段缺失</w:t>
      </w:r>
    </w:p>
    <w:p>
      <w:r>
        <w:t xml:space="preserve">4. 随访不足 30 天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伦理状态：真实研究上线前待审批或豁免</w:t>
      </w:r>
    </w:p>
    <w:p>
      <w:r>
        <w:t xml:space="preserve">注册标识：DEMO-NVAF-DOAC-2026-01</w:t>
      </w:r>
    </w:p>
    <w:p>
      <w:r>
        <w:t xml:space="preserve">目标期刊：药物流行病学或临床药学专业期刊（待立项确认）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冻结数据集：DS-PROJECT-NVAF-DOAC-2026-01-v1</w:t>
      </w:r>
    </w:p>
    <w:p>
      <w:r>
        <w:t xml:space="preserve">输入哈希：fnv1a-5de3f0ed</w:t>
      </w:r>
    </w:p>
    <w:p>
      <w:r>
        <w:t xml:space="preserve">纳入记录：1960</w:t>
      </w:r>
    </w:p>
    <w:p>
      <w:r>
        <w:t xml:space="preserve">排除记录：40</w:t>
      </w:r>
    </w:p>
    <w:p>
      <w:r>
        <w:t xml:space="preserve">已处理质量问题：3/3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阿哌沙班：卒中/栓塞 36 例（3.67%），大出血 48 例（4.9%），死亡 49 例</w:t>
      </w:r>
    </w:p>
    <w:p>
      <w:r>
        <w:t xml:space="preserve">利伐沙班：卒中/栓塞 32 例（3.27%），大出血 78 例（7.96%），死亡 39 例</w:t>
      </w:r>
    </w:p>
    <w:p>
      <w:r>
        <w:t xml:space="preserve">随访缺失 23 例。所有数值来自合成数据，仅用于流程验证。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阿哌沙班</w:t>
            </w:r>
          </w:p>
        </w:tc>
        <w:tc>
          <w:p>
            <w:r>
              <w:rPr>
                <w:b w:val="false"/>
                <w:bCs w:val="false"/>
              </w:rPr>
              <w:t xml:space="preserve">980</w:t>
            </w:r>
          </w:p>
        </w:tc>
        <w:tc>
          <w:p>
            <w:r>
              <w:rPr>
                <w:b w:val="false"/>
                <w:bCs w:val="false"/>
              </w:rPr>
              <w:t xml:space="preserve">78.5</w:t>
            </w:r>
          </w:p>
        </w:tc>
        <w:tc>
          <w:p>
            <w:r>
              <w:rPr>
                <w:b w:val="false"/>
                <w:bCs w:val="false"/>
              </w:rPr>
              <w:t xml:space="preserve">457 (46.6%)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48 (4.9%)</w:t>
            </w:r>
          </w:p>
        </w:tc>
        <w:tc>
          <w:p>
            <w:r>
              <w:rPr>
                <w:b w:val="false"/>
                <w:bCs w:val="false"/>
              </w:rPr>
              <w:t xml:space="preserve">968 (98.8%)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利伐沙班</w:t>
            </w:r>
          </w:p>
        </w:tc>
        <w:tc>
          <w:p>
            <w:r>
              <w:rPr>
                <w:b w:val="false"/>
                <w:bCs w:val="false"/>
              </w:rPr>
              <w:t xml:space="preserve">980</w:t>
            </w:r>
          </w:p>
        </w:tc>
        <w:tc>
          <w:p>
            <w:r>
              <w:rPr>
                <w:b w:val="false"/>
                <w:bCs w:val="false"/>
              </w:rPr>
              <w:t xml:space="preserve">78.8</w:t>
            </w:r>
          </w:p>
        </w:tc>
        <w:tc>
          <w:p>
            <w:r>
              <w:rPr>
                <w:b w:val="false"/>
                <w:bCs w:val="false"/>
              </w:rPr>
              <w:t xml:space="preserve">465 (47.4%)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78 (8.0%)</w:t>
            </w:r>
          </w:p>
        </w:tc>
        <w:tc>
          <w:p>
            <w:r>
              <w:rPr>
                <w:b w:val="false"/>
                <w:bCs w:val="false"/>
              </w:rPr>
              <w:t xml:space="preserve">969 (98.9%)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阿哌沙班</w:t>
            </w:r>
          </w:p>
        </w:tc>
        <w:tc>
          <w:p>
            <w:r>
              <w:rPr>
                <w:b w:val="false"/>
                <w:bCs w:val="false"/>
              </w:rPr>
              <w:t xml:space="preserve">980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48 (4.9%)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利伐沙班</w:t>
            </w:r>
          </w:p>
        </w:tc>
        <w:tc>
          <w:p>
            <w:r>
              <w:rPr>
                <w:b w:val="false"/>
                <w:bCs w:val="false"/>
              </w:rPr>
              <w:t xml:space="preserve">980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78 (8.0%)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阿哌沙班</w:t>
            </w:r>
          </w:p>
        </w:tc>
        <w:tc>
          <w:p>
            <w:r>
              <w:rPr>
                <w:b w:val="false"/>
                <w:bCs w:val="false"/>
              </w:rPr>
              <w:t xml:space="preserve">457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22 (4.8%)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利伐沙班</w:t>
            </w:r>
          </w:p>
        </w:tc>
        <w:tc>
          <w:p>
            <w:r>
              <w:rPr>
                <w:b w:val="false"/>
                <w:bCs w:val="false"/>
              </w:rPr>
              <w:t xml:space="preserve">465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35 (7.5%)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阿哌沙班</w:t>
            </w:r>
          </w:p>
        </w:tc>
        <w:tc>
          <w:p>
            <w:r>
              <w:rPr>
                <w:b w:val="false"/>
                <w:bCs w:val="false"/>
              </w:rPr>
              <w:t xml:space="preserve">523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26 (5.0%)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利伐沙班</w:t>
            </w:r>
          </w:p>
        </w:tc>
        <w:tc>
          <w:p>
            <w:r>
              <w:rPr>
                <w:b w:val="false"/>
                <w:bCs w:val="false"/>
              </w:rPr>
              <w:t xml:space="preserve">515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43 (8.3%)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&gt;=65 / 阿哌沙班：n=980，改善 0 例，不良事件 48 例</w:t>
      </w:r>
    </w:p>
    <w:p>
      <w:r>
        <w:t xml:space="preserve">年龄 &gt;=65 / 利伐沙班：n=980，改善 0 例，不良事件 78 例</w:t>
      </w:r>
    </w:p>
    <w:p>
      <w:r>
        <w:t xml:space="preserve">性别 F / 阿哌沙班：n=457，改善 0 例，不良事件 22 例</w:t>
      </w:r>
    </w:p>
    <w:p>
      <w:r>
        <w:t xml:space="preserve">性别 F / 利伐沙班：n=465，改善 0 例，不良事件 35 例</w:t>
      </w:r>
    </w:p>
    <w:p>
      <w:r>
        <w:t xml:space="preserve">性别 M / 阿哌沙班：n=523，改善 0 例，不良事件 26 例</w:t>
      </w:r>
    </w:p>
    <w:p>
      <w:r>
        <w:t xml:space="preserve">性别 M / 利伐沙班：n=515，改善 0 例，不良事件 43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合成数据仅用于流程验证；回顾性观察研究存在残余混杂；结局定义依赖数据源编码质量；真实研究需完成伦理、统计和医学审核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适用于本研究协议定义的人群、暴露、结局和观察窗口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数据集：DS-PROJECT-NVAF-DOAC-2026-01-v1（fnv1a-5de3f0ed）</w:t>
      </w:r>
    </w:p>
    <w:p>
      <w:r>
        <w:t xml:space="preserve">统计运行：RUN-1786359091531（fnv1a-9353298d）</w:t>
      </w:r>
    </w:p>
    <w:p>
      <w:r>
        <w:t xml:space="preserve">软件：Python 固定分析流水线（版本随成果包锁定）</w:t>
      </w:r>
    </w:p>
    <w:p>
      <w:r>
        <w:t xml:space="preserve">报告规范：STROBE + RECORD</w:t>
      </w:r>
    </w:p>
    <w:p>
      <w:r>
        <w:t xml:space="preserve">统计输出哈希：fnv1a-9353298d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2026-08-10T10:51:32.532Z</dcterms:created>
  <dcterms:modified xsi:type="dcterms:W3CDTF">2026-08-10T10:51:32.532Z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