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节能调优的思路与方法简述</w:t>
      </w:r>
    </w:p>
    <w:p>
      <w:pPr>
        <w:jc w:val="center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冷机调优部分</w:t>
      </w:r>
    </w:p>
    <w:p>
      <w:p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冷机节能思路：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降低冷凝压力，提升蒸发压力，减少高低压差从而降低压缩比，提高压缩机效率；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调整运行台数，尽量减少运行台数，降低对应配套水泵运行数量，减少配套水泵功耗。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控制运行机组负荷率，根据机组能效曲线使机组运行在高效率区间。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要求业主对冷水机组进行规范维护，保障机组高能效运行。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对比不同机组制冷效率，优先运行效率较高机组。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冷机节能调整方法：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允许范围内提高出水温度设定点，出水温度。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调节末端使回水温度尽量偏高。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允许范围内尽量降低冷却进出水温度，降低冷凝压力。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控制运行台数，尽量减少冗余功耗。</w:t>
      </w:r>
    </w:p>
    <w:p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控制负荷率运行在高效负荷区间。</w:t>
      </w: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br w:type="page"/>
      </w: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冷冻泵调优部分</w:t>
      </w:r>
    </w:p>
    <w:p>
      <w:p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冷冻水泵节能思路：</w:t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根据末端供水水流量与水压差需求，调节水泵运行频率与台数。</w:t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根据运行能效运行曲线调整运行频率，避免满频运行，使水泵运行在高效区间（视系统配置情况，调整水泵运行台数）。</w:t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对比水泵能效，优先选用能效较高水泵运行（如水泵与冷机对应运行，则不考虑此项目）。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冷冻水泵调节方法：</w:t>
      </w:r>
    </w:p>
    <w:p>
      <w:pPr>
        <w:numPr>
          <w:ilvl w:val="0"/>
          <w:numId w:val="5"/>
        </w:numPr>
        <w:ind w:left="425" w:leftChars="0" w:hanging="425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合理控制台数、运行频率，避免满频运行，以求最低水泵总功率达到末端流量需求。</w:t>
      </w:r>
    </w:p>
    <w:p>
      <w:pPr>
        <w:numPr>
          <w:ilvl w:val="0"/>
          <w:numId w:val="5"/>
        </w:numPr>
        <w:ind w:left="425" w:leftChars="0" w:hanging="425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控制末端压差，最大限度降低冷冻泵频率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冷却泵调优思路与方法：</w:t>
      </w:r>
    </w:p>
    <w:p>
      <w:pPr>
        <w:numPr>
          <w:ilvl w:val="0"/>
          <w:numId w:val="6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满足冷凝要求前提下降低运行频率，避免满频运行，控制运行台数。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冷却塔调优思路与方法：</w:t>
      </w:r>
    </w:p>
    <w:p>
      <w:pPr>
        <w:numPr>
          <w:ilvl w:val="0"/>
          <w:numId w:val="7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多开水塔，不开风机或低频运行，避免风机满频运行。</w:t>
      </w:r>
    </w:p>
    <w:p>
      <w:pPr>
        <w:numPr>
          <w:ilvl w:val="0"/>
          <w:numId w:val="7"/>
        </w:numPr>
        <w:ind w:left="425" w:leftChars="0" w:hanging="425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出水温度控制趋近于室外湿球温度，最低温度值需根据冷机特性进行设置，一般20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℃</w:t>
      </w:r>
      <w:r>
        <w:rPr>
          <w:rFonts w:hint="eastAsia"/>
          <w:sz w:val="32"/>
          <w:szCs w:val="32"/>
          <w:lang w:val="en-US" w:eastAsia="zh-CN"/>
        </w:rPr>
        <w:t>。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板换调优思路与方法：</w:t>
      </w:r>
    </w:p>
    <w:p>
      <w:pPr>
        <w:numPr>
          <w:ilvl w:val="0"/>
          <w:numId w:val="8"/>
        </w:numPr>
        <w:ind w:left="425" w:leftChars="0" w:hanging="425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通过对室外环境湿球温度实时监测，通过与冷塔趋近温度、板换换热温差、冷冻出水设定值进行计算，得出精准的预冷模式、自然冷模式转换设定参数，对预冷、自然冷模式进行精准控制。</w:t>
      </w: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末端精密空调部分调优思路与方法</w:t>
      </w:r>
    </w:p>
    <w:p>
      <w:pPr>
        <w:numPr>
          <w:ilvl w:val="0"/>
          <w:numId w:val="9"/>
        </w:numPr>
        <w:ind w:left="425" w:leftChars="0" w:hanging="425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控制精密空调风机运转速度，协调水阀与风机转速控制，寻求水阀开度与风机转速最优能效点。</w:t>
      </w:r>
    </w:p>
    <w:p>
      <w:pPr>
        <w:numPr>
          <w:ilvl w:val="0"/>
          <w:numId w:val="9"/>
        </w:numPr>
        <w:ind w:left="425" w:leftChars="0" w:hanging="425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控制精密空调风机转速与开启总台数，协调精密空调运行总功率与区间制冷需求平衡，寻求最高能效点。</w:t>
      </w:r>
    </w:p>
    <w:p>
      <w:pPr>
        <w:numPr>
          <w:ilvl w:val="0"/>
          <w:numId w:val="9"/>
        </w:numPr>
        <w:ind w:left="425" w:leftChars="0" w:hanging="425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根据使用区域温度分布情况，对比不同对应位置精密空调运行数据，寻求最佳对应空调运行组合。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420" w:firstLineChars="0"/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电气调优思路与方法 </w:t>
      </w:r>
    </w:p>
    <w:p>
      <w:pPr>
        <w:numPr>
          <w:ilvl w:val="0"/>
          <w:numId w:val="10"/>
        </w:numPr>
        <w:ind w:left="425" w:leftChars="0" w:hanging="425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做好容量管理：对IT机房容量、变压器、不间断电源容量进行规化管理，优先采用逐一机房、变压器、不间断电源进行业务上架，尽量做到高负荷率。</w:t>
      </w:r>
    </w:p>
    <w:p>
      <w:pPr>
        <w:numPr>
          <w:ilvl w:val="0"/>
          <w:numId w:val="10"/>
        </w:numPr>
        <w:ind w:left="425" w:leftChars="0" w:hanging="425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对低负荷率不间断电源进行减少并机，实现运行设备高负荷率。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F43C3"/>
    <w:multiLevelType w:val="singleLevel"/>
    <w:tmpl w:val="839F43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BF6E955"/>
    <w:multiLevelType w:val="singleLevel"/>
    <w:tmpl w:val="ABF6E95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ACB4CC98"/>
    <w:multiLevelType w:val="singleLevel"/>
    <w:tmpl w:val="ACB4CC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1134DA3"/>
    <w:multiLevelType w:val="singleLevel"/>
    <w:tmpl w:val="C1134D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199A88D"/>
    <w:multiLevelType w:val="singleLevel"/>
    <w:tmpl w:val="F199A8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0F24553"/>
    <w:multiLevelType w:val="singleLevel"/>
    <w:tmpl w:val="00F24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97F49A8"/>
    <w:multiLevelType w:val="singleLevel"/>
    <w:tmpl w:val="097F4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583422A"/>
    <w:multiLevelType w:val="singleLevel"/>
    <w:tmpl w:val="158342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10B36BF"/>
    <w:multiLevelType w:val="singleLevel"/>
    <w:tmpl w:val="310B36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FA82F69"/>
    <w:multiLevelType w:val="singleLevel"/>
    <w:tmpl w:val="7FA82F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4MTk3YzcwN2JlYzBhZGI1NDE1MWUxYTVhNjA1NmQifQ=="/>
  </w:docVars>
  <w:rsids>
    <w:rsidRoot w:val="00000000"/>
    <w:rsid w:val="06D66EBD"/>
    <w:rsid w:val="0BE704F8"/>
    <w:rsid w:val="116F4196"/>
    <w:rsid w:val="16946B78"/>
    <w:rsid w:val="178667A3"/>
    <w:rsid w:val="18585984"/>
    <w:rsid w:val="18673E19"/>
    <w:rsid w:val="1F62533A"/>
    <w:rsid w:val="1FC102B2"/>
    <w:rsid w:val="20511636"/>
    <w:rsid w:val="25E46AA9"/>
    <w:rsid w:val="2CC34FBD"/>
    <w:rsid w:val="34F3147B"/>
    <w:rsid w:val="38C74734"/>
    <w:rsid w:val="3EB2553E"/>
    <w:rsid w:val="48164D90"/>
    <w:rsid w:val="48653621"/>
    <w:rsid w:val="495A0CAC"/>
    <w:rsid w:val="4ADF76BB"/>
    <w:rsid w:val="4DD54DA5"/>
    <w:rsid w:val="4EA734FD"/>
    <w:rsid w:val="5B1909C7"/>
    <w:rsid w:val="5B296730"/>
    <w:rsid w:val="5E394EDC"/>
    <w:rsid w:val="61493688"/>
    <w:rsid w:val="62B15989"/>
    <w:rsid w:val="667E5B82"/>
    <w:rsid w:val="6B9536F5"/>
    <w:rsid w:val="72FC49FE"/>
    <w:rsid w:val="759A04FF"/>
    <w:rsid w:val="7E21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910</Words>
  <Characters>911</Characters>
  <Lines>0</Lines>
  <Paragraphs>0</Paragraphs>
  <TotalTime>1</TotalTime>
  <ScaleCrop>false</ScaleCrop>
  <LinksUpToDate>false</LinksUpToDate>
  <CharactersWithSpaces>912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2022-11-21T05:55:00Z</dcterms:created>
  <dc:creator>49833</dc:creator>
  <cp:lastModifiedBy>谢五阳</cp:lastModifiedBy>
  <dcterms:modified xsi:type="dcterms:W3CDTF">2022-12-01T03:25:37Z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C23F88C14F8D4426BBFC1606A1995BE3</vt:lpwstr>
  </property>
</Properties>
</file>