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E008" w14:textId="4F46C8A6" w:rsidR="00347787" w:rsidRDefault="00000000">
      <w:pPr>
        <w:pStyle w:val="aa"/>
        <w:spacing w:before="200" w:after="100"/>
        <w:rPr>
          <w:lang w:eastAsia="zh-CN"/>
        </w:rPr>
      </w:pPr>
      <w:r>
        <w:rPr>
          <w:rFonts w:ascii="微软雅黑" w:eastAsia="微软雅黑" w:hAnsi="微软雅黑"/>
          <w:b/>
          <w:sz w:val="44"/>
          <w:lang w:eastAsia="zh-CN"/>
        </w:rPr>
        <w:t>阴性数据</w:t>
      </w:r>
      <w:r w:rsidR="00470EDF">
        <w:rPr>
          <w:rFonts w:ascii="微软雅黑" w:eastAsia="微软雅黑" w:hAnsi="微软雅黑" w:hint="eastAsia"/>
          <w:b/>
          <w:sz w:val="44"/>
          <w:lang w:eastAsia="zh-CN"/>
        </w:rPr>
        <w:t>在</w:t>
      </w:r>
      <w:r w:rsidR="00470EDF">
        <w:rPr>
          <w:rFonts w:ascii="微软雅黑" w:eastAsia="微软雅黑" w:hAnsi="微软雅黑"/>
          <w:b/>
          <w:sz w:val="44"/>
          <w:lang w:eastAsia="zh-CN"/>
        </w:rPr>
        <w:t>小分子生物活性</w:t>
      </w:r>
      <w:r w:rsidR="00470EDF">
        <w:rPr>
          <w:rFonts w:ascii="微软雅黑" w:eastAsia="微软雅黑" w:hAnsi="微软雅黑" w:hint="eastAsia"/>
          <w:b/>
          <w:sz w:val="44"/>
          <w:lang w:eastAsia="zh-CN"/>
        </w:rPr>
        <w:t>细分领域的</w:t>
      </w:r>
      <w:r>
        <w:rPr>
          <w:rFonts w:ascii="微软雅黑" w:eastAsia="微软雅黑" w:hAnsi="微软雅黑"/>
          <w:b/>
          <w:sz w:val="44"/>
          <w:lang w:eastAsia="zh-CN"/>
        </w:rPr>
        <w:t>初步调研</w:t>
      </w:r>
    </w:p>
    <w:p w14:paraId="10EC55AC" w14:textId="77777777" w:rsidR="00347787" w:rsidRDefault="00000000">
      <w:pPr>
        <w:pStyle w:val="ac"/>
        <w:spacing w:after="300"/>
        <w:rPr>
          <w:lang w:eastAsia="zh-CN"/>
        </w:rPr>
      </w:pPr>
      <w:r>
        <w:rPr>
          <w:rFonts w:ascii="微软雅黑" w:eastAsia="微软雅黑" w:hAnsi="微软雅黑"/>
          <w:color w:val="555555"/>
          <w:lang w:eastAsia="zh-CN"/>
        </w:rPr>
        <w:t>研究现状与可行性设想</w:t>
      </w:r>
    </w:p>
    <w:p w14:paraId="5C888B83" w14:textId="77777777" w:rsidR="00347787" w:rsidRDefault="00000000">
      <w:pPr>
        <w:pStyle w:val="1"/>
        <w:spacing w:before="180" w:after="80"/>
        <w:rPr>
          <w:rFonts w:ascii="微软雅黑" w:eastAsia="微软雅黑" w:hAnsi="微软雅黑"/>
          <w:lang w:eastAsia="zh-CN"/>
        </w:rPr>
      </w:pPr>
      <w:r>
        <w:rPr>
          <w:rFonts w:ascii="微软雅黑" w:eastAsia="微软雅黑" w:hAnsi="微软雅黑"/>
          <w:lang w:eastAsia="zh-CN"/>
        </w:rPr>
        <w:t>结论摘要</w:t>
      </w:r>
    </w:p>
    <w:p w14:paraId="2EEF3666" w14:textId="31D2FD2B" w:rsidR="00293598" w:rsidRPr="00293598" w:rsidRDefault="00293598" w:rsidP="00293598">
      <w:pPr>
        <w:rPr>
          <w:rFonts w:hint="eastAsia"/>
          <w:lang w:eastAsia="zh-CN"/>
        </w:rPr>
      </w:pPr>
      <w:r>
        <w:rPr>
          <w:rFonts w:hint="eastAsia"/>
          <w:lang w:eastAsia="zh-CN"/>
        </w:rPr>
        <w:t xml:space="preserve">       我先</w:t>
      </w:r>
      <w:r w:rsidRPr="00293598">
        <w:rPr>
          <w:lang w:eastAsia="zh-CN"/>
        </w:rPr>
        <w:t>将阳性数据定义为在明确实验条件和判定标准下达到预期活性要求的实测结果，将阴性数据定义为经过实际测定但未达到该要求的结果；未测试、结果不确定、实验失败及人工构造的负例不直接归入实测阴性数据。</w:t>
      </w:r>
    </w:p>
    <w:p w14:paraId="675A9A1C" w14:textId="6688FA76" w:rsidR="00C56137" w:rsidRDefault="00293598" w:rsidP="00C56137">
      <w:pPr>
        <w:spacing w:after="100" w:line="278" w:lineRule="auto"/>
        <w:ind w:firstLine="420"/>
        <w:rPr>
          <w:rFonts w:hint="eastAsia"/>
          <w:color w:val="000000"/>
          <w:lang w:eastAsia="zh-CN"/>
        </w:rPr>
      </w:pPr>
      <w:r>
        <w:rPr>
          <w:rFonts w:hint="eastAsia"/>
          <w:color w:val="000000"/>
          <w:lang w:eastAsia="zh-CN"/>
        </w:rPr>
        <w:t>我目前看了</w:t>
      </w:r>
      <w:r w:rsidRPr="00293598">
        <w:rPr>
          <w:color w:val="000000"/>
          <w:lang w:eastAsia="zh-CN"/>
        </w:rPr>
        <w:t>小分子化合物与蛋白靶点的生物活性</w:t>
      </w:r>
      <w:r>
        <w:rPr>
          <w:rFonts w:hint="eastAsia"/>
          <w:color w:val="000000"/>
          <w:lang w:eastAsia="zh-CN"/>
        </w:rPr>
        <w:t>领域关于阳性</w:t>
      </w:r>
      <w:r w:rsidR="00C56137">
        <w:rPr>
          <w:rFonts w:hint="eastAsia"/>
          <w:color w:val="000000"/>
          <w:lang w:eastAsia="zh-CN"/>
        </w:rPr>
        <w:t>数据偏倚性以及对模型影响、关于阴性数据的价值以及可能的挖掘方法、目前已有的数据集与资源等十数篇论文，现汇报如下。</w:t>
      </w:r>
    </w:p>
    <w:p w14:paraId="76F6D1FA" w14:textId="4A6F3C8F" w:rsidR="00347787" w:rsidRDefault="00000000">
      <w:pPr>
        <w:spacing w:after="100" w:line="278" w:lineRule="auto"/>
        <w:ind w:firstLine="420"/>
        <w:rPr>
          <w:lang w:eastAsia="zh-CN"/>
        </w:rPr>
      </w:pPr>
      <w:r>
        <w:rPr>
          <w:color w:val="000000"/>
          <w:lang w:eastAsia="zh-CN"/>
        </w:rPr>
        <w:t>初步检索表明，阴性数据训练、inactive 资源、完整筛选结果保存和文献活性抽取均有直接先例。因此，单纯收集更多阴性分子或从论文中抽取活性数据，已不足以构成明确的新意。</w:t>
      </w:r>
    </w:p>
    <w:p w14:paraId="75E266B8" w14:textId="77777777" w:rsidR="00347787" w:rsidRDefault="00000000">
      <w:pPr>
        <w:spacing w:after="100" w:line="278" w:lineRule="auto"/>
        <w:ind w:firstLine="420"/>
        <w:rPr>
          <w:lang w:eastAsia="zh-CN"/>
        </w:rPr>
      </w:pPr>
      <w:r>
        <w:rPr>
          <w:color w:val="000000"/>
          <w:lang w:eastAsia="zh-CN"/>
        </w:rPr>
        <w:t>仍有研究空间的问题是，不同类型的阴性结果常被压缩为同一个负标签。实测 inactive、截断值、定性无效、相对变差、实验失败、推定阴性、人工 decoy 和未测试数据的科学含义不同。保留这些差异、实验条件和原文证据，再检验其独立价值，可能形成较明确的研究问题。</w:t>
      </w:r>
    </w:p>
    <w:p w14:paraId="098B8746" w14:textId="77777777" w:rsidR="00347787" w:rsidRDefault="00000000">
      <w:pPr>
        <w:pStyle w:val="1"/>
        <w:spacing w:before="180" w:after="80"/>
      </w:pPr>
      <w:proofErr w:type="spellStart"/>
      <w:r>
        <w:rPr>
          <w:rFonts w:ascii="微软雅黑" w:eastAsia="微软雅黑" w:hAnsi="微软雅黑"/>
        </w:rPr>
        <w:t>已有工作做到哪里</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2232"/>
        <w:gridCol w:w="5832"/>
      </w:tblGrid>
      <w:tr w:rsidR="00347787" w14:paraId="7BC986C2" w14:textId="77777777">
        <w:trPr>
          <w:cantSplit/>
          <w:jc w:val="center"/>
        </w:trPr>
        <w:tc>
          <w:tcPr>
            <w:tcW w:w="1800" w:type="dxa"/>
            <w:shd w:val="clear" w:color="auto" w:fill="1F4E79"/>
            <w:tcMar>
              <w:top w:w="75" w:type="dxa"/>
              <w:left w:w="95" w:type="dxa"/>
              <w:bottom w:w="75" w:type="dxa"/>
              <w:right w:w="95" w:type="dxa"/>
            </w:tcMar>
            <w:vAlign w:val="center"/>
          </w:tcPr>
          <w:p w14:paraId="48D14798" w14:textId="77777777" w:rsidR="00347787" w:rsidRDefault="00000000">
            <w:pPr>
              <w:spacing w:after="0" w:line="245" w:lineRule="auto"/>
              <w:jc w:val="center"/>
            </w:pPr>
            <w:r>
              <w:rPr>
                <w:b/>
                <w:color w:val="FFFFFF"/>
                <w:sz w:val="16"/>
              </w:rPr>
              <w:t>研究环节</w:t>
            </w:r>
          </w:p>
        </w:tc>
        <w:tc>
          <w:tcPr>
            <w:tcW w:w="2232" w:type="dxa"/>
            <w:shd w:val="clear" w:color="auto" w:fill="1F4E79"/>
            <w:tcMar>
              <w:top w:w="75" w:type="dxa"/>
              <w:left w:w="95" w:type="dxa"/>
              <w:bottom w:w="75" w:type="dxa"/>
              <w:right w:w="95" w:type="dxa"/>
            </w:tcMar>
            <w:vAlign w:val="center"/>
          </w:tcPr>
          <w:p w14:paraId="1FB470C8" w14:textId="77777777" w:rsidR="00347787" w:rsidRDefault="00000000">
            <w:pPr>
              <w:spacing w:after="0" w:line="245" w:lineRule="auto"/>
              <w:jc w:val="center"/>
            </w:pPr>
            <w:r>
              <w:rPr>
                <w:b/>
                <w:color w:val="FFFFFF"/>
                <w:sz w:val="16"/>
              </w:rPr>
              <w:t>代表工作</w:t>
            </w:r>
          </w:p>
        </w:tc>
        <w:tc>
          <w:tcPr>
            <w:tcW w:w="5832" w:type="dxa"/>
            <w:shd w:val="clear" w:color="auto" w:fill="1F4E79"/>
            <w:tcMar>
              <w:top w:w="75" w:type="dxa"/>
              <w:left w:w="95" w:type="dxa"/>
              <w:bottom w:w="75" w:type="dxa"/>
              <w:right w:w="95" w:type="dxa"/>
            </w:tcMar>
            <w:vAlign w:val="center"/>
          </w:tcPr>
          <w:p w14:paraId="685764F9" w14:textId="77777777" w:rsidR="00347787" w:rsidRDefault="00000000">
            <w:pPr>
              <w:spacing w:after="0" w:line="245" w:lineRule="auto"/>
            </w:pPr>
            <w:r>
              <w:rPr>
                <w:b/>
                <w:color w:val="FFFFFF"/>
                <w:sz w:val="16"/>
              </w:rPr>
              <w:t>已有成果与限制</w:t>
            </w:r>
          </w:p>
        </w:tc>
      </w:tr>
      <w:tr w:rsidR="00347787" w14:paraId="2C6D5934" w14:textId="77777777">
        <w:trPr>
          <w:cantSplit/>
          <w:jc w:val="center"/>
        </w:trPr>
        <w:tc>
          <w:tcPr>
            <w:tcW w:w="1800" w:type="dxa"/>
            <w:tcMar>
              <w:top w:w="75" w:type="dxa"/>
              <w:left w:w="95" w:type="dxa"/>
              <w:bottom w:w="75" w:type="dxa"/>
              <w:right w:w="95" w:type="dxa"/>
            </w:tcMar>
            <w:vAlign w:val="center"/>
          </w:tcPr>
          <w:p w14:paraId="7D43CCAA" w14:textId="77777777" w:rsidR="00347787" w:rsidRDefault="00000000">
            <w:pPr>
              <w:spacing w:after="0" w:line="245" w:lineRule="auto"/>
              <w:jc w:val="center"/>
            </w:pPr>
            <w:r>
              <w:rPr>
                <w:color w:val="000000"/>
                <w:sz w:val="16"/>
              </w:rPr>
              <w:t>阴性数据用于模型</w:t>
            </w:r>
          </w:p>
        </w:tc>
        <w:tc>
          <w:tcPr>
            <w:tcW w:w="2232" w:type="dxa"/>
            <w:tcMar>
              <w:top w:w="75" w:type="dxa"/>
              <w:left w:w="95" w:type="dxa"/>
              <w:bottom w:w="75" w:type="dxa"/>
              <w:right w:w="95" w:type="dxa"/>
            </w:tcMar>
            <w:vAlign w:val="center"/>
          </w:tcPr>
          <w:p w14:paraId="2D0F9044" w14:textId="77777777" w:rsidR="00347787" w:rsidRDefault="00000000">
            <w:pPr>
              <w:spacing w:after="0" w:line="245" w:lineRule="auto"/>
              <w:jc w:val="center"/>
            </w:pPr>
            <w:r>
              <w:rPr>
                <w:color w:val="000000"/>
                <w:sz w:val="16"/>
              </w:rPr>
              <w:t>Mervin 等 2015</w:t>
            </w:r>
          </w:p>
        </w:tc>
        <w:tc>
          <w:tcPr>
            <w:tcW w:w="5832" w:type="dxa"/>
            <w:tcMar>
              <w:top w:w="75" w:type="dxa"/>
              <w:left w:w="95" w:type="dxa"/>
              <w:bottom w:w="75" w:type="dxa"/>
              <w:right w:w="95" w:type="dxa"/>
            </w:tcMar>
            <w:vAlign w:val="center"/>
          </w:tcPr>
          <w:p w14:paraId="491E59F1" w14:textId="77777777" w:rsidR="00347787" w:rsidRDefault="00000000">
            <w:pPr>
              <w:spacing w:after="0" w:line="245" w:lineRule="auto"/>
            </w:pPr>
            <w:r>
              <w:rPr>
                <w:color w:val="000000"/>
                <w:sz w:val="16"/>
              </w:rPr>
              <w:t>已比较推定阴性与 active-only 模型。阴性数据入模不是新问题，且推定阴性不等于实测阴性。</w:t>
            </w:r>
          </w:p>
        </w:tc>
      </w:tr>
      <w:tr w:rsidR="00347787" w14:paraId="6B3BC46F" w14:textId="77777777">
        <w:trPr>
          <w:cantSplit/>
          <w:jc w:val="center"/>
        </w:trPr>
        <w:tc>
          <w:tcPr>
            <w:tcW w:w="1800" w:type="dxa"/>
            <w:shd w:val="clear" w:color="auto" w:fill="F3F6F9"/>
            <w:tcMar>
              <w:top w:w="75" w:type="dxa"/>
              <w:left w:w="95" w:type="dxa"/>
              <w:bottom w:w="75" w:type="dxa"/>
              <w:right w:w="95" w:type="dxa"/>
            </w:tcMar>
            <w:vAlign w:val="center"/>
          </w:tcPr>
          <w:p w14:paraId="7A03F3E2" w14:textId="77777777" w:rsidR="00347787" w:rsidRDefault="00000000">
            <w:pPr>
              <w:spacing w:after="0" w:line="245" w:lineRule="auto"/>
              <w:jc w:val="center"/>
            </w:pPr>
            <w:r>
              <w:rPr>
                <w:color w:val="000000"/>
                <w:sz w:val="16"/>
              </w:rPr>
              <w:t>inactive 数据资源</w:t>
            </w:r>
          </w:p>
        </w:tc>
        <w:tc>
          <w:tcPr>
            <w:tcW w:w="2232" w:type="dxa"/>
            <w:shd w:val="clear" w:color="auto" w:fill="F3F6F9"/>
            <w:tcMar>
              <w:top w:w="75" w:type="dxa"/>
              <w:left w:w="95" w:type="dxa"/>
              <w:bottom w:w="75" w:type="dxa"/>
              <w:right w:w="95" w:type="dxa"/>
            </w:tcMar>
            <w:vAlign w:val="center"/>
          </w:tcPr>
          <w:p w14:paraId="04B016B2" w14:textId="77777777" w:rsidR="00347787" w:rsidRDefault="00000000">
            <w:pPr>
              <w:spacing w:after="0" w:line="245" w:lineRule="auto"/>
              <w:jc w:val="center"/>
            </w:pPr>
            <w:r>
              <w:rPr>
                <w:color w:val="000000"/>
                <w:sz w:val="16"/>
              </w:rPr>
              <w:t>InertDB 2025</w:t>
            </w:r>
          </w:p>
        </w:tc>
        <w:tc>
          <w:tcPr>
            <w:tcW w:w="5832" w:type="dxa"/>
            <w:shd w:val="clear" w:color="auto" w:fill="F3F6F9"/>
            <w:tcMar>
              <w:top w:w="75" w:type="dxa"/>
              <w:left w:w="95" w:type="dxa"/>
              <w:bottom w:w="75" w:type="dxa"/>
              <w:right w:w="95" w:type="dxa"/>
            </w:tcMar>
            <w:vAlign w:val="center"/>
          </w:tcPr>
          <w:p w14:paraId="72636C39" w14:textId="77777777" w:rsidR="00347787" w:rsidRDefault="00000000">
            <w:pPr>
              <w:spacing w:after="0" w:line="245" w:lineRule="auto"/>
            </w:pPr>
            <w:r>
              <w:rPr>
                <w:color w:val="000000"/>
                <w:sz w:val="16"/>
              </w:rPr>
              <w:t>已整理 inactive 化合物并生成扩展。不能仅靠增加分子数量体现贡献。</w:t>
            </w:r>
          </w:p>
        </w:tc>
      </w:tr>
      <w:tr w:rsidR="00347787" w14:paraId="7CEF98E8" w14:textId="77777777">
        <w:trPr>
          <w:cantSplit/>
          <w:jc w:val="center"/>
        </w:trPr>
        <w:tc>
          <w:tcPr>
            <w:tcW w:w="1800" w:type="dxa"/>
            <w:tcMar>
              <w:top w:w="75" w:type="dxa"/>
              <w:left w:w="95" w:type="dxa"/>
              <w:bottom w:w="75" w:type="dxa"/>
              <w:right w:w="95" w:type="dxa"/>
            </w:tcMar>
            <w:vAlign w:val="center"/>
          </w:tcPr>
          <w:p w14:paraId="6EEBCEBB" w14:textId="77777777" w:rsidR="00347787" w:rsidRDefault="00000000">
            <w:pPr>
              <w:spacing w:after="0" w:line="245" w:lineRule="auto"/>
              <w:jc w:val="center"/>
            </w:pPr>
            <w:r>
              <w:rPr>
                <w:color w:val="000000"/>
                <w:sz w:val="16"/>
              </w:rPr>
              <w:t>完整筛选流程</w:t>
            </w:r>
          </w:p>
        </w:tc>
        <w:tc>
          <w:tcPr>
            <w:tcW w:w="2232" w:type="dxa"/>
            <w:tcMar>
              <w:top w:w="75" w:type="dxa"/>
              <w:left w:w="95" w:type="dxa"/>
              <w:bottom w:w="75" w:type="dxa"/>
              <w:right w:w="95" w:type="dxa"/>
            </w:tcMar>
            <w:vAlign w:val="center"/>
          </w:tcPr>
          <w:p w14:paraId="6766D83D" w14:textId="77777777" w:rsidR="00347787" w:rsidRDefault="00000000">
            <w:pPr>
              <w:spacing w:after="0" w:line="245" w:lineRule="auto"/>
              <w:jc w:val="center"/>
            </w:pPr>
            <w:r>
              <w:rPr>
                <w:color w:val="000000"/>
                <w:sz w:val="16"/>
              </w:rPr>
              <w:t>ECBD 2025</w:t>
            </w:r>
          </w:p>
        </w:tc>
        <w:tc>
          <w:tcPr>
            <w:tcW w:w="5832" w:type="dxa"/>
            <w:tcMar>
              <w:top w:w="75" w:type="dxa"/>
              <w:left w:w="95" w:type="dxa"/>
              <w:bottom w:w="75" w:type="dxa"/>
              <w:right w:w="95" w:type="dxa"/>
            </w:tcMar>
            <w:vAlign w:val="center"/>
          </w:tcPr>
          <w:p w14:paraId="6F82832F" w14:textId="77777777" w:rsidR="00347787" w:rsidRDefault="00000000">
            <w:pPr>
              <w:spacing w:after="0" w:line="245" w:lineRule="auto"/>
            </w:pPr>
            <w:r>
              <w:rPr>
                <w:color w:val="000000"/>
                <w:sz w:val="16"/>
              </w:rPr>
              <w:t>保存 primary assay 与复筛的正负结果。它解决前瞻性保存，不等于历史文献恢复。</w:t>
            </w:r>
          </w:p>
        </w:tc>
      </w:tr>
      <w:tr w:rsidR="00347787" w14:paraId="56F83CFC" w14:textId="77777777">
        <w:trPr>
          <w:cantSplit/>
          <w:jc w:val="center"/>
        </w:trPr>
        <w:tc>
          <w:tcPr>
            <w:tcW w:w="1800" w:type="dxa"/>
            <w:shd w:val="clear" w:color="auto" w:fill="F3F6F9"/>
            <w:tcMar>
              <w:top w:w="75" w:type="dxa"/>
              <w:left w:w="95" w:type="dxa"/>
              <w:bottom w:w="75" w:type="dxa"/>
              <w:right w:w="95" w:type="dxa"/>
            </w:tcMar>
            <w:vAlign w:val="center"/>
          </w:tcPr>
          <w:p w14:paraId="0EC9FFC9" w14:textId="77777777" w:rsidR="00347787" w:rsidRDefault="00000000">
            <w:pPr>
              <w:spacing w:after="0" w:line="245" w:lineRule="auto"/>
              <w:jc w:val="center"/>
            </w:pPr>
            <w:r>
              <w:rPr>
                <w:color w:val="000000"/>
                <w:sz w:val="16"/>
              </w:rPr>
              <w:t>真实场景评价</w:t>
            </w:r>
          </w:p>
        </w:tc>
        <w:tc>
          <w:tcPr>
            <w:tcW w:w="2232" w:type="dxa"/>
            <w:shd w:val="clear" w:color="auto" w:fill="F3F6F9"/>
            <w:tcMar>
              <w:top w:w="75" w:type="dxa"/>
              <w:left w:w="95" w:type="dxa"/>
              <w:bottom w:w="75" w:type="dxa"/>
              <w:right w:w="95" w:type="dxa"/>
            </w:tcMar>
            <w:vAlign w:val="center"/>
          </w:tcPr>
          <w:p w14:paraId="76666D1A" w14:textId="77777777" w:rsidR="00347787" w:rsidRDefault="00000000">
            <w:pPr>
              <w:spacing w:after="0" w:line="245" w:lineRule="auto"/>
              <w:jc w:val="center"/>
            </w:pPr>
            <w:r>
              <w:rPr>
                <w:color w:val="000000"/>
                <w:sz w:val="16"/>
              </w:rPr>
              <w:t>CARA 2024</w:t>
            </w:r>
          </w:p>
        </w:tc>
        <w:tc>
          <w:tcPr>
            <w:tcW w:w="5832" w:type="dxa"/>
            <w:shd w:val="clear" w:color="auto" w:fill="F3F6F9"/>
            <w:tcMar>
              <w:top w:w="75" w:type="dxa"/>
              <w:left w:w="95" w:type="dxa"/>
              <w:bottom w:w="75" w:type="dxa"/>
              <w:right w:w="95" w:type="dxa"/>
            </w:tcMar>
            <w:vAlign w:val="center"/>
          </w:tcPr>
          <w:p w14:paraId="5274694B" w14:textId="77777777" w:rsidR="00347787" w:rsidRDefault="00000000">
            <w:pPr>
              <w:spacing w:after="0" w:line="245" w:lineRule="auto"/>
              <w:rPr>
                <w:lang w:eastAsia="zh-CN"/>
              </w:rPr>
            </w:pPr>
            <w:r>
              <w:rPr>
                <w:color w:val="000000"/>
                <w:sz w:val="16"/>
                <w:lang w:eastAsia="zh-CN"/>
              </w:rPr>
              <w:t>按 assay 和任务场景组织数据，整体指标可能掩盖部分 assay 的失败。</w:t>
            </w:r>
          </w:p>
        </w:tc>
      </w:tr>
      <w:tr w:rsidR="00347787" w14:paraId="6E744F16" w14:textId="77777777">
        <w:trPr>
          <w:cantSplit/>
          <w:jc w:val="center"/>
        </w:trPr>
        <w:tc>
          <w:tcPr>
            <w:tcW w:w="1800" w:type="dxa"/>
            <w:tcMar>
              <w:top w:w="75" w:type="dxa"/>
              <w:left w:w="95" w:type="dxa"/>
              <w:bottom w:w="75" w:type="dxa"/>
              <w:right w:w="95" w:type="dxa"/>
            </w:tcMar>
            <w:vAlign w:val="center"/>
          </w:tcPr>
          <w:p w14:paraId="0C48681E" w14:textId="77777777" w:rsidR="00347787" w:rsidRDefault="00000000">
            <w:pPr>
              <w:spacing w:after="0" w:line="245" w:lineRule="auto"/>
              <w:jc w:val="center"/>
            </w:pPr>
            <w:proofErr w:type="spellStart"/>
            <w:r>
              <w:rPr>
                <w:color w:val="000000"/>
                <w:sz w:val="16"/>
              </w:rPr>
              <w:t>文献活性抽取</w:t>
            </w:r>
            <w:proofErr w:type="spellEnd"/>
          </w:p>
        </w:tc>
        <w:tc>
          <w:tcPr>
            <w:tcW w:w="2232" w:type="dxa"/>
            <w:tcMar>
              <w:top w:w="75" w:type="dxa"/>
              <w:left w:w="95" w:type="dxa"/>
              <w:bottom w:w="75" w:type="dxa"/>
              <w:right w:w="95" w:type="dxa"/>
            </w:tcMar>
            <w:vAlign w:val="center"/>
          </w:tcPr>
          <w:p w14:paraId="50CEEED6" w14:textId="77777777" w:rsidR="00347787" w:rsidRDefault="00000000">
            <w:pPr>
              <w:spacing w:after="0" w:line="245" w:lineRule="auto"/>
              <w:jc w:val="center"/>
            </w:pPr>
            <w:r>
              <w:rPr>
                <w:color w:val="000000"/>
                <w:sz w:val="16"/>
              </w:rPr>
              <w:t>BioMiner 2026 预印本</w:t>
            </w:r>
          </w:p>
        </w:tc>
        <w:tc>
          <w:tcPr>
            <w:tcW w:w="5832" w:type="dxa"/>
            <w:tcMar>
              <w:top w:w="75" w:type="dxa"/>
              <w:left w:w="95" w:type="dxa"/>
              <w:bottom w:w="75" w:type="dxa"/>
              <w:right w:w="95" w:type="dxa"/>
            </w:tcMar>
            <w:vAlign w:val="center"/>
          </w:tcPr>
          <w:p w14:paraId="2DAD5A77" w14:textId="77777777" w:rsidR="00347787" w:rsidRDefault="00000000">
            <w:pPr>
              <w:spacing w:after="0" w:line="245" w:lineRule="auto"/>
              <w:rPr>
                <w:lang w:eastAsia="zh-CN"/>
              </w:rPr>
            </w:pPr>
            <w:r>
              <w:rPr>
                <w:color w:val="000000"/>
                <w:sz w:val="16"/>
                <w:lang w:eastAsia="zh-CN"/>
              </w:rPr>
              <w:t>建立 16,457 条人工标注记录，并从 11,683 篇论文抽取 82,262 条数据；完整记录 F1 约为 0.32。</w:t>
            </w:r>
          </w:p>
        </w:tc>
      </w:tr>
    </w:tbl>
    <w:p w14:paraId="7F0AE03F" w14:textId="77777777" w:rsidR="00347787" w:rsidRDefault="00000000">
      <w:pPr>
        <w:rPr>
          <w:lang w:eastAsia="zh-CN"/>
        </w:rPr>
      </w:pPr>
      <w:r>
        <w:rPr>
          <w:lang w:eastAsia="zh-CN"/>
        </w:rPr>
        <w:br w:type="page"/>
      </w:r>
    </w:p>
    <w:p w14:paraId="5F49C865" w14:textId="63871EAD" w:rsidR="00347787" w:rsidRDefault="00C56137">
      <w:pPr>
        <w:pStyle w:val="1"/>
        <w:spacing w:before="180" w:after="80"/>
        <w:rPr>
          <w:lang w:eastAsia="zh-CN"/>
        </w:rPr>
      </w:pPr>
      <w:r>
        <w:rPr>
          <w:rFonts w:ascii="微软雅黑" w:eastAsia="微软雅黑" w:hAnsi="微软雅黑" w:hint="eastAsia"/>
          <w:lang w:eastAsia="zh-CN"/>
        </w:rPr>
        <w:lastRenderedPageBreak/>
        <w:t>现有工作</w:t>
      </w:r>
      <w:r w:rsidR="00000000">
        <w:rPr>
          <w:rFonts w:ascii="微软雅黑" w:eastAsia="微软雅黑" w:hAnsi="微软雅黑"/>
          <w:lang w:eastAsia="zh-CN"/>
        </w:rPr>
        <w:t>仍未充分解决的问题</w:t>
      </w:r>
    </w:p>
    <w:p w14:paraId="2C99C01B" w14:textId="77777777" w:rsidR="00347787" w:rsidRDefault="00000000">
      <w:pPr>
        <w:pStyle w:val="21"/>
        <w:spacing w:before="120" w:after="80"/>
        <w:rPr>
          <w:lang w:eastAsia="zh-CN"/>
        </w:rPr>
      </w:pPr>
      <w:r>
        <w:rPr>
          <w:rFonts w:ascii="微软雅黑" w:eastAsia="微软雅黑" w:hAnsi="微软雅黑"/>
          <w:sz w:val="23"/>
          <w:lang w:eastAsia="zh-CN"/>
        </w:rPr>
        <w:t>阴性标签缺少统一的科学含义</w:t>
      </w:r>
    </w:p>
    <w:p w14:paraId="216B977D" w14:textId="77777777" w:rsidR="00347787" w:rsidRDefault="00000000">
      <w:pPr>
        <w:spacing w:after="100" w:line="278" w:lineRule="auto"/>
        <w:ind w:firstLine="420"/>
      </w:pPr>
      <w:proofErr w:type="spellStart"/>
      <w:r>
        <w:rPr>
          <w:color w:val="000000"/>
        </w:rPr>
        <w:t>同一个</w:t>
      </w:r>
      <w:proofErr w:type="spellEnd"/>
      <w:r>
        <w:rPr>
          <w:color w:val="000000"/>
        </w:rPr>
        <w:t xml:space="preserve"> negative </w:t>
      </w:r>
      <w:proofErr w:type="spellStart"/>
      <w:r>
        <w:rPr>
          <w:color w:val="000000"/>
        </w:rPr>
        <w:t>标签可能来自实测</w:t>
      </w:r>
      <w:proofErr w:type="spellEnd"/>
      <w:r>
        <w:rPr>
          <w:color w:val="000000"/>
        </w:rPr>
        <w:t xml:space="preserve"> </w:t>
      </w:r>
      <w:proofErr w:type="spellStart"/>
      <w:r>
        <w:rPr>
          <w:color w:val="000000"/>
        </w:rPr>
        <w:t>inactive、超过检测上限、定性无效、相对变差、数据缺失或人工</w:t>
      </w:r>
      <w:proofErr w:type="spellEnd"/>
      <w:r>
        <w:rPr>
          <w:color w:val="000000"/>
        </w:rPr>
        <w:t xml:space="preserve"> decoy。只有部分类型能够提供实验边界信息，unknown 不能自动转成 negative。</w:t>
      </w:r>
    </w:p>
    <w:p w14:paraId="379F5B6C" w14:textId="77777777" w:rsidR="00347787" w:rsidRDefault="00000000">
      <w:pPr>
        <w:pStyle w:val="21"/>
        <w:spacing w:before="120" w:after="80"/>
      </w:pPr>
      <w:r>
        <w:rPr>
          <w:rFonts w:ascii="微软雅黑" w:eastAsia="微软雅黑" w:hAnsi="微软雅黑"/>
          <w:sz w:val="23"/>
        </w:rPr>
        <w:t>实验条件常被弱化</w:t>
      </w:r>
    </w:p>
    <w:p w14:paraId="7782FCDF" w14:textId="77777777" w:rsidR="00347787" w:rsidRDefault="00000000">
      <w:pPr>
        <w:spacing w:after="100" w:line="278" w:lineRule="auto"/>
        <w:ind w:firstLine="420"/>
        <w:rPr>
          <w:lang w:eastAsia="zh-CN"/>
        </w:rPr>
      </w:pPr>
      <w:r>
        <w:rPr>
          <w:color w:val="000000"/>
          <w:lang w:eastAsia="zh-CN"/>
        </w:rPr>
        <w:t>活性是化合物在具体靶点、实验体系、浓度、测量类型和判定阈值下的结果。同一化合物在不同 assay 中可能得到不同结论。若只保存化合物与 0/1 标签，模型无法区分真实差异与实验条件差异。</w:t>
      </w:r>
    </w:p>
    <w:p w14:paraId="772BF184" w14:textId="77777777" w:rsidR="00347787" w:rsidRDefault="00000000">
      <w:pPr>
        <w:pStyle w:val="21"/>
        <w:spacing w:before="120" w:after="80"/>
        <w:rPr>
          <w:lang w:eastAsia="zh-CN"/>
        </w:rPr>
      </w:pPr>
      <w:r>
        <w:rPr>
          <w:rFonts w:ascii="微软雅黑" w:eastAsia="微软雅黑" w:hAnsi="微软雅黑"/>
          <w:sz w:val="23"/>
          <w:lang w:eastAsia="zh-CN"/>
        </w:rPr>
        <w:t>文献抽取尚未专门评价阴性证据</w:t>
      </w:r>
    </w:p>
    <w:p w14:paraId="6BDD548E" w14:textId="77777777" w:rsidR="00347787" w:rsidRDefault="00000000">
      <w:pPr>
        <w:spacing w:after="100" w:line="278" w:lineRule="auto"/>
        <w:ind w:firstLine="420"/>
      </w:pPr>
      <w:proofErr w:type="spellStart"/>
      <w:r>
        <w:rPr>
          <w:color w:val="000000"/>
        </w:rPr>
        <w:t>BioMiner</w:t>
      </w:r>
      <w:proofErr w:type="spellEnd"/>
      <w:r>
        <w:rPr>
          <w:color w:val="000000"/>
        </w:rPr>
        <w:t xml:space="preserve"> </w:t>
      </w:r>
      <w:proofErr w:type="spellStart"/>
      <w:r>
        <w:rPr>
          <w:color w:val="000000"/>
        </w:rPr>
        <w:t>已覆盖正文、表格、图和化学结构，主要恢复</w:t>
      </w:r>
      <w:proofErr w:type="spellEnd"/>
      <w:r>
        <w:rPr>
          <w:color w:val="000000"/>
        </w:rPr>
        <w:t xml:space="preserve"> IC50、Ki 和 Kd 等定量活性。它尚未把定性无效、失败原因、阴性类型和 unknown 的区分作为主要评价任务。</w:t>
      </w:r>
    </w:p>
    <w:p w14:paraId="2501B251" w14:textId="77777777" w:rsidR="00347787" w:rsidRDefault="00000000">
      <w:pPr>
        <w:pStyle w:val="21"/>
        <w:spacing w:before="120" w:after="80"/>
        <w:rPr>
          <w:lang w:eastAsia="zh-CN"/>
        </w:rPr>
      </w:pPr>
      <w:r>
        <w:rPr>
          <w:rFonts w:ascii="微软雅黑" w:eastAsia="微软雅黑" w:hAnsi="微软雅黑"/>
          <w:sz w:val="23"/>
          <w:lang w:eastAsia="zh-CN"/>
        </w:rPr>
        <w:t>模型收益的来源需要拆开验证</w:t>
      </w:r>
    </w:p>
    <w:p w14:paraId="4D22821A" w14:textId="77777777" w:rsidR="00347787" w:rsidRDefault="00000000">
      <w:pPr>
        <w:spacing w:after="100" w:line="278" w:lineRule="auto"/>
        <w:ind w:firstLine="420"/>
        <w:rPr>
          <w:lang w:eastAsia="zh-CN"/>
        </w:rPr>
      </w:pPr>
      <w:r>
        <w:rPr>
          <w:color w:val="000000"/>
          <w:lang w:eastAsia="zh-CN"/>
        </w:rPr>
        <w:t>模型改善可能只来自样本增加、类别平衡或数据泄漏。需要在相同数据量和严格切分下比较不同负例来源，并单独检验 assay 上下文的作用。</w:t>
      </w:r>
    </w:p>
    <w:p w14:paraId="3FE5ED85" w14:textId="77777777" w:rsidR="00347787" w:rsidRDefault="00000000">
      <w:pPr>
        <w:pStyle w:val="1"/>
        <w:spacing w:before="180" w:after="80"/>
        <w:rPr>
          <w:lang w:eastAsia="zh-CN"/>
        </w:rPr>
      </w:pPr>
      <w:r>
        <w:rPr>
          <w:rFonts w:ascii="微软雅黑" w:eastAsia="微软雅黑" w:hAnsi="微软雅黑"/>
          <w:lang w:eastAsia="zh-CN"/>
        </w:rPr>
        <w:t>建议的具体研究问题</w:t>
      </w:r>
    </w:p>
    <w:p w14:paraId="72D5EB7E" w14:textId="77777777" w:rsidR="00347787" w:rsidRDefault="00000000">
      <w:pPr>
        <w:spacing w:before="100" w:after="160" w:line="300" w:lineRule="auto"/>
        <w:ind w:left="504" w:right="504"/>
        <w:rPr>
          <w:lang w:eastAsia="zh-CN"/>
        </w:rPr>
      </w:pPr>
      <w:r>
        <w:rPr>
          <w:b/>
          <w:color w:val="000000"/>
          <w:sz w:val="23"/>
          <w:lang w:eastAsia="zh-CN"/>
        </w:rPr>
        <w:t>在小分子激酶活性文献中，能否可靠识别并分型带实验上下文的阴性观察；与常规数据库标签相比，这些记录是否改善模型在新骨架、新 assay 或时间外推条件下的表现？</w:t>
      </w:r>
    </w:p>
    <w:p w14:paraId="13B83B5C" w14:textId="77777777" w:rsidR="00347787" w:rsidRDefault="00000000">
      <w:pPr>
        <w:spacing w:after="100" w:line="278" w:lineRule="auto"/>
        <w:ind w:firstLine="420"/>
        <w:rPr>
          <w:lang w:eastAsia="zh-CN"/>
        </w:rPr>
      </w:pPr>
      <w:r>
        <w:rPr>
          <w:color w:val="000000"/>
          <w:lang w:eastAsia="zh-CN"/>
        </w:rPr>
        <w:t xml:space="preserve">激酶活性适合作为起点，因为公开 assay 较多，存在 PKIS 等较完整的测试矩阵，也可以使用 </w:t>
      </w:r>
      <w:proofErr w:type="spellStart"/>
      <w:r>
        <w:rPr>
          <w:color w:val="000000"/>
          <w:lang w:eastAsia="zh-CN"/>
        </w:rPr>
        <w:t>ChEMBL</w:t>
      </w:r>
      <w:proofErr w:type="spellEnd"/>
      <w:r>
        <w:rPr>
          <w:color w:val="000000"/>
          <w:lang w:eastAsia="zh-CN"/>
        </w:rPr>
        <w:t>、PubChem 和 CARA 进行核对与评价。这个范围只用于可行性验证，不代表最终必须限制在激酶领域。</w:t>
      </w:r>
    </w:p>
    <w:p w14:paraId="1DC9F232" w14:textId="77777777" w:rsidR="00347787" w:rsidRDefault="00000000">
      <w:pPr>
        <w:pStyle w:val="1"/>
        <w:spacing w:before="180" w:after="80"/>
      </w:pPr>
      <w:proofErr w:type="spellStart"/>
      <w:r>
        <w:rPr>
          <w:rFonts w:ascii="微软雅黑" w:eastAsia="微软雅黑" w:hAnsi="微软雅黑"/>
        </w:rPr>
        <w:t>研究对象的初步分类</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632"/>
      </w:tblGrid>
      <w:tr w:rsidR="00347787" w14:paraId="7706D81F" w14:textId="77777777">
        <w:trPr>
          <w:cantSplit/>
          <w:jc w:val="center"/>
        </w:trPr>
        <w:tc>
          <w:tcPr>
            <w:tcW w:w="2232" w:type="dxa"/>
            <w:shd w:val="clear" w:color="auto" w:fill="1F4E79"/>
            <w:tcMar>
              <w:top w:w="75" w:type="dxa"/>
              <w:left w:w="95" w:type="dxa"/>
              <w:bottom w:w="75" w:type="dxa"/>
              <w:right w:w="95" w:type="dxa"/>
            </w:tcMar>
            <w:vAlign w:val="center"/>
          </w:tcPr>
          <w:p w14:paraId="675D1D5C" w14:textId="77777777" w:rsidR="00347787" w:rsidRDefault="00000000">
            <w:pPr>
              <w:spacing w:after="0" w:line="245" w:lineRule="auto"/>
              <w:jc w:val="center"/>
            </w:pPr>
            <w:r>
              <w:rPr>
                <w:b/>
                <w:color w:val="FFFFFF"/>
                <w:sz w:val="16"/>
              </w:rPr>
              <w:t>类型</w:t>
            </w:r>
          </w:p>
        </w:tc>
        <w:tc>
          <w:tcPr>
            <w:tcW w:w="7632" w:type="dxa"/>
            <w:shd w:val="clear" w:color="auto" w:fill="1F4E79"/>
            <w:tcMar>
              <w:top w:w="75" w:type="dxa"/>
              <w:left w:w="95" w:type="dxa"/>
              <w:bottom w:w="75" w:type="dxa"/>
              <w:right w:w="95" w:type="dxa"/>
            </w:tcMar>
            <w:vAlign w:val="center"/>
          </w:tcPr>
          <w:p w14:paraId="7A3C5146" w14:textId="77777777" w:rsidR="00347787" w:rsidRDefault="00000000">
            <w:pPr>
              <w:spacing w:after="0" w:line="245" w:lineRule="auto"/>
            </w:pPr>
            <w:r>
              <w:rPr>
                <w:b/>
                <w:color w:val="FFFFFF"/>
                <w:sz w:val="16"/>
              </w:rPr>
              <w:t>科学含义与处理方式</w:t>
            </w:r>
          </w:p>
        </w:tc>
      </w:tr>
      <w:tr w:rsidR="00347787" w14:paraId="5D85DE8D" w14:textId="77777777">
        <w:trPr>
          <w:cantSplit/>
          <w:jc w:val="center"/>
        </w:trPr>
        <w:tc>
          <w:tcPr>
            <w:tcW w:w="2232" w:type="dxa"/>
            <w:tcMar>
              <w:top w:w="75" w:type="dxa"/>
              <w:left w:w="95" w:type="dxa"/>
              <w:bottom w:w="75" w:type="dxa"/>
              <w:right w:w="95" w:type="dxa"/>
            </w:tcMar>
            <w:vAlign w:val="center"/>
          </w:tcPr>
          <w:p w14:paraId="5C9E1A77" w14:textId="77777777" w:rsidR="00347787" w:rsidRDefault="00000000">
            <w:pPr>
              <w:spacing w:after="0" w:line="245" w:lineRule="auto"/>
              <w:jc w:val="center"/>
            </w:pPr>
            <w:r>
              <w:rPr>
                <w:color w:val="000000"/>
                <w:sz w:val="16"/>
              </w:rPr>
              <w:t>实测 inactive</w:t>
            </w:r>
          </w:p>
        </w:tc>
        <w:tc>
          <w:tcPr>
            <w:tcW w:w="7632" w:type="dxa"/>
            <w:tcMar>
              <w:top w:w="75" w:type="dxa"/>
              <w:left w:w="95" w:type="dxa"/>
              <w:bottom w:w="75" w:type="dxa"/>
              <w:right w:w="95" w:type="dxa"/>
            </w:tcMar>
            <w:vAlign w:val="center"/>
          </w:tcPr>
          <w:p w14:paraId="386A3527" w14:textId="77777777" w:rsidR="00347787" w:rsidRDefault="00000000">
            <w:pPr>
              <w:spacing w:after="0" w:line="245" w:lineRule="auto"/>
              <w:rPr>
                <w:lang w:eastAsia="zh-CN"/>
              </w:rPr>
            </w:pPr>
            <w:r>
              <w:rPr>
                <w:color w:val="000000"/>
                <w:sz w:val="16"/>
                <w:lang w:eastAsia="zh-CN"/>
              </w:rPr>
              <w:t>在具体 assay 和阈值下未达到活性标准，可以作为条件化负标签。</w:t>
            </w:r>
          </w:p>
        </w:tc>
      </w:tr>
      <w:tr w:rsidR="00347787" w14:paraId="2DE90349" w14:textId="77777777">
        <w:trPr>
          <w:cantSplit/>
          <w:jc w:val="center"/>
        </w:trPr>
        <w:tc>
          <w:tcPr>
            <w:tcW w:w="2232" w:type="dxa"/>
            <w:shd w:val="clear" w:color="auto" w:fill="F3F6F9"/>
            <w:tcMar>
              <w:top w:w="75" w:type="dxa"/>
              <w:left w:w="95" w:type="dxa"/>
              <w:bottom w:w="75" w:type="dxa"/>
              <w:right w:w="95" w:type="dxa"/>
            </w:tcMar>
            <w:vAlign w:val="center"/>
          </w:tcPr>
          <w:p w14:paraId="73B7A8B4" w14:textId="77777777" w:rsidR="00347787" w:rsidRDefault="00000000">
            <w:pPr>
              <w:spacing w:after="0" w:line="245" w:lineRule="auto"/>
              <w:jc w:val="center"/>
            </w:pPr>
            <w:proofErr w:type="spellStart"/>
            <w:r>
              <w:rPr>
                <w:color w:val="000000"/>
                <w:sz w:val="16"/>
              </w:rPr>
              <w:t>截断值</w:t>
            </w:r>
            <w:proofErr w:type="spellEnd"/>
          </w:p>
        </w:tc>
        <w:tc>
          <w:tcPr>
            <w:tcW w:w="7632" w:type="dxa"/>
            <w:shd w:val="clear" w:color="auto" w:fill="F3F6F9"/>
            <w:tcMar>
              <w:top w:w="75" w:type="dxa"/>
              <w:left w:w="95" w:type="dxa"/>
              <w:bottom w:w="75" w:type="dxa"/>
              <w:right w:w="95" w:type="dxa"/>
            </w:tcMar>
            <w:vAlign w:val="center"/>
          </w:tcPr>
          <w:p w14:paraId="67CFE74A" w14:textId="77777777" w:rsidR="00347787" w:rsidRDefault="00000000">
            <w:pPr>
              <w:spacing w:after="0" w:line="245" w:lineRule="auto"/>
              <w:rPr>
                <w:lang w:eastAsia="zh-CN"/>
              </w:rPr>
            </w:pPr>
            <w:r>
              <w:rPr>
                <w:color w:val="000000"/>
                <w:sz w:val="16"/>
                <w:lang w:eastAsia="zh-CN"/>
              </w:rPr>
              <w:t xml:space="preserve">例如 IC50 &gt; 10 </w:t>
            </w:r>
            <w:proofErr w:type="spellStart"/>
            <w:r>
              <w:rPr>
                <w:color w:val="000000"/>
                <w:sz w:val="16"/>
              </w:rPr>
              <w:t>μ</w:t>
            </w:r>
            <w:r>
              <w:rPr>
                <w:color w:val="000000"/>
                <w:sz w:val="16"/>
                <w:lang w:eastAsia="zh-CN"/>
              </w:rPr>
              <w:t>M</w:t>
            </w:r>
            <w:proofErr w:type="spellEnd"/>
            <w:r>
              <w:rPr>
                <w:color w:val="000000"/>
                <w:sz w:val="16"/>
                <w:lang w:eastAsia="zh-CN"/>
              </w:rPr>
              <w:t>，应保留比较符和检测上限，不伪装成精确值。</w:t>
            </w:r>
          </w:p>
        </w:tc>
      </w:tr>
      <w:tr w:rsidR="00347787" w14:paraId="3A427946" w14:textId="77777777">
        <w:trPr>
          <w:cantSplit/>
          <w:jc w:val="center"/>
        </w:trPr>
        <w:tc>
          <w:tcPr>
            <w:tcW w:w="2232" w:type="dxa"/>
            <w:tcMar>
              <w:top w:w="75" w:type="dxa"/>
              <w:left w:w="95" w:type="dxa"/>
              <w:bottom w:w="75" w:type="dxa"/>
              <w:right w:w="95" w:type="dxa"/>
            </w:tcMar>
            <w:vAlign w:val="center"/>
          </w:tcPr>
          <w:p w14:paraId="5F2FD598" w14:textId="77777777" w:rsidR="00347787" w:rsidRDefault="00000000">
            <w:pPr>
              <w:spacing w:after="0" w:line="245" w:lineRule="auto"/>
              <w:jc w:val="center"/>
            </w:pPr>
            <w:proofErr w:type="spellStart"/>
            <w:r>
              <w:rPr>
                <w:color w:val="000000"/>
                <w:sz w:val="16"/>
              </w:rPr>
              <w:t>定性或相对阴性</w:t>
            </w:r>
            <w:proofErr w:type="spellEnd"/>
          </w:p>
        </w:tc>
        <w:tc>
          <w:tcPr>
            <w:tcW w:w="7632" w:type="dxa"/>
            <w:tcMar>
              <w:top w:w="75" w:type="dxa"/>
              <w:left w:w="95" w:type="dxa"/>
              <w:bottom w:w="75" w:type="dxa"/>
              <w:right w:w="95" w:type="dxa"/>
            </w:tcMar>
            <w:vAlign w:val="center"/>
          </w:tcPr>
          <w:p w14:paraId="49220C66" w14:textId="77777777" w:rsidR="00347787" w:rsidRDefault="00000000">
            <w:pPr>
              <w:spacing w:after="0" w:line="245" w:lineRule="auto"/>
              <w:rPr>
                <w:lang w:eastAsia="zh-CN"/>
              </w:rPr>
            </w:pPr>
            <w:r>
              <w:rPr>
                <w:color w:val="000000"/>
                <w:sz w:val="16"/>
                <w:lang w:eastAsia="zh-CN"/>
              </w:rPr>
              <w:t>适合作为弱标签或成对排序信息，需要保留原句和比较对象。</w:t>
            </w:r>
          </w:p>
        </w:tc>
      </w:tr>
      <w:tr w:rsidR="00347787" w14:paraId="48001EDD" w14:textId="77777777">
        <w:trPr>
          <w:cantSplit/>
          <w:jc w:val="center"/>
        </w:trPr>
        <w:tc>
          <w:tcPr>
            <w:tcW w:w="2232" w:type="dxa"/>
            <w:shd w:val="clear" w:color="auto" w:fill="F3F6F9"/>
            <w:tcMar>
              <w:top w:w="75" w:type="dxa"/>
              <w:left w:w="95" w:type="dxa"/>
              <w:bottom w:w="75" w:type="dxa"/>
              <w:right w:w="95" w:type="dxa"/>
            </w:tcMar>
            <w:vAlign w:val="center"/>
          </w:tcPr>
          <w:p w14:paraId="23335291" w14:textId="77777777" w:rsidR="00347787" w:rsidRDefault="00000000">
            <w:pPr>
              <w:spacing w:after="0" w:line="245" w:lineRule="auto"/>
              <w:jc w:val="center"/>
            </w:pPr>
            <w:proofErr w:type="spellStart"/>
            <w:r>
              <w:rPr>
                <w:color w:val="000000"/>
                <w:sz w:val="16"/>
              </w:rPr>
              <w:t>推定阴性和</w:t>
            </w:r>
            <w:proofErr w:type="spellEnd"/>
            <w:r>
              <w:rPr>
                <w:color w:val="000000"/>
                <w:sz w:val="16"/>
              </w:rPr>
              <w:t xml:space="preserve"> decoy</w:t>
            </w:r>
          </w:p>
        </w:tc>
        <w:tc>
          <w:tcPr>
            <w:tcW w:w="7632" w:type="dxa"/>
            <w:shd w:val="clear" w:color="auto" w:fill="F3F6F9"/>
            <w:tcMar>
              <w:top w:w="75" w:type="dxa"/>
              <w:left w:w="95" w:type="dxa"/>
              <w:bottom w:w="75" w:type="dxa"/>
              <w:right w:w="95" w:type="dxa"/>
            </w:tcMar>
            <w:vAlign w:val="center"/>
          </w:tcPr>
          <w:p w14:paraId="02F339E1" w14:textId="77777777" w:rsidR="00347787" w:rsidRDefault="00000000">
            <w:pPr>
              <w:spacing w:after="0" w:line="245" w:lineRule="auto"/>
              <w:rPr>
                <w:lang w:eastAsia="zh-CN"/>
              </w:rPr>
            </w:pPr>
            <w:r>
              <w:rPr>
                <w:color w:val="000000"/>
                <w:sz w:val="16"/>
                <w:lang w:eastAsia="zh-CN"/>
              </w:rPr>
              <w:t>属于构造的训练信号，不具备实测阴性的证据等级。</w:t>
            </w:r>
          </w:p>
        </w:tc>
      </w:tr>
      <w:tr w:rsidR="00347787" w14:paraId="40C2A952" w14:textId="77777777">
        <w:trPr>
          <w:cantSplit/>
          <w:jc w:val="center"/>
        </w:trPr>
        <w:tc>
          <w:tcPr>
            <w:tcW w:w="2232" w:type="dxa"/>
            <w:tcMar>
              <w:top w:w="75" w:type="dxa"/>
              <w:left w:w="95" w:type="dxa"/>
              <w:bottom w:w="75" w:type="dxa"/>
              <w:right w:w="95" w:type="dxa"/>
            </w:tcMar>
            <w:vAlign w:val="center"/>
          </w:tcPr>
          <w:p w14:paraId="47ACF1FB" w14:textId="77777777" w:rsidR="00347787" w:rsidRDefault="00000000">
            <w:pPr>
              <w:spacing w:after="0" w:line="245" w:lineRule="auto"/>
              <w:jc w:val="center"/>
            </w:pPr>
            <w:r>
              <w:rPr>
                <w:color w:val="000000"/>
                <w:sz w:val="16"/>
              </w:rPr>
              <w:t>unknown 或 untested</w:t>
            </w:r>
          </w:p>
        </w:tc>
        <w:tc>
          <w:tcPr>
            <w:tcW w:w="7632" w:type="dxa"/>
            <w:tcMar>
              <w:top w:w="75" w:type="dxa"/>
              <w:left w:w="95" w:type="dxa"/>
              <w:bottom w:w="75" w:type="dxa"/>
              <w:right w:w="95" w:type="dxa"/>
            </w:tcMar>
            <w:vAlign w:val="center"/>
          </w:tcPr>
          <w:p w14:paraId="50CC1807" w14:textId="77777777" w:rsidR="00347787" w:rsidRDefault="00000000">
            <w:pPr>
              <w:spacing w:after="0" w:line="245" w:lineRule="auto"/>
            </w:pPr>
            <w:r>
              <w:rPr>
                <w:color w:val="000000"/>
                <w:sz w:val="16"/>
              </w:rPr>
              <w:t>没有观测，不能自动记为 negative。</w:t>
            </w:r>
          </w:p>
        </w:tc>
      </w:tr>
    </w:tbl>
    <w:p w14:paraId="06E69465" w14:textId="77777777" w:rsidR="00347787" w:rsidRDefault="00000000">
      <w:pPr>
        <w:pStyle w:val="1"/>
        <w:pageBreakBefore/>
        <w:spacing w:before="180" w:after="80"/>
      </w:pPr>
      <w:r>
        <w:rPr>
          <w:rFonts w:ascii="微软雅黑" w:eastAsia="微软雅黑" w:hAnsi="微软雅黑"/>
        </w:rPr>
        <w:lastRenderedPageBreak/>
        <w:t>最小可行性试验</w:t>
      </w:r>
    </w:p>
    <w:p w14:paraId="56D7A5DB" w14:textId="77777777" w:rsidR="00347787" w:rsidRDefault="00000000">
      <w:pPr>
        <w:pStyle w:val="a"/>
        <w:spacing w:after="60" w:line="278" w:lineRule="auto"/>
        <w:rPr>
          <w:lang w:eastAsia="zh-CN"/>
        </w:rPr>
      </w:pPr>
      <w:r>
        <w:rPr>
          <w:lang w:eastAsia="zh-CN"/>
        </w:rPr>
        <w:t>选取约 50 篇激酶活性论文，覆盖正文、表格和补充材料。人工标注化合物、靶点、测量类型、结果、比较符、单位、实验条件、阴性类型、证据位置和置信度。</w:t>
      </w:r>
    </w:p>
    <w:p w14:paraId="2A02A11F" w14:textId="77777777" w:rsidR="00347787" w:rsidRDefault="00000000">
      <w:pPr>
        <w:pStyle w:val="a"/>
        <w:spacing w:after="60" w:line="278" w:lineRule="auto"/>
        <w:rPr>
          <w:lang w:eastAsia="zh-CN"/>
        </w:rPr>
      </w:pPr>
      <w:r>
        <w:rPr>
          <w:lang w:eastAsia="zh-CN"/>
        </w:rPr>
        <w:t>使用规则或现有语言模型召回候选记录，比较 precision、recall、证据定位准确率和人工核验时间。自动方法首先用于减少阅读量，不直接替代人工判断。</w:t>
      </w:r>
    </w:p>
    <w:p w14:paraId="41EBDE94" w14:textId="77777777" w:rsidR="00347787" w:rsidRDefault="00000000">
      <w:pPr>
        <w:pStyle w:val="a"/>
        <w:spacing w:after="60" w:line="278" w:lineRule="auto"/>
        <w:rPr>
          <w:lang w:eastAsia="zh-CN"/>
        </w:rPr>
      </w:pPr>
      <w:r>
        <w:rPr>
          <w:lang w:eastAsia="zh-CN"/>
        </w:rPr>
        <w:t xml:space="preserve">将新增记录与 </w:t>
      </w:r>
      <w:proofErr w:type="spellStart"/>
      <w:r>
        <w:rPr>
          <w:lang w:eastAsia="zh-CN"/>
        </w:rPr>
        <w:t>ChEMBL</w:t>
      </w:r>
      <w:proofErr w:type="spellEnd"/>
      <w:r>
        <w:rPr>
          <w:lang w:eastAsia="zh-CN"/>
        </w:rPr>
        <w:t xml:space="preserve"> 或 PubChem 对照，确认文献是否提供数据库未完整保留的信息。</w:t>
      </w:r>
    </w:p>
    <w:p w14:paraId="10C6B613" w14:textId="77777777" w:rsidR="00347787" w:rsidRDefault="00000000">
      <w:pPr>
        <w:pStyle w:val="a"/>
        <w:spacing w:after="60" w:line="278" w:lineRule="auto"/>
      </w:pPr>
      <w:proofErr w:type="spellStart"/>
      <w:r>
        <w:t>在等样本量条件下比较</w:t>
      </w:r>
      <w:proofErr w:type="spellEnd"/>
      <w:r>
        <w:t xml:space="preserve"> </w:t>
      </w:r>
      <w:proofErr w:type="spellStart"/>
      <w:r>
        <w:t>active-only、推定阴性、实测</w:t>
      </w:r>
      <w:proofErr w:type="spellEnd"/>
      <w:r>
        <w:t xml:space="preserve"> </w:t>
      </w:r>
      <w:proofErr w:type="spellStart"/>
      <w:r>
        <w:t>inactive、文献恢复阴性，以及去除</w:t>
      </w:r>
      <w:proofErr w:type="spellEnd"/>
      <w:r>
        <w:t xml:space="preserve"> assay 上下文后的模型结果。</w:t>
      </w:r>
    </w:p>
    <w:p w14:paraId="384077F0" w14:textId="77777777" w:rsidR="00347787" w:rsidRDefault="00000000">
      <w:pPr>
        <w:pStyle w:val="1"/>
        <w:spacing w:before="180" w:after="80"/>
      </w:pPr>
      <w:proofErr w:type="spellStart"/>
      <w:r>
        <w:rPr>
          <w:rFonts w:ascii="微软雅黑" w:eastAsia="微软雅黑" w:hAnsi="微软雅黑"/>
        </w:rPr>
        <w:t>希望讨论的问题</w:t>
      </w:r>
      <w:proofErr w:type="spellEnd"/>
    </w:p>
    <w:p w14:paraId="1C4609EE" w14:textId="77777777" w:rsidR="00347787" w:rsidRDefault="00000000">
      <w:pPr>
        <w:pStyle w:val="a0"/>
        <w:spacing w:after="60" w:line="278" w:lineRule="auto"/>
        <w:rPr>
          <w:lang w:eastAsia="zh-CN"/>
        </w:rPr>
      </w:pPr>
      <w:r>
        <w:rPr>
          <w:lang w:eastAsia="zh-CN"/>
        </w:rPr>
        <w:t>研究主线应更侧重数据偏倚、阴性证据抽取，还是下游模型影响？</w:t>
      </w:r>
    </w:p>
    <w:p w14:paraId="45F7BDD6" w14:textId="77777777" w:rsidR="00347787" w:rsidRDefault="00000000">
      <w:pPr>
        <w:pStyle w:val="a0"/>
        <w:spacing w:after="60" w:line="278" w:lineRule="auto"/>
        <w:rPr>
          <w:lang w:eastAsia="zh-CN"/>
        </w:rPr>
      </w:pPr>
      <w:r>
        <w:rPr>
          <w:lang w:eastAsia="zh-CN"/>
        </w:rPr>
        <w:t>激酶活性是否适合作为第一阶段的验证领域？</w:t>
      </w:r>
    </w:p>
    <w:p w14:paraId="4C3A946E" w14:textId="77777777" w:rsidR="00347787" w:rsidRDefault="00000000">
      <w:pPr>
        <w:pStyle w:val="a0"/>
        <w:spacing w:after="60" w:line="278" w:lineRule="auto"/>
        <w:rPr>
          <w:lang w:eastAsia="zh-CN"/>
        </w:rPr>
      </w:pPr>
      <w:r>
        <w:rPr>
          <w:lang w:eastAsia="zh-CN"/>
        </w:rPr>
        <w:t>50 篇论文级别的试验能否作为进入正式研究前的判断依据？</w:t>
      </w:r>
    </w:p>
    <w:p w14:paraId="7E5D2A0E" w14:textId="77777777" w:rsidR="00347787" w:rsidRDefault="00000000">
      <w:pPr>
        <w:pStyle w:val="a0"/>
        <w:spacing w:after="60" w:line="278" w:lineRule="auto"/>
        <w:rPr>
          <w:lang w:eastAsia="zh-CN"/>
        </w:rPr>
      </w:pPr>
      <w:r>
        <w:rPr>
          <w:lang w:eastAsia="zh-CN"/>
        </w:rPr>
        <w:t>后续产出更适合定位为数据集、抽取方法、benchmark，还是数据审计？</w:t>
      </w:r>
    </w:p>
    <w:p w14:paraId="039CEA2F" w14:textId="77777777" w:rsidR="00347787" w:rsidRDefault="00000000">
      <w:pPr>
        <w:pStyle w:val="1"/>
        <w:spacing w:before="180" w:after="80"/>
      </w:pPr>
      <w:proofErr w:type="spellStart"/>
      <w:r>
        <w:rPr>
          <w:rFonts w:ascii="微软雅黑" w:eastAsia="微软雅黑" w:hAnsi="微软雅黑"/>
        </w:rPr>
        <w:t>主要参考文献</w:t>
      </w:r>
      <w:proofErr w:type="spellEnd"/>
    </w:p>
    <w:p w14:paraId="35D0C07A" w14:textId="77777777" w:rsidR="00347787" w:rsidRDefault="00000000">
      <w:pPr>
        <w:spacing w:after="30" w:line="240" w:lineRule="auto"/>
        <w:ind w:left="216" w:hanging="216"/>
      </w:pPr>
      <w:r>
        <w:rPr>
          <w:color w:val="333333"/>
          <w:sz w:val="15"/>
        </w:rPr>
        <w:t>Mervin et al. J Cheminform. 2015. doi:10.1186/s13321-015-0098-y</w:t>
      </w:r>
    </w:p>
    <w:p w14:paraId="2474D307" w14:textId="77777777" w:rsidR="00347787" w:rsidRDefault="00000000">
      <w:pPr>
        <w:spacing w:after="30" w:line="240" w:lineRule="auto"/>
        <w:ind w:left="216" w:hanging="216"/>
      </w:pPr>
      <w:r>
        <w:rPr>
          <w:color w:val="333333"/>
          <w:sz w:val="15"/>
        </w:rPr>
        <w:t>Chen et al. PLOS ONE. 2019. doi:10.1371/journal.pone.0220113</w:t>
      </w:r>
    </w:p>
    <w:p w14:paraId="30D06AB1" w14:textId="77777777" w:rsidR="00347787" w:rsidRDefault="00000000">
      <w:pPr>
        <w:spacing w:after="30" w:line="240" w:lineRule="auto"/>
        <w:ind w:left="216" w:hanging="216"/>
      </w:pPr>
      <w:r>
        <w:rPr>
          <w:color w:val="333333"/>
          <w:sz w:val="15"/>
        </w:rPr>
        <w:t>Tran-Nguyen et al. J Chem Inf Model. 2020. doi:10.1021/acs.jcim.0c00155</w:t>
      </w:r>
    </w:p>
    <w:p w14:paraId="4699D627" w14:textId="77777777" w:rsidR="00347787" w:rsidRDefault="00000000">
      <w:pPr>
        <w:spacing w:after="30" w:line="240" w:lineRule="auto"/>
        <w:ind w:left="216" w:hanging="216"/>
      </w:pPr>
      <w:r>
        <w:rPr>
          <w:color w:val="333333"/>
          <w:sz w:val="15"/>
        </w:rPr>
        <w:t>Tian et al. Commun Chem. 2024. doi:10.1038/s42004-024-01204-4</w:t>
      </w:r>
    </w:p>
    <w:p w14:paraId="16B96572" w14:textId="77777777" w:rsidR="00347787" w:rsidRDefault="00000000">
      <w:pPr>
        <w:spacing w:after="30" w:line="240" w:lineRule="auto"/>
        <w:ind w:left="216" w:hanging="216"/>
      </w:pPr>
      <w:r>
        <w:rPr>
          <w:color w:val="333333"/>
          <w:sz w:val="15"/>
        </w:rPr>
        <w:t>An et al. J Cheminform. 2025. doi:10.1186/s13321-025-00999-1</w:t>
      </w:r>
    </w:p>
    <w:p w14:paraId="617580A2" w14:textId="77777777" w:rsidR="00347787" w:rsidRDefault="00000000">
      <w:pPr>
        <w:spacing w:after="30" w:line="240" w:lineRule="auto"/>
        <w:ind w:left="216" w:hanging="216"/>
      </w:pPr>
      <w:r>
        <w:rPr>
          <w:color w:val="333333"/>
          <w:sz w:val="15"/>
        </w:rPr>
        <w:t>Škuta et al. Nucleic Acids Res. 2025. doi:10.1093/nar/gkae904</w:t>
      </w:r>
    </w:p>
    <w:p w14:paraId="73D4A5DC" w14:textId="77777777" w:rsidR="00347787" w:rsidRDefault="00000000">
      <w:pPr>
        <w:spacing w:after="30" w:line="240" w:lineRule="auto"/>
        <w:ind w:left="216" w:hanging="216"/>
      </w:pPr>
      <w:r>
        <w:rPr>
          <w:color w:val="333333"/>
          <w:sz w:val="15"/>
        </w:rPr>
        <w:t>Yan et al. BioMiner. arXiv preprint. 2026. arXiv:2604.21508</w:t>
      </w:r>
    </w:p>
    <w:p w14:paraId="3FEBCF0D" w14:textId="77777777" w:rsidR="00347787" w:rsidRDefault="00000000">
      <w:pPr>
        <w:spacing w:after="30" w:line="240" w:lineRule="auto"/>
        <w:ind w:left="216" w:hanging="216"/>
        <w:rPr>
          <w:lang w:eastAsia="zh-CN"/>
        </w:rPr>
      </w:pPr>
      <w:r>
        <w:rPr>
          <w:color w:val="333333"/>
          <w:sz w:val="15"/>
        </w:rPr>
        <w:t xml:space="preserve">Lee et al. Chemistry. </w:t>
      </w:r>
      <w:r>
        <w:rPr>
          <w:color w:val="333333"/>
          <w:sz w:val="15"/>
          <w:lang w:eastAsia="zh-CN"/>
        </w:rPr>
        <w:t>2026. doi:10.1002/chem.71208</w:t>
      </w:r>
    </w:p>
    <w:p w14:paraId="5472EF60" w14:textId="429E87C4" w:rsidR="00347787" w:rsidRDefault="00347787">
      <w:pPr>
        <w:spacing w:before="140" w:line="264" w:lineRule="auto"/>
        <w:rPr>
          <w:lang w:eastAsia="zh-CN"/>
        </w:rPr>
      </w:pPr>
    </w:p>
    <w:sectPr w:rsidR="00347787" w:rsidSect="00034616">
      <w:footerReference w:type="default" r:id="rId8"/>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7D62A" w14:textId="77777777" w:rsidR="00CB6343" w:rsidRDefault="00CB6343">
      <w:pPr>
        <w:spacing w:after="0" w:line="240" w:lineRule="auto"/>
      </w:pPr>
      <w:r>
        <w:separator/>
      </w:r>
    </w:p>
  </w:endnote>
  <w:endnote w:type="continuationSeparator" w:id="0">
    <w:p w14:paraId="1DC8AFA5" w14:textId="77777777" w:rsidR="00CB6343" w:rsidRDefault="00CB6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0D9B3" w14:textId="77777777" w:rsidR="00347787" w:rsidRDefault="00000000">
    <w:pPr>
      <w:pStyle w:val="a7"/>
      <w:rPr>
        <w:lang w:eastAsia="zh-CN"/>
      </w:rPr>
    </w:pPr>
    <w:r>
      <w:rPr>
        <w:color w:val="666666"/>
        <w:sz w:val="17"/>
        <w:lang w:eastAsia="zh-CN"/>
      </w:rPr>
      <w:t>小分子生物活性阴性数据初步调研    2026 年 9 月</w:t>
    </w:r>
  </w:p>
  <w:p w14:paraId="0C6C4FAB" w14:textId="77777777" w:rsidR="00347787" w:rsidRDefault="00000000">
    <w:pPr>
      <w:jc w:val="right"/>
    </w:pPr>
    <w:r>
      <w:rPr>
        <w:color w:val="666666"/>
        <w:sz w:val="17"/>
      </w:rPr>
      <w:t xml:space="preserve">第 </w:t>
    </w:r>
    <w:r>
      <w:rPr>
        <w:color w:val="666666"/>
        <w:sz w:val="17"/>
      </w:rPr>
      <w:fldChar w:fldCharType="begin"/>
    </w:r>
    <w:r>
      <w:rPr>
        <w:color w:val="666666"/>
        <w:sz w:val="17"/>
      </w:rPr>
      <w:instrText xml:space="preserve"> PAGE </w:instrText>
    </w:r>
    <w:r>
      <w:rPr>
        <w:color w:val="666666"/>
        <w:sz w:val="17"/>
      </w:rPr>
      <w:fldChar w:fldCharType="separate"/>
    </w:r>
    <w:r w:rsidR="00470EDF">
      <w:rPr>
        <w:noProof/>
        <w:color w:val="666666"/>
        <w:sz w:val="17"/>
      </w:rPr>
      <w:t>1</w:t>
    </w:r>
    <w:r>
      <w:rPr>
        <w:color w:val="666666"/>
        <w:sz w:val="17"/>
      </w:rPr>
      <w:fldChar w:fldCharType="end"/>
    </w:r>
    <w:r>
      <w:rPr>
        <w:color w:val="666666"/>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120AB" w14:textId="77777777" w:rsidR="00CB6343" w:rsidRDefault="00CB6343">
      <w:pPr>
        <w:spacing w:after="0" w:line="240" w:lineRule="auto"/>
      </w:pPr>
      <w:r>
        <w:separator/>
      </w:r>
    </w:p>
  </w:footnote>
  <w:footnote w:type="continuationSeparator" w:id="0">
    <w:p w14:paraId="735BEB85" w14:textId="77777777" w:rsidR="00CB6343" w:rsidRDefault="00CB6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9445447">
    <w:abstractNumId w:val="8"/>
  </w:num>
  <w:num w:numId="2" w16cid:durableId="110981166">
    <w:abstractNumId w:val="6"/>
  </w:num>
  <w:num w:numId="3" w16cid:durableId="23599481">
    <w:abstractNumId w:val="5"/>
  </w:num>
  <w:num w:numId="4" w16cid:durableId="639959526">
    <w:abstractNumId w:val="4"/>
  </w:num>
  <w:num w:numId="5" w16cid:durableId="1070078698">
    <w:abstractNumId w:val="7"/>
  </w:num>
  <w:num w:numId="6" w16cid:durableId="1497190353">
    <w:abstractNumId w:val="3"/>
  </w:num>
  <w:num w:numId="7" w16cid:durableId="1318806950">
    <w:abstractNumId w:val="2"/>
  </w:num>
  <w:num w:numId="8" w16cid:durableId="1773939654">
    <w:abstractNumId w:val="1"/>
  </w:num>
  <w:num w:numId="9" w16cid:durableId="60249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026"/>
    <w:rsid w:val="00293598"/>
    <w:rsid w:val="0029639D"/>
    <w:rsid w:val="00326F90"/>
    <w:rsid w:val="00347787"/>
    <w:rsid w:val="00470EDF"/>
    <w:rsid w:val="00931C04"/>
    <w:rsid w:val="00A16DBE"/>
    <w:rsid w:val="00AA1D8D"/>
    <w:rsid w:val="00B47730"/>
    <w:rsid w:val="00C56137"/>
    <w:rsid w:val="00CB0664"/>
    <w:rsid w:val="00CB63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D756C7"/>
  <w14:defaultImageDpi w14:val="300"/>
  <w15:docId w15:val="{AA15860A-EFE0-4F67-9C7A-5F72CE595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color w:val="000000"/>
    </w:rPr>
  </w:style>
  <w:style w:type="paragraph" w:styleId="20">
    <w:name w:val="List Bullet 2"/>
    <w:basedOn w:val="a1"/>
    <w:uiPriority w:val="99"/>
    <w:unhideWhenUsed/>
    <w:rsid w:val="00326F90"/>
    <w:pPr>
      <w:numPr>
        <w:numId w:val="2"/>
      </w:numPr>
      <w:contextualSpacing/>
    </w:pPr>
    <w:rPr>
      <w:color w:val="000000"/>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color w:val="00000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2935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1090</Words>
  <Characters>1484</Characters>
  <Application>Microsoft Office Word</Application>
  <DocSecurity>0</DocSecurity>
  <Lines>57</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小分子生物活性阴性数据初步调研</dc:title>
  <dc:subject>研究现状与可行性设想</dc:subject>
  <dc:creator/>
  <cp:keywords>negative bioactivity; molecular data; literature mining; dataset bias</cp:keywords>
  <dc:description>generated by python-docx</dc:description>
  <cp:lastModifiedBy>玄渊 周</cp:lastModifiedBy>
  <cp:revision>3</cp:revision>
  <dcterms:created xsi:type="dcterms:W3CDTF">2013-12-23T23:15:00Z</dcterms:created>
  <dcterms:modified xsi:type="dcterms:W3CDTF">2026-09-07T15:54:00Z</dcterms:modified>
  <cp:category/>
</cp:coreProperties>
</file>