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28"/>
        </w:rPr>
        <w:t>第21页  数据输入总览与使用边界</w:t>
      </w:r>
    </w:p>
    <w:p>
      <w:pPr>
        <w:jc w:val="center"/>
      </w:pPr>
      <w:r>
        <w:rPr>
          <w:i/>
          <w:sz w:val="16"/>
        </w:rPr>
        <w:t>章节：数据输入｜初稿</w:t>
      </w:r>
    </w:p>
    <w:p>
      <w:r>
        <w:rPr>
          <w:b/>
        </w:rPr>
        <w:t>操作说明：</w:t>
      </w:r>
      <w:r>
        <w:t>本页内容依据团队任务书、数据字典和用户数据输入规范整理；未验证的程序行为以当前分支实际实现为准。</w:t>
      </w:r>
    </w:p>
    <w:p>
      <w:pPr>
        <w:ind w:left="173" w:hanging="173"/>
      </w:pPr>
      <w:r>
        <w:rPr>
          <w:b/>
        </w:rPr>
        <w:t xml:space="preserve">01. </w:t>
      </w:r>
      <w:r>
        <w:t>本章节为系统用户手册第21—40页初稿，适用于碳慧智算物流碳感知智能决策系统 V1.0。</w:t>
      </w:r>
    </w:p>
    <w:p>
      <w:pPr>
        <w:ind w:left="173" w:hanging="173"/>
      </w:pPr>
      <w:r>
        <w:rPr>
          <w:b/>
        </w:rPr>
        <w:t xml:space="preserve">02. </w:t>
      </w:r>
      <w:r>
        <w:t>V1.0采用本地文件与命令行流程；不新增前端上传页、登录或在线注册。</w:t>
      </w:r>
    </w:p>
    <w:p>
      <w:pPr>
        <w:ind w:left="173" w:hanging="173"/>
      </w:pPr>
      <w:r>
        <w:rPr>
          <w:b/>
        </w:rPr>
        <w:t xml:space="preserve">03. </w:t>
      </w:r>
      <w:r>
        <w:t>输入数据分为订单、运单和车辆/车型三类，三类数据通过明确字段关联。</w:t>
      </w:r>
    </w:p>
    <w:p>
      <w:pPr>
        <w:ind w:left="173" w:hanging="173"/>
      </w:pPr>
      <w:r>
        <w:rPr>
          <w:b/>
        </w:rPr>
        <w:t xml:space="preserve">04. </w:t>
      </w:r>
      <w:r>
        <w:t>原始赛题附件与标准化模板结构不同，未经字段映射不得视为可直接互换。</w:t>
      </w:r>
    </w:p>
    <w:p>
      <w:pPr>
        <w:ind w:left="173" w:hanging="173"/>
      </w:pPr>
      <w:r>
        <w:rPr>
          <w:b/>
        </w:rPr>
        <w:t xml:space="preserve">05. </w:t>
      </w:r>
      <w:r>
        <w:t>订单—运单主关联按运单号精确匹配；车型目录按车型名称匹配。</w:t>
      </w:r>
    </w:p>
    <w:p>
      <w:pPr>
        <w:ind w:left="173" w:hanging="173"/>
      </w:pPr>
      <w:r>
        <w:rPr>
          <w:b/>
        </w:rPr>
        <w:t xml:space="preserve">06. </w:t>
      </w:r>
      <w:r>
        <w:t>车辆登记载重可能有不同口径，不能不加判断地直接作为有效载荷或排放因子输入。</w:t>
      </w:r>
    </w:p>
    <w:p>
      <w:pPr>
        <w:ind w:left="173" w:hanging="173"/>
      </w:pPr>
      <w:r>
        <w:rPr>
          <w:b/>
        </w:rPr>
        <w:t xml:space="preserve">07. </w:t>
      </w:r>
      <w:r>
        <w:t>真实业务数据不得提交至公开仓库；示例与测试应使用虚构数据。</w:t>
      </w:r>
    </w:p>
    <w:p>
      <w:pPr>
        <w:ind w:left="173" w:hanging="173"/>
      </w:pPr>
      <w:r>
        <w:rPr>
          <w:b/>
        </w:rPr>
        <w:t xml:space="preserve">08. </w:t>
      </w:r>
      <w:r>
        <w:t>所有处理应保留来源、版本、校验结果和追溯信息。</w:t>
      </w:r>
    </w:p>
    <w:p>
      <w:pPr>
        <w:ind w:left="173" w:hanging="173"/>
      </w:pPr>
      <w:r>
        <w:rPr>
          <w:b/>
        </w:rPr>
        <w:t xml:space="preserve">09. </w:t>
      </w:r>
      <w:r>
        <w:t>未在当前分支实现或未通过测试的命令，不得写成已验证功能。</w:t>
      </w:r>
    </w:p>
    <w:p>
      <w:pPr>
        <w:ind w:left="173" w:hanging="173"/>
      </w:pPr>
      <w:r>
        <w:rPr>
          <w:b/>
        </w:rPr>
        <w:t xml:space="preserve">10. </w:t>
      </w:r>
      <w:r>
        <w:t>不同数据版本或核算口径的结果不能直接横向比较。</w:t>
      </w:r>
    </w:p>
    <w:p>
      <w:r>
        <w:rPr>
          <w:b/>
        </w:rPr>
        <w:t>本页核对要点：</w:t>
      </w:r>
      <w:r>
        <w:t>字段含义与单位明确；异常处理可追溯；不把估算或演示数据表述为实测结果。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8"/>
        </w:rPr>
        <w:t>第22页  输入目录与文件准备</w:t>
      </w:r>
    </w:p>
    <w:p>
      <w:pPr>
        <w:jc w:val="center"/>
      </w:pPr>
      <w:r>
        <w:rPr>
          <w:i/>
          <w:sz w:val="16"/>
        </w:rPr>
        <w:t>章节：数据输入｜初稿</w:t>
      </w:r>
    </w:p>
    <w:p>
      <w:r>
        <w:rPr>
          <w:b/>
        </w:rPr>
        <w:t>操作说明：</w:t>
      </w:r>
      <w:r>
        <w:t>本页内容依据团队任务书、数据字典和用户数据输入规范整理；未验证的程序行为以当前分支实际实现为准。</w:t>
      </w:r>
    </w:p>
    <w:p>
      <w:pPr>
        <w:ind w:left="173" w:hanging="173"/>
      </w:pPr>
      <w:r>
        <w:rPr>
          <w:b/>
        </w:rPr>
        <w:t xml:space="preserve">01. </w:t>
      </w:r>
      <w:r>
        <w:t>建议将待处理原始文件放在项目根目录的 data/raw/。</w:t>
      </w:r>
    </w:p>
    <w:p>
      <w:pPr>
        <w:ind w:left="173" w:hanging="173"/>
      </w:pPr>
      <w:r>
        <w:rPr>
          <w:b/>
        </w:rPr>
        <w:t xml:space="preserve">02. </w:t>
      </w:r>
      <w:r>
        <w:t>赛题附件1常见内容为订单数据和运单数据两个工作表。</w:t>
      </w:r>
    </w:p>
    <w:p>
      <w:pPr>
        <w:ind w:left="173" w:hanging="173"/>
      </w:pPr>
      <w:r>
        <w:rPr>
          <w:b/>
        </w:rPr>
        <w:t xml:space="preserve">03. </w:t>
      </w:r>
      <w:r>
        <w:t>赛题附件2常见内容为车辆车型目录；当前数据字典指出隐藏的桥接表不是订单—运单直接关联的必经键。</w:t>
      </w:r>
    </w:p>
    <w:p>
      <w:pPr>
        <w:ind w:left="173" w:hanging="173"/>
      </w:pPr>
      <w:r>
        <w:rPr>
          <w:b/>
        </w:rPr>
        <w:t xml:space="preserve">04. </w:t>
      </w:r>
      <w:r>
        <w:t>实际文件名应以团队当前使用的文件为准，不要让程序静默选择不相关文件。</w:t>
      </w:r>
    </w:p>
    <w:p>
      <w:pPr>
        <w:ind w:left="173" w:hanging="173"/>
      </w:pPr>
      <w:r>
        <w:rPr>
          <w:b/>
        </w:rPr>
        <w:t xml:space="preserve">05. </w:t>
      </w:r>
      <w:r>
        <w:t>标准模板路径为 templates/数据输入模板.xlsx。</w:t>
      </w:r>
    </w:p>
    <w:p>
      <w:pPr>
        <w:ind w:left="173" w:hanging="173"/>
      </w:pPr>
      <w:r>
        <w:rPr>
          <w:b/>
        </w:rPr>
        <w:t xml:space="preserve">06. </w:t>
      </w:r>
      <w:r>
        <w:t>标准模板应包含订单、运单、车辆三张工作表，每张仅有表头和一行虚构示例。</w:t>
      </w:r>
    </w:p>
    <w:p>
      <w:pPr>
        <w:ind w:left="173" w:hanging="173"/>
      </w:pPr>
      <w:r>
        <w:rPr>
          <w:b/>
        </w:rPr>
        <w:t xml:space="preserve">07. </w:t>
      </w:r>
      <w:r>
        <w:t>原始附件建议保留只读副本，清洗和核算结果写入独立目录。</w:t>
      </w:r>
    </w:p>
    <w:p>
      <w:pPr>
        <w:ind w:left="173" w:hanging="173"/>
      </w:pPr>
      <w:r>
        <w:rPr>
          <w:b/>
        </w:rPr>
        <w:t xml:space="preserve">08. </w:t>
      </w:r>
      <w:r>
        <w:t>不要直接在原始附件上覆盖异常值或删除记录。</w:t>
      </w:r>
    </w:p>
    <w:p>
      <w:pPr>
        <w:ind w:left="173" w:hanging="173"/>
      </w:pPr>
      <w:r>
        <w:rPr>
          <w:b/>
        </w:rPr>
        <w:t xml:space="preserve">09. </w:t>
      </w:r>
      <w:r>
        <w:t>如果目录中存在多个同类版本，应按团队冻结的数据源规则选择并记录。</w:t>
      </w:r>
    </w:p>
    <w:p>
      <w:pPr>
        <w:ind w:left="173" w:hanging="173"/>
      </w:pPr>
      <w:r>
        <w:rPr>
          <w:b/>
        </w:rPr>
        <w:t xml:space="preserve">10. </w:t>
      </w:r>
      <w:r>
        <w:t>处理前记录文件名、修改时间和版本，便于回查。</w:t>
      </w:r>
    </w:p>
    <w:p>
      <w:r>
        <w:rPr>
          <w:b/>
        </w:rPr>
        <w:t>本页核对要点：</w:t>
      </w:r>
      <w:r>
        <w:t>字段含义与单位明确；异常处理可追溯；不把估算或演示数据表述为实测结果。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8"/>
        </w:rPr>
        <w:t>第23页  订单工作表填写</w:t>
      </w:r>
    </w:p>
    <w:p>
      <w:pPr>
        <w:jc w:val="center"/>
      </w:pPr>
      <w:r>
        <w:rPr>
          <w:i/>
          <w:sz w:val="16"/>
        </w:rPr>
        <w:t>章节：数据输入｜初稿</w:t>
      </w:r>
    </w:p>
    <w:p>
      <w:r>
        <w:rPr>
          <w:b/>
        </w:rPr>
        <w:t>操作说明：</w:t>
      </w:r>
      <w:r>
        <w:t>本页内容依据团队任务书、数据字典和用户数据输入规范整理；未验证的程序行为以当前分支实际实现为准。</w:t>
      </w:r>
    </w:p>
    <w:p>
      <w:pPr>
        <w:ind w:left="173" w:hanging="173"/>
      </w:pPr>
      <w:r>
        <w:rPr>
          <w:b/>
        </w:rPr>
        <w:t xml:space="preserve">01. </w:t>
      </w:r>
      <w:r>
        <w:t>订单表描述订单标识、运单关联和货物基本属性，工作表名称应为“订单”。</w:t>
      </w:r>
    </w:p>
    <w:p>
      <w:pPr>
        <w:ind w:left="173" w:hanging="173"/>
      </w:pPr>
      <w:r>
        <w:rPr>
          <w:b/>
        </w:rPr>
        <w:t xml:space="preserve">02. </w:t>
      </w:r>
      <w:r>
        <w:t>order_number 为订单编号，应按文本保存并保留原始编号。</w:t>
      </w:r>
    </w:p>
    <w:p>
      <w:pPr>
        <w:ind w:left="173" w:hanging="173"/>
      </w:pPr>
      <w:r>
        <w:rPr>
          <w:b/>
        </w:rPr>
        <w:t xml:space="preserve">03. </w:t>
      </w:r>
      <w:r>
        <w:t>waybill_number 为运单编号，用于与运单表关联。</w:t>
      </w:r>
    </w:p>
    <w:p>
      <w:pPr>
        <w:ind w:left="173" w:hanging="173"/>
      </w:pPr>
      <w:r>
        <w:rPr>
          <w:b/>
        </w:rPr>
        <w:t xml:space="preserve">04. </w:t>
      </w:r>
      <w:r>
        <w:t>订单号和运单号含义不同，不得随意互相替代。</w:t>
      </w:r>
    </w:p>
    <w:p>
      <w:pPr>
        <w:ind w:left="173" w:hanging="173"/>
      </w:pPr>
      <w:r>
        <w:rPr>
          <w:b/>
        </w:rPr>
        <w:t xml:space="preserve">05. </w:t>
      </w:r>
      <w:r>
        <w:t>weight_kg 表示重量，单位为千克；非空值应为可解析的非负数值。</w:t>
      </w:r>
    </w:p>
    <w:p>
      <w:pPr>
        <w:ind w:left="173" w:hanging="173"/>
      </w:pPr>
      <w:r>
        <w:rPr>
          <w:b/>
        </w:rPr>
        <w:t xml:space="preserve">06. </w:t>
      </w:r>
      <w:r>
        <w:t>volume_m3 表示体积，单位为立方米；源单位不同必须明确换算。</w:t>
      </w:r>
    </w:p>
    <w:p>
      <w:pPr>
        <w:ind w:left="173" w:hanging="173"/>
      </w:pPr>
      <w:r>
        <w:rPr>
          <w:b/>
        </w:rPr>
        <w:t xml:space="preserve">07. </w:t>
      </w:r>
      <w:r>
        <w:t>package_count 表示包裹件数，应为可解析的非负整数。</w:t>
      </w:r>
    </w:p>
    <w:p>
      <w:pPr>
        <w:ind w:left="173" w:hanging="173"/>
      </w:pPr>
      <w:r>
        <w:rPr>
          <w:b/>
        </w:rPr>
        <w:t xml:space="preserve">08. </w:t>
      </w:r>
      <w:r>
        <w:t>origin_site 与 destination_site 表示起点和终点网点。</w:t>
      </w:r>
    </w:p>
    <w:p>
      <w:pPr>
        <w:ind w:left="173" w:hanging="173"/>
      </w:pPr>
      <w:r>
        <w:rPr>
          <w:b/>
        </w:rPr>
        <w:t xml:space="preserve">09. </w:t>
      </w:r>
      <w:r>
        <w:t>delivery_time 表示妥投时间，非空时必须能解析为日期时间。</w:t>
      </w:r>
    </w:p>
    <w:p>
      <w:pPr>
        <w:ind w:left="173" w:hanging="173"/>
      </w:pPr>
      <w:r>
        <w:rPr>
          <w:b/>
        </w:rPr>
        <w:t xml:space="preserve">10. </w:t>
      </w:r>
      <w:r>
        <w:t>表头放在第一行，不要合并表头或在表头上方增加说明行。</w:t>
      </w:r>
    </w:p>
    <w:p>
      <w:pPr>
        <w:ind w:left="173" w:hanging="173"/>
      </w:pPr>
      <w:r>
        <w:rPr>
          <w:b/>
        </w:rPr>
        <w:t xml:space="preserve">11. </w:t>
      </w:r>
      <w:r>
        <w:t>数值单元格只填数值，不要混入 kg、m³ 等单位文字。</w:t>
      </w:r>
    </w:p>
    <w:p>
      <w:pPr>
        <w:ind w:left="173" w:hanging="173"/>
      </w:pPr>
      <w:r>
        <w:rPr>
          <w:b/>
        </w:rPr>
        <w:t xml:space="preserve">12. </w:t>
      </w:r>
      <w:r>
        <w:t>缺失值保持为空，不能把缺失重量或件数当作真实0。</w:t>
      </w:r>
    </w:p>
    <w:p>
      <w:pPr>
        <w:ind w:left="173" w:hanging="173"/>
      </w:pPr>
      <w:r>
        <w:rPr>
          <w:b/>
        </w:rPr>
        <w:t xml:space="preserve">13. </w:t>
      </w:r>
      <w:r>
        <w:t>订单示例必须使用 DEMO 等虚构标识，不使用真实客户信息。</w:t>
      </w:r>
    </w:p>
    <w:p>
      <w:pPr>
        <w:ind w:left="173" w:hanging="173"/>
      </w:pPr>
      <w:r>
        <w:rPr>
          <w:b/>
        </w:rPr>
        <w:t xml:space="preserve">14. </w:t>
      </w:r>
      <w:r>
        <w:t>填写后检查运单号空值、首尾空格、格式差异和重复关系。</w:t>
      </w:r>
    </w:p>
    <w:p>
      <w:r>
        <w:rPr>
          <w:b/>
        </w:rPr>
        <w:t>本页核对要点：</w:t>
      </w:r>
      <w:r>
        <w:t>字段含义与单位明确；异常处理可追溯；不把估算或演示数据表述为实测结果。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8"/>
        </w:rPr>
        <w:t>第24页  运单工作表填写</w:t>
      </w:r>
    </w:p>
    <w:p>
      <w:pPr>
        <w:jc w:val="center"/>
      </w:pPr>
      <w:r>
        <w:rPr>
          <w:i/>
          <w:sz w:val="16"/>
        </w:rPr>
        <w:t>章节：数据输入｜初稿</w:t>
      </w:r>
    </w:p>
    <w:p>
      <w:r>
        <w:rPr>
          <w:b/>
        </w:rPr>
        <w:t>操作说明：</w:t>
      </w:r>
      <w:r>
        <w:t>本页内容依据团队任务书、数据字典和用户数据输入规范整理；未验证的程序行为以当前分支实际实现为准。</w:t>
      </w:r>
    </w:p>
    <w:p>
      <w:pPr>
        <w:ind w:left="173" w:hanging="173"/>
      </w:pPr>
      <w:r>
        <w:rPr>
          <w:b/>
        </w:rPr>
        <w:t xml:space="preserve">01. </w:t>
      </w:r>
      <w:r>
        <w:t>运单表是里程、车辆、时间和起终点分析的主要输入，工作表名称为“运单”。</w:t>
      </w:r>
    </w:p>
    <w:p>
      <w:pPr>
        <w:ind w:left="173" w:hanging="173"/>
      </w:pPr>
      <w:r>
        <w:rPr>
          <w:b/>
        </w:rPr>
        <w:t xml:space="preserve">02. </w:t>
      </w:r>
      <w:r>
        <w:t>waybill_number 为运单编号，应按文本保存。</w:t>
      </w:r>
    </w:p>
    <w:p>
      <w:pPr>
        <w:ind w:left="173" w:hanging="173"/>
      </w:pPr>
      <w:r>
        <w:rPr>
          <w:b/>
        </w:rPr>
        <w:t xml:space="preserve">03. </w:t>
      </w:r>
      <w:r>
        <w:t>vehicle_number 为车辆标识；公开模板不得出现真实车牌。</w:t>
      </w:r>
    </w:p>
    <w:p>
      <w:pPr>
        <w:ind w:left="173" w:hanging="173"/>
      </w:pPr>
      <w:r>
        <w:rPr>
          <w:b/>
        </w:rPr>
        <w:t xml:space="preserve">04. </w:t>
      </w:r>
      <w:r>
        <w:t>vehicle_type_name 为车型名称，应与车辆表车型目录匹配。</w:t>
      </w:r>
    </w:p>
    <w:p>
      <w:pPr>
        <w:ind w:left="173" w:hanging="173"/>
      </w:pPr>
      <w:r>
        <w:rPr>
          <w:b/>
        </w:rPr>
        <w:t xml:space="preserve">05. </w:t>
      </w:r>
      <w:r>
        <w:t>distance_km 表示实际行驶里程，单位km，必须为可解析正数。</w:t>
      </w:r>
    </w:p>
    <w:p>
      <w:pPr>
        <w:ind w:left="173" w:hanging="173"/>
      </w:pPr>
      <w:r>
        <w:rPr>
          <w:b/>
        </w:rPr>
        <w:t xml:space="preserve">06. </w:t>
      </w:r>
      <w:r>
        <w:t>departure_time 表示发车/封车时间，必须可解析。</w:t>
      </w:r>
    </w:p>
    <w:p>
      <w:pPr>
        <w:ind w:left="173" w:hanging="173"/>
      </w:pPr>
      <w:r>
        <w:rPr>
          <w:b/>
        </w:rPr>
        <w:t xml:space="preserve">07. </w:t>
      </w:r>
      <w:r>
        <w:t>arrival_time 表示到达/解封车时间，不能早于发车时间。</w:t>
      </w:r>
    </w:p>
    <w:p>
      <w:pPr>
        <w:ind w:left="173" w:hanging="173"/>
      </w:pPr>
      <w:r>
        <w:rPr>
          <w:b/>
        </w:rPr>
        <w:t xml:space="preserve">08. </w:t>
      </w:r>
      <w:r>
        <w:t>origin_site 与 destination_site 用于线路分析。</w:t>
      </w:r>
    </w:p>
    <w:p>
      <w:pPr>
        <w:ind w:left="173" w:hanging="173"/>
      </w:pPr>
      <w:r>
        <w:rPr>
          <w:b/>
        </w:rPr>
        <w:t xml:space="preserve">09. </w:t>
      </w:r>
      <w:r>
        <w:t>如提供 weight_kg，必须明确其含义是货物重量还是其他重量字段。</w:t>
      </w:r>
    </w:p>
    <w:p>
      <w:pPr>
        <w:ind w:left="173" w:hanging="173"/>
      </w:pPr>
      <w:r>
        <w:rPr>
          <w:b/>
        </w:rPr>
        <w:t xml:space="preserve">10. </w:t>
      </w:r>
      <w:r>
        <w:t>时间格式和时区应保持一致。</w:t>
      </w:r>
    </w:p>
    <w:p>
      <w:pPr>
        <w:ind w:left="173" w:hanging="173"/>
      </w:pPr>
      <w:r>
        <w:rPr>
          <w:b/>
        </w:rPr>
        <w:t xml:space="preserve">11. </w:t>
      </w:r>
      <w:r>
        <w:t>源文件没有平均速度列时，不得猜测填入实测速度。</w:t>
      </w:r>
    </w:p>
    <w:p>
      <w:pPr>
        <w:ind w:left="173" w:hanging="173"/>
      </w:pPr>
      <w:r>
        <w:rPr>
          <w:b/>
        </w:rPr>
        <w:t xml:space="preserve">12. </w:t>
      </w:r>
      <w:r>
        <w:t>由里程除以正时长反算的速度属于计算值，应标明来源。</w:t>
      </w:r>
    </w:p>
    <w:p>
      <w:pPr>
        <w:ind w:left="173" w:hanging="173"/>
      </w:pPr>
      <w:r>
        <w:rPr>
          <w:b/>
        </w:rPr>
        <w:t xml:space="preserve">13. </w:t>
      </w:r>
      <w:r>
        <w:t>相同运单号不必然意味着完全相同的物理路段，不应一律删除。</w:t>
      </w:r>
    </w:p>
    <w:p>
      <w:pPr>
        <w:ind w:left="173" w:hanging="173"/>
      </w:pPr>
      <w:r>
        <w:rPr>
          <w:b/>
        </w:rPr>
        <w:t xml:space="preserve">14. </w:t>
      </w:r>
      <w:r>
        <w:t>异常速度和时间应标记、回查源记录并保留处理痕迹。</w:t>
      </w:r>
    </w:p>
    <w:p>
      <w:r>
        <w:rPr>
          <w:b/>
        </w:rPr>
        <w:t>本页核对要点：</w:t>
      </w:r>
      <w:r>
        <w:t>字段含义与单位明确；异常处理可追溯；不把估算或演示数据表述为实测结果。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8"/>
        </w:rPr>
        <w:t>第25页  车辆工作表与车型映射</w:t>
      </w:r>
    </w:p>
    <w:p>
      <w:pPr>
        <w:jc w:val="center"/>
      </w:pPr>
      <w:r>
        <w:rPr>
          <w:i/>
          <w:sz w:val="16"/>
        </w:rPr>
        <w:t>章节：数据输入｜初稿</w:t>
      </w:r>
    </w:p>
    <w:p>
      <w:r>
        <w:rPr>
          <w:b/>
        </w:rPr>
        <w:t>操作说明：</w:t>
      </w:r>
      <w:r>
        <w:t>本页内容依据团队任务书、数据字典和用户数据输入规范整理；未验证的程序行为以当前分支实际实现为准。</w:t>
      </w:r>
    </w:p>
    <w:p>
      <w:pPr>
        <w:ind w:left="173" w:hanging="173"/>
      </w:pPr>
      <w:r>
        <w:rPr>
          <w:b/>
        </w:rPr>
        <w:t xml:space="preserve">01. </w:t>
      </w:r>
      <w:r>
        <w:t>车辆表用于提供车型目录、燃料类型和车辆属性，工作表名称为“车辆”。</w:t>
      </w:r>
    </w:p>
    <w:p>
      <w:pPr>
        <w:ind w:left="173" w:hanging="173"/>
      </w:pPr>
      <w:r>
        <w:rPr>
          <w:b/>
        </w:rPr>
        <w:t xml:space="preserve">02. </w:t>
      </w:r>
      <w:r>
        <w:t>vehicle_type_name 为车型名称，应与运单表保持一致。</w:t>
      </w:r>
    </w:p>
    <w:p>
      <w:pPr>
        <w:ind w:left="173" w:hanging="173"/>
      </w:pPr>
      <w:r>
        <w:rPr>
          <w:b/>
        </w:rPr>
        <w:t xml:space="preserve">03. </w:t>
      </w:r>
      <w:r>
        <w:t>vehicle_type_code 为可选车型编码，应按源值保存。</w:t>
      </w:r>
    </w:p>
    <w:p>
      <w:pPr>
        <w:ind w:left="173" w:hanging="173"/>
      </w:pPr>
      <w:r>
        <w:rPr>
          <w:b/>
        </w:rPr>
        <w:t xml:space="preserve">04. </w:t>
      </w:r>
      <w:r>
        <w:t>fuel_type 表示燃料类型；源数据未提供时应保持缺失并报告。</w:t>
      </w:r>
    </w:p>
    <w:p>
      <w:pPr>
        <w:ind w:left="173" w:hanging="173"/>
      </w:pPr>
      <w:r>
        <w:rPr>
          <w:b/>
        </w:rPr>
        <w:t xml:space="preserve">05. </w:t>
      </w:r>
      <w:r>
        <w:t>capacity_kg 仅在源值确实代表载重能力时使用，单位为kg。</w:t>
      </w:r>
    </w:p>
    <w:p>
      <w:pPr>
        <w:ind w:left="173" w:hanging="173"/>
      </w:pPr>
      <w:r>
        <w:rPr>
          <w:b/>
        </w:rPr>
        <w:t xml:space="preserve">06. </w:t>
      </w:r>
      <w:r>
        <w:t>vehicle_category 应遵循项目已确认的分类规则。</w:t>
      </w:r>
    </w:p>
    <w:p>
      <w:pPr>
        <w:ind w:left="173" w:hanging="173"/>
      </w:pPr>
      <w:r>
        <w:rPr>
          <w:b/>
        </w:rPr>
        <w:t xml:space="preserve">07. </w:t>
      </w:r>
      <w:r>
        <w:t>车辆目录中的载重可能代表载质量、整车总质量或准牵引总质量。</w:t>
      </w:r>
    </w:p>
    <w:p>
      <w:pPr>
        <w:ind w:left="173" w:hanging="173"/>
      </w:pPr>
      <w:r>
        <w:rPr>
          <w:b/>
        </w:rPr>
        <w:t xml:space="preserve">08. </w:t>
      </w:r>
      <w:r>
        <w:t>不同载重口径不等价，不能直接混用。</w:t>
      </w:r>
    </w:p>
    <w:p>
      <w:pPr>
        <w:ind w:left="173" w:hanging="173"/>
      </w:pPr>
      <w:r>
        <w:rPr>
          <w:b/>
        </w:rPr>
        <w:t xml:space="preserve">09. </w:t>
      </w:r>
      <w:r>
        <w:t>应保留源载重、换算规则和映射说明。</w:t>
      </w:r>
    </w:p>
    <w:p>
      <w:pPr>
        <w:ind w:left="173" w:hanging="173"/>
      </w:pPr>
      <w:r>
        <w:rPr>
          <w:b/>
        </w:rPr>
        <w:t xml:space="preserve">10. </w:t>
      </w:r>
      <w:r>
        <w:t>车型目录匹配率与基准车型映射覆盖率是不同指标。</w:t>
      </w:r>
    </w:p>
    <w:p>
      <w:pPr>
        <w:ind w:left="173" w:hanging="173"/>
      </w:pPr>
      <w:r>
        <w:rPr>
          <w:b/>
        </w:rPr>
        <w:t xml:space="preserve">11. </w:t>
      </w:r>
      <w:r>
        <w:t>车型名称匹配成功不代表排放因子映射一定成功。</w:t>
      </w:r>
    </w:p>
    <w:p>
      <w:pPr>
        <w:ind w:left="173" w:hanging="173"/>
      </w:pPr>
      <w:r>
        <w:rPr>
          <w:b/>
        </w:rPr>
        <w:t xml:space="preserve">12. </w:t>
      </w:r>
      <w:r>
        <w:t>未知车型应先检查别名、空格、编码和目录版本，不要凭猜测指定燃料。</w:t>
      </w:r>
    </w:p>
    <w:p>
      <w:pPr>
        <w:ind w:left="173" w:hanging="173"/>
      </w:pPr>
      <w:r>
        <w:rPr>
          <w:b/>
        </w:rPr>
        <w:t xml:space="preserve">13. </w:t>
      </w:r>
      <w:r>
        <w:t>车型映射规则更新后，应同步更新数据字典和测试。</w:t>
      </w:r>
    </w:p>
    <w:p>
      <w:r>
        <w:rPr>
          <w:b/>
        </w:rPr>
        <w:t>本页核对要点：</w:t>
      </w:r>
      <w:r>
        <w:t>字段含义与单位明确；异常处理可追溯；不把估算或演示数据表述为实测结果。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8"/>
        </w:rPr>
        <w:t>第26页  校验命令与流程</w:t>
      </w:r>
    </w:p>
    <w:p>
      <w:pPr>
        <w:jc w:val="center"/>
      </w:pPr>
      <w:r>
        <w:rPr>
          <w:i/>
          <w:sz w:val="16"/>
        </w:rPr>
        <w:t>章节：数据输入｜初稿</w:t>
      </w:r>
    </w:p>
    <w:p>
      <w:r>
        <w:rPr>
          <w:b/>
        </w:rPr>
        <w:t>操作说明：</w:t>
      </w:r>
      <w:r>
        <w:t>本页内容依据团队任务书、数据字典和用户数据输入规范整理；未验证的程序行为以当前分支实际实现为准。</w:t>
      </w:r>
    </w:p>
    <w:p>
      <w:pPr>
        <w:ind w:left="173" w:hanging="173"/>
      </w:pPr>
      <w:r>
        <w:rPr>
          <w:b/>
        </w:rPr>
        <w:t xml:space="preserve">01. </w:t>
      </w:r>
      <w:r>
        <w:t>输入校验用于在正式处理前发现文件、字段和业务逻辑问题。</w:t>
      </w:r>
    </w:p>
    <w:p>
      <w:pPr>
        <w:ind w:left="173" w:hanging="173"/>
      </w:pPr>
      <w:r>
        <w:rPr>
          <w:b/>
        </w:rPr>
        <w:t xml:space="preserve">02. </w:t>
      </w:r>
      <w:r>
        <w:t>任务书规定的目标校验命令为 python -m tools.import_data --validate。</w:t>
      </w:r>
    </w:p>
    <w:p>
      <w:pPr>
        <w:ind w:left="173" w:hanging="173"/>
      </w:pPr>
      <w:r>
        <w:rPr>
          <w:b/>
        </w:rPr>
        <w:t xml:space="preserve">03. </w:t>
      </w:r>
      <w:r>
        <w:t>该命令只有在当前分支存在并通过测试后，才可视为可用。</w:t>
      </w:r>
    </w:p>
    <w:p>
      <w:pPr>
        <w:ind w:left="173" w:hanging="173"/>
      </w:pPr>
      <w:r>
        <w:rPr>
          <w:b/>
        </w:rPr>
        <w:t xml:space="preserve">04. </w:t>
      </w:r>
      <w:r>
        <w:t>任务书约定退出码：0表示通过，2表示输入错误，1表示系统错误。</w:t>
      </w:r>
    </w:p>
    <w:p>
      <w:pPr>
        <w:ind w:left="173" w:hanging="173"/>
      </w:pPr>
      <w:r>
        <w:rPr>
          <w:b/>
        </w:rPr>
        <w:t xml:space="preserve">05. </w:t>
      </w:r>
      <w:r>
        <w:t>校验通过后，目标流程执行 python -m src.pipeline。</w:t>
      </w:r>
    </w:p>
    <w:p>
      <w:pPr>
        <w:ind w:left="173" w:hanging="173"/>
      </w:pPr>
      <w:r>
        <w:rPr>
          <w:b/>
        </w:rPr>
        <w:t xml:space="preserve">06. </w:t>
      </w:r>
      <w:r>
        <w:t>应用启动目标命令为 python -m streamlit run app/app.py。</w:t>
      </w:r>
    </w:p>
    <w:p>
      <w:pPr>
        <w:ind w:left="173" w:hanging="173"/>
      </w:pPr>
      <w:r>
        <w:rPr>
          <w:b/>
        </w:rPr>
        <w:t xml:space="preserve">07. </w:t>
      </w:r>
      <w:r>
        <w:t>先确认终端当前目录是项目仓库根目录。</w:t>
      </w:r>
    </w:p>
    <w:p>
      <w:pPr>
        <w:ind w:left="173" w:hanging="173"/>
      </w:pPr>
      <w:r>
        <w:rPr>
          <w:b/>
        </w:rPr>
        <w:t xml:space="preserve">08. </w:t>
      </w:r>
      <w:r>
        <w:t>校验程序应检查文件可读性、工作表和必需列。</w:t>
      </w:r>
    </w:p>
    <w:p>
      <w:pPr>
        <w:ind w:left="173" w:hanging="173"/>
      </w:pPr>
      <w:r>
        <w:rPr>
          <w:b/>
        </w:rPr>
        <w:t xml:space="preserve">09. </w:t>
      </w:r>
      <w:r>
        <w:t>缺列提示应指出文件、工作表和缺少的列名。</w:t>
      </w:r>
    </w:p>
    <w:p>
      <w:pPr>
        <w:ind w:left="173" w:hanging="173"/>
      </w:pPr>
      <w:r>
        <w:rPr>
          <w:b/>
        </w:rPr>
        <w:t xml:space="preserve">10. </w:t>
      </w:r>
      <w:r>
        <w:t>随后检查标识字段、数值、单位和时间是否可解析。</w:t>
      </w:r>
    </w:p>
    <w:p>
      <w:pPr>
        <w:ind w:left="173" w:hanging="173"/>
      </w:pPr>
      <w:r>
        <w:rPr>
          <w:b/>
        </w:rPr>
        <w:t xml:space="preserve">11. </w:t>
      </w:r>
      <w:r>
        <w:t>里程必须大于0；到达时间不得早于发车时间。</w:t>
      </w:r>
    </w:p>
    <w:p>
      <w:pPr>
        <w:ind w:left="173" w:hanging="173"/>
      </w:pPr>
      <w:r>
        <w:rPr>
          <w:b/>
        </w:rPr>
        <w:t xml:space="preserve">12. </w:t>
      </w:r>
      <w:r>
        <w:t>报告应统计订单—运单关联、车型匹配和重复记录。</w:t>
      </w:r>
    </w:p>
    <w:p>
      <w:pPr>
        <w:ind w:left="173" w:hanging="173"/>
      </w:pPr>
      <w:r>
        <w:rPr>
          <w:b/>
        </w:rPr>
        <w:t xml:space="preserve">13. </w:t>
      </w:r>
      <w:r>
        <w:t>FAIL应阻断不可靠数据继续处理；WARN应记录并按规则复核。</w:t>
      </w:r>
    </w:p>
    <w:p>
      <w:pPr>
        <w:ind w:left="173" w:hanging="173"/>
      </w:pPr>
      <w:r>
        <w:rPr>
          <w:b/>
        </w:rPr>
        <w:t xml:space="preserve">14. </w:t>
      </w:r>
      <w:r>
        <w:t>校验不应修改原始文件，也不应覆盖已有有效处理结果。</w:t>
      </w:r>
    </w:p>
    <w:p>
      <w:r>
        <w:rPr>
          <w:b/>
        </w:rPr>
        <w:t>本页核对要点：</w:t>
      </w:r>
      <w:r>
        <w:t>字段含义与单位明确；异常处理可追溯；不把估算或演示数据表述为实测结果。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8"/>
        </w:rPr>
        <w:t>第27页  错误提示与排查</w:t>
      </w:r>
    </w:p>
    <w:p>
      <w:pPr>
        <w:jc w:val="center"/>
      </w:pPr>
      <w:r>
        <w:rPr>
          <w:i/>
          <w:sz w:val="16"/>
        </w:rPr>
        <w:t>章节：数据输入｜初稿</w:t>
      </w:r>
    </w:p>
    <w:p>
      <w:r>
        <w:rPr>
          <w:b/>
        </w:rPr>
        <w:t>操作说明：</w:t>
      </w:r>
      <w:r>
        <w:t>本页内容依据团队任务书、数据字典和用户数据输入规范整理；未验证的程序行为以当前分支实际实现为准。</w:t>
      </w:r>
    </w:p>
    <w:p>
      <w:pPr>
        <w:ind w:left="173" w:hanging="173"/>
      </w:pPr>
      <w:r>
        <w:rPr>
          <w:b/>
        </w:rPr>
        <w:t xml:space="preserve">01. </w:t>
      </w:r>
      <w:r>
        <w:t>错误提示应包含文件、工作表、行号、列名、原因和建议操作。</w:t>
      </w:r>
    </w:p>
    <w:p>
      <w:pPr>
        <w:ind w:left="173" w:hanging="173"/>
      </w:pPr>
      <w:r>
        <w:rPr>
          <w:b/>
        </w:rPr>
        <w:t xml:space="preserve">02. </w:t>
      </w:r>
      <w:r>
        <w:t>缺列示例：[FAIL] 附件1 / 运单数据：缺少列“实际行驶里程（km）”。</w:t>
      </w:r>
    </w:p>
    <w:p>
      <w:pPr>
        <w:ind w:left="173" w:hanging="173"/>
      </w:pPr>
      <w:r>
        <w:rPr>
          <w:b/>
        </w:rPr>
        <w:t xml:space="preserve">03. </w:t>
      </w:r>
      <w:r>
        <w:t>时间错误示例：[FAIL] 第128行：arrival_time 早于 departure_time。</w:t>
      </w:r>
    </w:p>
    <w:p>
      <w:pPr>
        <w:ind w:left="173" w:hanging="173"/>
      </w:pPr>
      <w:r>
        <w:rPr>
          <w:b/>
        </w:rPr>
        <w:t xml:space="preserve">04. </w:t>
      </w:r>
      <w:r>
        <w:t>文件无法读取时，检查文件是否损坏、加密或扩展名错误。</w:t>
      </w:r>
    </w:p>
    <w:p>
      <w:pPr>
        <w:ind w:left="173" w:hanging="173"/>
      </w:pPr>
      <w:r>
        <w:rPr>
          <w:b/>
        </w:rPr>
        <w:t xml:space="preserve">05. </w:t>
      </w:r>
      <w:r>
        <w:t>工作表缺失时，检查名称、空格、大小写和中文命名差异。</w:t>
      </w:r>
    </w:p>
    <w:p>
      <w:pPr>
        <w:ind w:left="173" w:hanging="173"/>
      </w:pPr>
      <w:r>
        <w:rPr>
          <w:b/>
        </w:rPr>
        <w:t xml:space="preserve">06. </w:t>
      </w:r>
      <w:r>
        <w:t>缺列时检查表头是否在第一行，以及是否误删字段。</w:t>
      </w:r>
    </w:p>
    <w:p>
      <w:pPr>
        <w:ind w:left="173" w:hanging="173"/>
      </w:pPr>
      <w:r>
        <w:rPr>
          <w:b/>
        </w:rPr>
        <w:t xml:space="preserve">07. </w:t>
      </w:r>
      <w:r>
        <w:t>数值解析失败时检查单位文字、逗号和非数字符号。</w:t>
      </w:r>
    </w:p>
    <w:p>
      <w:pPr>
        <w:ind w:left="173" w:hanging="173"/>
      </w:pPr>
      <w:r>
        <w:rPr>
          <w:b/>
        </w:rPr>
        <w:t xml:space="preserve">08. </w:t>
      </w:r>
      <w:r>
        <w:t>里程为0或负数时回查源数据，不要随意替换成任意正数。</w:t>
      </w:r>
    </w:p>
    <w:p>
      <w:pPr>
        <w:ind w:left="173" w:hanging="173"/>
      </w:pPr>
      <w:r>
        <w:rPr>
          <w:b/>
        </w:rPr>
        <w:t xml:space="preserve">09. </w:t>
      </w:r>
      <w:r>
        <w:t>时间倒挂时核对日期格式、跨日运输和源系统时间。</w:t>
      </w:r>
    </w:p>
    <w:p>
      <w:pPr>
        <w:ind w:left="173" w:hanging="173"/>
      </w:pPr>
      <w:r>
        <w:rPr>
          <w:b/>
        </w:rPr>
        <w:t xml:space="preserve">10. </w:t>
      </w:r>
      <w:r>
        <w:t>车型未匹配时检查车型别名、编码和车辆目录版本。</w:t>
      </w:r>
    </w:p>
    <w:p>
      <w:pPr>
        <w:ind w:left="173" w:hanging="173"/>
      </w:pPr>
      <w:r>
        <w:rPr>
          <w:b/>
        </w:rPr>
        <w:t xml:space="preserve">11. </w:t>
      </w:r>
      <w:r>
        <w:t>关联率异常时检查空格、前导零、文本格式和编号版本。</w:t>
      </w:r>
    </w:p>
    <w:p>
      <w:pPr>
        <w:ind w:left="173" w:hanging="173"/>
      </w:pPr>
      <w:r>
        <w:rPr>
          <w:b/>
        </w:rPr>
        <w:t xml:space="preserve">12. </w:t>
      </w:r>
      <w:r>
        <w:t>速度异常时检查里程单位、时间单位和速度来源。</w:t>
      </w:r>
    </w:p>
    <w:p>
      <w:pPr>
        <w:ind w:left="173" w:hanging="173"/>
      </w:pPr>
      <w:r>
        <w:rPr>
          <w:b/>
        </w:rPr>
        <w:t xml:space="preserve">13. </w:t>
      </w:r>
      <w:r>
        <w:t>不要通过删除异常行来掩盖数据质量问题。</w:t>
      </w:r>
    </w:p>
    <w:p>
      <w:pPr>
        <w:ind w:left="173" w:hanging="173"/>
      </w:pPr>
      <w:r>
        <w:rPr>
          <w:b/>
        </w:rPr>
        <w:t xml:space="preserve">14. </w:t>
      </w:r>
      <w:r>
        <w:t>修复后重新执行校验并保存新的报告。</w:t>
      </w:r>
    </w:p>
    <w:p>
      <w:r>
        <w:rPr>
          <w:b/>
        </w:rPr>
        <w:t>本页核对要点：</w:t>
      </w:r>
      <w:r>
        <w:t>字段含义与单位明确；异常处理可追溯；不把估算或演示数据表述为实测结果。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8"/>
        </w:rPr>
        <w:t>第28页  清洗、去重与追溯</w:t>
      </w:r>
    </w:p>
    <w:p>
      <w:pPr>
        <w:jc w:val="center"/>
      </w:pPr>
      <w:r>
        <w:rPr>
          <w:i/>
          <w:sz w:val="16"/>
        </w:rPr>
        <w:t>章节：数据输入｜初稿</w:t>
      </w:r>
    </w:p>
    <w:p>
      <w:r>
        <w:rPr>
          <w:b/>
        </w:rPr>
        <w:t>操作说明：</w:t>
      </w:r>
      <w:r>
        <w:t>本页内容依据团队任务书、数据字典和用户数据输入规范整理；未验证的程序行为以当前分支实际实现为准。</w:t>
      </w:r>
    </w:p>
    <w:p>
      <w:pPr>
        <w:ind w:left="173" w:hanging="173"/>
      </w:pPr>
      <w:r>
        <w:rPr>
          <w:b/>
        </w:rPr>
        <w:t xml:space="preserve">01. </w:t>
      </w:r>
      <w:r>
        <w:t>清洗应提高数据可用性，同时保留原始记录和处理依据。</w:t>
      </w:r>
    </w:p>
    <w:p>
      <w:pPr>
        <w:ind w:left="173" w:hanging="173"/>
      </w:pPr>
      <w:r>
        <w:rPr>
          <w:b/>
        </w:rPr>
        <w:t xml:space="preserve">02. </w:t>
      </w:r>
      <w:r>
        <w:t>订单与运单按确认的运单号规则关联，并记录匹配状态。</w:t>
      </w:r>
    </w:p>
    <w:p>
      <w:pPr>
        <w:ind w:left="173" w:hanging="173"/>
      </w:pPr>
      <w:r>
        <w:rPr>
          <w:b/>
        </w:rPr>
        <w:t xml:space="preserve">03. </w:t>
      </w:r>
      <w:r>
        <w:t>车型目录匹配应单独记录，不应仅凭最终车型字段非空推断成功。</w:t>
      </w:r>
    </w:p>
    <w:p>
      <w:pPr>
        <w:ind w:left="173" w:hanging="173"/>
      </w:pPr>
      <w:r>
        <w:rPr>
          <w:b/>
        </w:rPr>
        <w:t xml:space="preserve">04. </w:t>
      </w:r>
      <w:r>
        <w:t>当前数据字典记录的段级去重键包含运单号、车辆标识、里程和封/解车时间。</w:t>
      </w:r>
    </w:p>
    <w:p>
      <w:pPr>
        <w:ind w:left="173" w:hanging="173"/>
      </w:pPr>
      <w:r>
        <w:rPr>
          <w:b/>
        </w:rPr>
        <w:t xml:space="preserve">05. </w:t>
      </w:r>
      <w:r>
        <w:t>时间不完整时，现有数据字典说明会回退使用运单号、车辆、里程和起终点组合。</w:t>
      </w:r>
    </w:p>
    <w:p>
      <w:pPr>
        <w:ind w:left="173" w:hanging="173"/>
      </w:pPr>
      <w:r>
        <w:rPr>
          <w:b/>
        </w:rPr>
        <w:t xml:space="preserve">06. </w:t>
      </w:r>
      <w:r>
        <w:t>运单号或车辆标识缺失时，不应自动认定为重复。</w:t>
      </w:r>
    </w:p>
    <w:p>
      <w:pPr>
        <w:ind w:left="173" w:hanging="173"/>
      </w:pPr>
      <w:r>
        <w:rPr>
          <w:b/>
        </w:rPr>
        <w:t xml:space="preserve">07. </w:t>
      </w:r>
      <w:r>
        <w:t>报告应保留去重前记录数、重复排除数和去重后物理路段数。</w:t>
      </w:r>
    </w:p>
    <w:p>
      <w:pPr>
        <w:ind w:left="173" w:hanging="173"/>
      </w:pPr>
      <w:r>
        <w:rPr>
          <w:b/>
        </w:rPr>
        <w:t xml:space="preserve">08. </w:t>
      </w:r>
      <w:r>
        <w:t>原始行号用于把处理结果回查到源工作表。</w:t>
      </w:r>
    </w:p>
    <w:p>
      <w:pPr>
        <w:ind w:left="173" w:hanging="173"/>
      </w:pPr>
      <w:r>
        <w:rPr>
          <w:b/>
        </w:rPr>
        <w:t xml:space="preserve">09. </w:t>
      </w:r>
      <w:r>
        <w:t>估算、代理和兜底字段应带标记及原因说明。</w:t>
      </w:r>
    </w:p>
    <w:p>
      <w:pPr>
        <w:ind w:left="173" w:hanging="173"/>
      </w:pPr>
      <w:r>
        <w:rPr>
          <w:b/>
        </w:rPr>
        <w:t xml:space="preserve">10. </w:t>
      </w:r>
      <w:r>
        <w:t>缺失重量、体积或包裹数不能被当作真实0。</w:t>
      </w:r>
    </w:p>
    <w:p>
      <w:pPr>
        <w:ind w:left="173" w:hanging="173"/>
      </w:pPr>
      <w:r>
        <w:rPr>
          <w:b/>
        </w:rPr>
        <w:t xml:space="preserve">11. </w:t>
      </w:r>
      <w:r>
        <w:t>异常时间的原始值应保留，任何计算兜底都要单独标记。</w:t>
      </w:r>
    </w:p>
    <w:p>
      <w:pPr>
        <w:ind w:left="173" w:hanging="173"/>
      </w:pPr>
      <w:r>
        <w:rPr>
          <w:b/>
        </w:rPr>
        <w:t xml:space="preserve">12. </w:t>
      </w:r>
      <w:r>
        <w:t>没有发票来源时，发票金额应为空或不适用，不得编造。</w:t>
      </w:r>
    </w:p>
    <w:p>
      <w:pPr>
        <w:ind w:left="173" w:hanging="173"/>
      </w:pPr>
      <w:r>
        <w:rPr>
          <w:b/>
        </w:rPr>
        <w:t xml:space="preserve">13. </w:t>
      </w:r>
      <w:r>
        <w:t>重复组内车型、燃料或因子输入冲突时应单独复核。</w:t>
      </w:r>
    </w:p>
    <w:p>
      <w:pPr>
        <w:ind w:left="173" w:hanging="173"/>
      </w:pPr>
      <w:r>
        <w:rPr>
          <w:b/>
        </w:rPr>
        <w:t xml:space="preserve">14. </w:t>
      </w:r>
      <w:r>
        <w:t>规则变化时应同步更新数据字典、报告和测试。</w:t>
      </w:r>
    </w:p>
    <w:p>
      <w:r>
        <w:rPr>
          <w:b/>
        </w:rPr>
        <w:t>本页核对要点：</w:t>
      </w:r>
      <w:r>
        <w:t>字段含义与单位明确；异常处理可追溯；不把估算或演示数据表述为实测结果。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8"/>
        </w:rPr>
        <w:t>第29页  基准核算目的与口径</w:t>
      </w:r>
    </w:p>
    <w:p>
      <w:pPr>
        <w:jc w:val="center"/>
      </w:pPr>
      <w:r>
        <w:rPr>
          <w:i/>
          <w:sz w:val="16"/>
        </w:rPr>
        <w:t>章节：基准核算｜初稿</w:t>
      </w:r>
    </w:p>
    <w:p>
      <w:r>
        <w:rPr>
          <w:b/>
        </w:rPr>
        <w:t>操作说明：</w:t>
      </w:r>
      <w:r>
        <w:t>本页内容依据团队任务书、数据字典和用户数据输入规范整理；未验证的程序行为以当前分支实际实现为准。</w:t>
      </w:r>
    </w:p>
    <w:p>
      <w:pPr>
        <w:ind w:left="173" w:hanging="173"/>
      </w:pPr>
      <w:r>
        <w:rPr>
          <w:b/>
        </w:rPr>
        <w:t xml:space="preserve">01. </w:t>
      </w:r>
      <w:r>
        <w:t>基准核算用于形成当前运输活动的可比较参考值。</w:t>
      </w:r>
    </w:p>
    <w:p>
      <w:pPr>
        <w:ind w:left="173" w:hanging="173"/>
      </w:pPr>
      <w:r>
        <w:rPr>
          <w:b/>
        </w:rPr>
        <w:t xml:space="preserve">02. </w:t>
      </w:r>
      <w:r>
        <w:t>基准结果应注明数据范围、时间范围、单位、因子来源和去重规则。</w:t>
      </w:r>
    </w:p>
    <w:p>
      <w:pPr>
        <w:ind w:left="173" w:hanging="173"/>
      </w:pPr>
      <w:r>
        <w:rPr>
          <w:b/>
        </w:rPr>
        <w:t xml:space="preserve">03. </w:t>
      </w:r>
      <w:r>
        <w:t>项目资料区分法定物理轨和VSP等不同核算口径，不应混为一个数字。</w:t>
      </w:r>
    </w:p>
    <w:p>
      <w:pPr>
        <w:ind w:left="173" w:hanging="173"/>
      </w:pPr>
      <w:r>
        <w:rPr>
          <w:b/>
        </w:rPr>
        <w:t xml:space="preserve">04. </w:t>
      </w:r>
      <w:r>
        <w:t>任务书记录的当前主账数值为法定物理轨2,258.44 t、VSP为2,324.65 t。</w:t>
      </w:r>
    </w:p>
    <w:p>
      <w:pPr>
        <w:ind w:left="173" w:hanging="173"/>
      </w:pPr>
      <w:r>
        <w:rPr>
          <w:b/>
        </w:rPr>
        <w:t xml:space="preserve">05. </w:t>
      </w:r>
      <w:r>
        <w:t>上述数值正式使用前仍需与团队冻结版本和计算报告核对。</w:t>
      </w:r>
    </w:p>
    <w:p>
      <w:pPr>
        <w:ind w:left="173" w:hanging="173"/>
      </w:pPr>
      <w:r>
        <w:rPr>
          <w:b/>
        </w:rPr>
        <w:t xml:space="preserve">06. </w:t>
      </w:r>
      <w:r>
        <w:t>基准值不代表所有车型、线路和时间段的统一强度。</w:t>
      </w:r>
    </w:p>
    <w:p>
      <w:pPr>
        <w:ind w:left="173" w:hanging="173"/>
      </w:pPr>
      <w:r>
        <w:rPr>
          <w:b/>
        </w:rPr>
        <w:t xml:space="preserve">07. </w:t>
      </w:r>
      <w:r>
        <w:t>先确认输入来源是真实竞赛附件还是合成演示数据。</w:t>
      </w:r>
    </w:p>
    <w:p>
      <w:pPr>
        <w:ind w:left="173" w:hanging="173"/>
      </w:pPr>
      <w:r>
        <w:rPr>
          <w:b/>
        </w:rPr>
        <w:t xml:space="preserve">08. </w:t>
      </w:r>
      <w:r>
        <w:t>演示数据只能用于流程展示，不能证明真实赛题核算结果。</w:t>
      </w:r>
    </w:p>
    <w:p>
      <w:pPr>
        <w:ind w:left="173" w:hanging="173"/>
      </w:pPr>
      <w:r>
        <w:rPr>
          <w:b/>
        </w:rPr>
        <w:t xml:space="preserve">09. </w:t>
      </w:r>
      <w:r>
        <w:t>核算前检查去重情况和重复组因子输入冲突。</w:t>
      </w:r>
    </w:p>
    <w:p>
      <w:pPr>
        <w:ind w:left="173" w:hanging="173"/>
      </w:pPr>
      <w:r>
        <w:rPr>
          <w:b/>
        </w:rPr>
        <w:t xml:space="preserve">10. </w:t>
      </w:r>
      <w:r>
        <w:t>统一里程、重量和排放量单位后再进行计算。</w:t>
      </w:r>
    </w:p>
    <w:p>
      <w:pPr>
        <w:ind w:left="173" w:hanging="173"/>
      </w:pPr>
      <w:r>
        <w:rPr>
          <w:b/>
        </w:rPr>
        <w:t xml:space="preserve">11. </w:t>
      </w:r>
      <w:r>
        <w:t>车型类别和因子必须遵循团队确认的映射规则。</w:t>
      </w:r>
    </w:p>
    <w:p>
      <w:pPr>
        <w:ind w:left="173" w:hanging="173"/>
      </w:pPr>
      <w:r>
        <w:rPr>
          <w:b/>
        </w:rPr>
        <w:t xml:space="preserve">12. </w:t>
      </w:r>
      <w:r>
        <w:t>缺失或估算字段应保留标记并在报告中披露。</w:t>
      </w:r>
    </w:p>
    <w:p>
      <w:pPr>
        <w:ind w:left="173" w:hanging="173"/>
      </w:pPr>
      <w:r>
        <w:rPr>
          <w:b/>
        </w:rPr>
        <w:t xml:space="preserve">13. </w:t>
      </w:r>
      <w:r>
        <w:t>基准报告应同时展示样本规模、总里程、异常数和估算数。</w:t>
      </w:r>
    </w:p>
    <w:p>
      <w:pPr>
        <w:ind w:left="173" w:hanging="173"/>
      </w:pPr>
      <w:r>
        <w:rPr>
          <w:b/>
        </w:rPr>
        <w:t xml:space="preserve">14. </w:t>
      </w:r>
      <w:r>
        <w:t>不同报告只有在数据源、边界和因子版本一致时才可比较。</w:t>
      </w:r>
    </w:p>
    <w:p>
      <w:r>
        <w:rPr>
          <w:b/>
        </w:rPr>
        <w:t>本页核对要点：</w:t>
      </w:r>
      <w:r>
        <w:t>字段含义与单位明确；异常处理可追溯；不把估算或演示数据表述为实测结果。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8"/>
        </w:rPr>
        <w:t>第30页  基准计算前检查</w:t>
      </w:r>
    </w:p>
    <w:p>
      <w:pPr>
        <w:jc w:val="center"/>
      </w:pPr>
      <w:r>
        <w:rPr>
          <w:i/>
          <w:sz w:val="16"/>
        </w:rPr>
        <w:t>章节：基准核算｜初稿</w:t>
      </w:r>
    </w:p>
    <w:p>
      <w:r>
        <w:rPr>
          <w:b/>
        </w:rPr>
        <w:t>操作说明：</w:t>
      </w:r>
      <w:r>
        <w:t>本页内容依据团队任务书、数据字典和用户数据输入规范整理；未验证的程序行为以当前分支实际实现为准。</w:t>
      </w:r>
    </w:p>
    <w:p>
      <w:pPr>
        <w:ind w:left="173" w:hanging="173"/>
      </w:pPr>
      <w:r>
        <w:rPr>
          <w:b/>
        </w:rPr>
        <w:t xml:space="preserve">01. </w:t>
      </w:r>
      <w:r>
        <w:t>先查看最近一次输入校验报告，确认阻断错误已经解决。</w:t>
      </w:r>
    </w:p>
    <w:p>
      <w:pPr>
        <w:ind w:left="173" w:hanging="173"/>
      </w:pPr>
      <w:r>
        <w:rPr>
          <w:b/>
        </w:rPr>
        <w:t xml:space="preserve">02. </w:t>
      </w:r>
      <w:r>
        <w:t>确认警告项已记录，并完成必要的业务复核。</w:t>
      </w:r>
    </w:p>
    <w:p>
      <w:pPr>
        <w:ind w:left="173" w:hanging="173"/>
      </w:pPr>
      <w:r>
        <w:rPr>
          <w:b/>
        </w:rPr>
        <w:t xml:space="preserve">03. </w:t>
      </w:r>
      <w:r>
        <w:t>检查订单—运单关联率的计算口径。</w:t>
      </w:r>
    </w:p>
    <w:p>
      <w:pPr>
        <w:ind w:left="173" w:hanging="173"/>
      </w:pPr>
      <w:r>
        <w:rPr>
          <w:b/>
        </w:rPr>
        <w:t xml:space="preserve">04. </w:t>
      </w:r>
      <w:r>
        <w:t>检查车型目录匹配率与基准车型映射覆盖率。</w:t>
      </w:r>
    </w:p>
    <w:p>
      <w:pPr>
        <w:ind w:left="173" w:hanging="173"/>
      </w:pPr>
      <w:r>
        <w:rPr>
          <w:b/>
        </w:rPr>
        <w:t xml:space="preserve">05. </w:t>
      </w:r>
      <w:r>
        <w:t>核对源运单数、重复排除数和去重后路段数。</w:t>
      </w:r>
    </w:p>
    <w:p>
      <w:pPr>
        <w:ind w:left="173" w:hanging="173"/>
      </w:pPr>
      <w:r>
        <w:rPr>
          <w:b/>
        </w:rPr>
        <w:t xml:space="preserve">06. </w:t>
      </w:r>
      <w:r>
        <w:t>确认里程均可解析且符合正数要求。</w:t>
      </w:r>
    </w:p>
    <w:p>
      <w:pPr>
        <w:ind w:left="173" w:hanging="173"/>
      </w:pPr>
      <w:r>
        <w:rPr>
          <w:b/>
        </w:rPr>
        <w:t xml:space="preserve">07. </w:t>
      </w:r>
      <w:r>
        <w:t>检查发车、到达时间缺失、倒挂和异常时长。</w:t>
      </w:r>
    </w:p>
    <w:p>
      <w:pPr>
        <w:ind w:left="173" w:hanging="173"/>
      </w:pPr>
      <w:r>
        <w:rPr>
          <w:b/>
        </w:rPr>
        <w:t xml:space="preserve">08. </w:t>
      </w:r>
      <w:r>
        <w:t>确认速度来自源字段还是由里程和时长反算。</w:t>
      </w:r>
    </w:p>
    <w:p>
      <w:pPr>
        <w:ind w:left="173" w:hanging="173"/>
      </w:pPr>
      <w:r>
        <w:rPr>
          <w:b/>
        </w:rPr>
        <w:t xml:space="preserve">09. </w:t>
      </w:r>
      <w:r>
        <w:t>核对车辆登记载重口径，避免总质量和有效载荷混用。</w:t>
      </w:r>
    </w:p>
    <w:p>
      <w:pPr>
        <w:ind w:left="173" w:hanging="173"/>
      </w:pPr>
      <w:r>
        <w:rPr>
          <w:b/>
        </w:rPr>
        <w:t xml:space="preserve">10. </w:t>
      </w:r>
      <w:r>
        <w:t>检查重量、体积和包裹数的缺失标记。</w:t>
      </w:r>
    </w:p>
    <w:p>
      <w:pPr>
        <w:ind w:left="173" w:hanging="173"/>
      </w:pPr>
      <w:r>
        <w:rPr>
          <w:b/>
        </w:rPr>
        <w:t xml:space="preserve">11. </w:t>
      </w:r>
      <w:r>
        <w:t>检查起点终点是否支持所需线路分析粒度。</w:t>
      </w:r>
    </w:p>
    <w:p>
      <w:pPr>
        <w:ind w:left="173" w:hanging="173"/>
      </w:pPr>
      <w:r>
        <w:rPr>
          <w:b/>
        </w:rPr>
        <w:t xml:space="preserve">12. </w:t>
      </w:r>
      <w:r>
        <w:t>没有发票字段时，不得填入推测的发票金额。</w:t>
      </w:r>
    </w:p>
    <w:p>
      <w:pPr>
        <w:ind w:left="173" w:hanging="173"/>
      </w:pPr>
      <w:r>
        <w:rPr>
          <w:b/>
        </w:rPr>
        <w:t xml:space="preserve">13. </w:t>
      </w:r>
      <w:r>
        <w:t>检查重复组内部车型或因子输入冲突。</w:t>
      </w:r>
    </w:p>
    <w:p>
      <w:pPr>
        <w:ind w:left="173" w:hanging="173"/>
      </w:pPr>
      <w:r>
        <w:rPr>
          <w:b/>
        </w:rPr>
        <w:t xml:space="preserve">14. </w:t>
      </w:r>
      <w:r>
        <w:t>确认估算字段都有来源和原因说明。</w:t>
      </w:r>
    </w:p>
    <w:p>
      <w:pPr>
        <w:ind w:left="173" w:hanging="173"/>
      </w:pPr>
      <w:r>
        <w:rPr>
          <w:b/>
        </w:rPr>
        <w:t xml:space="preserve">15. </w:t>
      </w:r>
      <w:r>
        <w:t>确认排放因子版本与当前项目核算口径一致。</w:t>
      </w:r>
    </w:p>
    <w:p>
      <w:pPr>
        <w:ind w:left="173" w:hanging="173"/>
      </w:pPr>
      <w:r>
        <w:rPr>
          <w:b/>
        </w:rPr>
        <w:t xml:space="preserve">16. </w:t>
      </w:r>
      <w:r>
        <w:t>保存数据质量报告和基准结果，不要只保留总数。</w:t>
      </w:r>
    </w:p>
    <w:p>
      <w:pPr>
        <w:ind w:left="173" w:hanging="173"/>
      </w:pPr>
      <w:r>
        <w:rPr>
          <w:b/>
        </w:rPr>
        <w:t xml:space="preserve">17. </w:t>
      </w:r>
      <w:r>
        <w:t>结果阅读补充：先确认数据来源和范围，再解释总量与强度；总排放量需注明t或kg。</w:t>
      </w:r>
    </w:p>
    <w:p>
      <w:pPr>
        <w:ind w:left="173" w:hanging="173"/>
      </w:pPr>
      <w:r>
        <w:rPr>
          <w:b/>
        </w:rPr>
        <w:t xml:space="preserve">18. </w:t>
      </w:r>
      <w:r>
        <w:t>订单关联率不代表所有字段完整；车型目录匹配率不等于因子映射完全覆盖。</w:t>
      </w:r>
    </w:p>
    <w:p>
      <w:pPr>
        <w:ind w:left="173" w:hanging="173"/>
      </w:pPr>
      <w:r>
        <w:rPr>
          <w:b/>
        </w:rPr>
        <w:t xml:space="preserve">19. </w:t>
      </w:r>
      <w:r>
        <w:t>估算比例、重复行数、去重后物理路段数和异常速度数应分别报告。</w:t>
      </w:r>
    </w:p>
    <w:p>
      <w:pPr>
        <w:ind w:left="173" w:hanging="173"/>
      </w:pPr>
      <w:r>
        <w:rPr>
          <w:b/>
        </w:rPr>
        <w:t xml:space="preserve">20. </w:t>
      </w:r>
      <w:r>
        <w:t>跨期比较应控制业务量、线路构成、车型构成和核算规则变化。</w:t>
      </w:r>
    </w:p>
    <w:p>
      <w:pPr>
        <w:ind w:left="173" w:hanging="173"/>
      </w:pPr>
      <w:r>
        <w:rPr>
          <w:b/>
        </w:rPr>
        <w:t xml:space="preserve">21. </w:t>
      </w:r>
      <w:r>
        <w:t>总量下降不一定意味着单位效率改善，可能只是业务量下降。</w:t>
      </w:r>
    </w:p>
    <w:p>
      <w:r>
        <w:rPr>
          <w:b/>
        </w:rPr>
        <w:t>本页核对要点：</w:t>
      </w:r>
      <w:r>
        <w:t>字段含义与单位明确；异常处理可追溯；不把估算或演示数据表述为实测结果。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8"/>
        </w:rPr>
        <w:t>第31页  排放因子与边界</w:t>
      </w:r>
    </w:p>
    <w:p>
      <w:pPr>
        <w:jc w:val="center"/>
      </w:pPr>
      <w:r>
        <w:rPr>
          <w:i/>
          <w:sz w:val="16"/>
        </w:rPr>
        <w:t>章节：基准核算｜初稿</w:t>
      </w:r>
    </w:p>
    <w:p>
      <w:r>
        <w:rPr>
          <w:b/>
        </w:rPr>
        <w:t>操作说明：</w:t>
      </w:r>
      <w:r>
        <w:t>本页内容依据团队任务书、数据字典和用户数据输入规范整理；未验证的程序行为以当前分支实际实现为准。</w:t>
      </w:r>
    </w:p>
    <w:p>
      <w:pPr>
        <w:ind w:left="173" w:hanging="173"/>
      </w:pPr>
      <w:r>
        <w:rPr>
          <w:b/>
        </w:rPr>
        <w:t xml:space="preserve">01. </w:t>
      </w:r>
      <w:r>
        <w:t>排放因子用于将运输活动量转换为排放量，是核算的关键参数。</w:t>
      </w:r>
    </w:p>
    <w:p>
      <w:pPr>
        <w:ind w:left="173" w:hanging="173"/>
      </w:pPr>
      <w:r>
        <w:rPr>
          <w:b/>
        </w:rPr>
        <w:t xml:space="preserve">02. </w:t>
      </w:r>
      <w:r>
        <w:t>使用因子前确认来源、适用车型、燃料类型和单位。</w:t>
      </w:r>
    </w:p>
    <w:p>
      <w:pPr>
        <w:ind w:left="173" w:hanging="173"/>
      </w:pPr>
      <w:r>
        <w:rPr>
          <w:b/>
        </w:rPr>
        <w:t xml:space="preserve">03. </w:t>
      </w:r>
      <w:r>
        <w:t>不同车型或载重口径可能对应不同因子，不可仅凭名称猜测。</w:t>
      </w:r>
    </w:p>
    <w:p>
      <w:pPr>
        <w:ind w:left="173" w:hanging="173"/>
      </w:pPr>
      <w:r>
        <w:rPr>
          <w:b/>
        </w:rPr>
        <w:t xml:space="preserve">04. </w:t>
      </w:r>
      <w:r>
        <w:t>车型映射表应作为核算规则的一部分进行版本管理。</w:t>
      </w:r>
    </w:p>
    <w:p>
      <w:pPr>
        <w:ind w:left="173" w:hanging="173"/>
      </w:pPr>
      <w:r>
        <w:rPr>
          <w:b/>
        </w:rPr>
        <w:t xml:space="preserve">05. </w:t>
      </w:r>
      <w:r>
        <w:t>未命中基准映射的车型应标记为补充规则或待复核。</w:t>
      </w:r>
    </w:p>
    <w:p>
      <w:pPr>
        <w:ind w:left="173" w:hanging="173"/>
      </w:pPr>
      <w:r>
        <w:rPr>
          <w:b/>
        </w:rPr>
        <w:t xml:space="preserve">06. </w:t>
      </w:r>
      <w:r>
        <w:t>补充映射不应被描述成与基准车型完全一致。</w:t>
      </w:r>
    </w:p>
    <w:p>
      <w:pPr>
        <w:ind w:left="173" w:hanging="173"/>
      </w:pPr>
      <w:r>
        <w:rPr>
          <w:b/>
        </w:rPr>
        <w:t xml:space="preserve">07. </w:t>
      </w:r>
      <w:r>
        <w:t>物理轨和VSP等轨道的边界、公式和参数应分别说明。</w:t>
      </w:r>
    </w:p>
    <w:p>
      <w:pPr>
        <w:ind w:left="173" w:hanging="173"/>
      </w:pPr>
      <w:r>
        <w:rPr>
          <w:b/>
        </w:rPr>
        <w:t xml:space="preserve">08. </w:t>
      </w:r>
      <w:r>
        <w:t>同一数据在不同核算边界下可能得到不同结果。</w:t>
      </w:r>
    </w:p>
    <w:p>
      <w:pPr>
        <w:ind w:left="173" w:hanging="173"/>
      </w:pPr>
      <w:r>
        <w:rPr>
          <w:b/>
        </w:rPr>
        <w:t xml:space="preserve">09. </w:t>
      </w:r>
      <w:r>
        <w:t>因子版本升级后，记录来源、日期、变化内容和影响范围。</w:t>
      </w:r>
    </w:p>
    <w:p>
      <w:pPr>
        <w:ind w:left="173" w:hanging="173"/>
      </w:pPr>
      <w:r>
        <w:rPr>
          <w:b/>
        </w:rPr>
        <w:t xml:space="preserve">10. </w:t>
      </w:r>
      <w:r>
        <w:t>不得混用按吨公里和按车辆公里定义的因子。</w:t>
      </w:r>
    </w:p>
    <w:p>
      <w:pPr>
        <w:ind w:left="173" w:hanging="173"/>
      </w:pPr>
      <w:r>
        <w:rPr>
          <w:b/>
        </w:rPr>
        <w:t xml:space="preserve">11. </w:t>
      </w:r>
      <w:r>
        <w:t>若模型需要载重等级，应说明由源车型信息映射的规则。</w:t>
      </w:r>
    </w:p>
    <w:p>
      <w:pPr>
        <w:ind w:left="173" w:hanging="173"/>
      </w:pPr>
      <w:r>
        <w:rPr>
          <w:b/>
        </w:rPr>
        <w:t xml:space="preserve">12. </w:t>
      </w:r>
      <w:r>
        <w:t>燃料类型缺失时应报告缺失及经批准的处理规则。</w:t>
      </w:r>
    </w:p>
    <w:p>
      <w:pPr>
        <w:ind w:left="173" w:hanging="173"/>
      </w:pPr>
      <w:r>
        <w:rPr>
          <w:b/>
        </w:rPr>
        <w:t xml:space="preserve">13. </w:t>
      </w:r>
      <w:r>
        <w:t>不得为缺少的因子编造精确数字。</w:t>
      </w:r>
    </w:p>
    <w:p>
      <w:pPr>
        <w:ind w:left="173" w:hanging="173"/>
      </w:pPr>
      <w:r>
        <w:rPr>
          <w:b/>
        </w:rPr>
        <w:t xml:space="preserve">14. </w:t>
      </w:r>
      <w:r>
        <w:t>外部参考值应标明来源和口径，不得直接称为项目实测值。</w:t>
      </w:r>
    </w:p>
    <w:p>
      <w:pPr>
        <w:ind w:left="173" w:hanging="173"/>
      </w:pPr>
      <w:r>
        <w:rPr>
          <w:b/>
        </w:rPr>
        <w:t xml:space="preserve">15. </w:t>
      </w:r>
      <w:r>
        <w:t>本手册不替代正式因子文献或团队批准的核算文件。</w:t>
      </w:r>
    </w:p>
    <w:p>
      <w:r>
        <w:rPr>
          <w:b/>
        </w:rPr>
        <w:t>本页核对要点：</w:t>
      </w:r>
      <w:r>
        <w:t>字段含义与单位明确；异常处理可追溯；不把估算或演示数据表述为实测结果。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8"/>
        </w:rPr>
        <w:t>第32页  问题诊断流程</w:t>
      </w:r>
    </w:p>
    <w:p>
      <w:pPr>
        <w:jc w:val="center"/>
      </w:pPr>
      <w:r>
        <w:rPr>
          <w:i/>
          <w:sz w:val="16"/>
        </w:rPr>
        <w:t>章节：问题诊断｜初稿</w:t>
      </w:r>
    </w:p>
    <w:p>
      <w:r>
        <w:rPr>
          <w:b/>
        </w:rPr>
        <w:t>操作说明：</w:t>
      </w:r>
      <w:r>
        <w:t>本页内容依据团队任务书、数据字典和用户数据输入规范整理；未验证的程序行为以当前分支实际实现为准。</w:t>
      </w:r>
    </w:p>
    <w:p>
      <w:pPr>
        <w:ind w:left="173" w:hanging="173"/>
      </w:pPr>
      <w:r>
        <w:rPr>
          <w:b/>
        </w:rPr>
        <w:t xml:space="preserve">01. </w:t>
      </w:r>
      <w:r>
        <w:t>诊断用于定位影响成本、效率和碳排放的主要因素。</w:t>
      </w:r>
    </w:p>
    <w:p>
      <w:pPr>
        <w:ind w:left="173" w:hanging="173"/>
      </w:pPr>
      <w:r>
        <w:rPr>
          <w:b/>
        </w:rPr>
        <w:t xml:space="preserve">02. </w:t>
      </w:r>
      <w:r>
        <w:t>先确认基准数据已通过校验且核算口径已冻结。</w:t>
      </w:r>
    </w:p>
    <w:p>
      <w:pPr>
        <w:ind w:left="173" w:hanging="173"/>
      </w:pPr>
      <w:r>
        <w:rPr>
          <w:b/>
        </w:rPr>
        <w:t xml:space="preserve">03. </w:t>
      </w:r>
      <w:r>
        <w:t>从总体指标入手，再按月份、车型、线路或网点逐层拆解。</w:t>
      </w:r>
    </w:p>
    <w:p>
      <w:pPr>
        <w:ind w:left="173" w:hanging="173"/>
      </w:pPr>
      <w:r>
        <w:rPr>
          <w:b/>
        </w:rPr>
        <w:t xml:space="preserve">04. </w:t>
      </w:r>
      <w:r>
        <w:t>总量指标回答规模问题，单位强度指标回答效率问题。</w:t>
      </w:r>
    </w:p>
    <w:p>
      <w:pPr>
        <w:ind w:left="173" w:hanging="173"/>
      </w:pPr>
      <w:r>
        <w:rPr>
          <w:b/>
        </w:rPr>
        <w:t xml:space="preserve">05. </w:t>
      </w:r>
      <w:r>
        <w:t>业务量变化应与运输效率变化分开分析。</w:t>
      </w:r>
    </w:p>
    <w:p>
      <w:pPr>
        <w:ind w:left="173" w:hanging="173"/>
      </w:pPr>
      <w:r>
        <w:rPr>
          <w:b/>
        </w:rPr>
        <w:t xml:space="preserve">06. </w:t>
      </w:r>
      <w:r>
        <w:t>线路分析应确认起终点、方向和统计周期一致。</w:t>
      </w:r>
    </w:p>
    <w:p>
      <w:pPr>
        <w:ind w:left="173" w:hanging="173"/>
      </w:pPr>
      <w:r>
        <w:rPr>
          <w:b/>
        </w:rPr>
        <w:t xml:space="preserve">07. </w:t>
      </w:r>
      <w:r>
        <w:t>城市级OD与网点级OD粒度不同，不应混合排名。</w:t>
      </w:r>
    </w:p>
    <w:p>
      <w:pPr>
        <w:ind w:left="173" w:hanging="173"/>
      </w:pPr>
      <w:r>
        <w:rPr>
          <w:b/>
        </w:rPr>
        <w:t xml:space="preserve">08. </w:t>
      </w:r>
      <w:r>
        <w:t>车型分析应结合燃料、载重口径和因子映射状态。</w:t>
      </w:r>
    </w:p>
    <w:p>
      <w:pPr>
        <w:ind w:left="173" w:hanging="173"/>
      </w:pPr>
      <w:r>
        <w:rPr>
          <w:b/>
        </w:rPr>
        <w:t xml:space="preserve">09. </w:t>
      </w:r>
      <w:r>
        <w:t>异常速度只是质量信号，不等于驾驶员行为不当。</w:t>
      </w:r>
    </w:p>
    <w:p>
      <w:pPr>
        <w:ind w:left="173" w:hanging="173"/>
      </w:pPr>
      <w:r>
        <w:rPr>
          <w:b/>
        </w:rPr>
        <w:t xml:space="preserve">10. </w:t>
      </w:r>
      <w:r>
        <w:t>重复记录可能放大活动量，应先检查去重规则。</w:t>
      </w:r>
    </w:p>
    <w:p>
      <w:pPr>
        <w:ind w:left="173" w:hanging="173"/>
      </w:pPr>
      <w:r>
        <w:rPr>
          <w:b/>
        </w:rPr>
        <w:t xml:space="preserve">11. </w:t>
      </w:r>
      <w:r>
        <w:t>只有具备空载里程或装载量数据时，才可定量分析空驶或装载率。</w:t>
      </w:r>
    </w:p>
    <w:p>
      <w:pPr>
        <w:ind w:left="173" w:hanging="173"/>
      </w:pPr>
      <w:r>
        <w:rPr>
          <w:b/>
        </w:rPr>
        <w:t xml:space="preserve">12. </w:t>
      </w:r>
      <w:r>
        <w:t>没有燃油消耗数据时，不应把模型估算称为实测燃油量。</w:t>
      </w:r>
    </w:p>
    <w:p>
      <w:pPr>
        <w:ind w:left="173" w:hanging="173"/>
      </w:pPr>
      <w:r>
        <w:rPr>
          <w:b/>
        </w:rPr>
        <w:t xml:space="preserve">13. </w:t>
      </w:r>
      <w:r>
        <w:t>诊断结论应标明证据字段、方法和样本范围。</w:t>
      </w:r>
    </w:p>
    <w:p>
      <w:pPr>
        <w:ind w:left="173" w:hanging="173"/>
      </w:pPr>
      <w:r>
        <w:rPr>
          <w:b/>
        </w:rPr>
        <w:t xml:space="preserve">14. </w:t>
      </w:r>
      <w:r>
        <w:t>样本量小的线路或车型应谨慎解读排名。</w:t>
      </w:r>
    </w:p>
    <w:p>
      <w:pPr>
        <w:ind w:left="173" w:hanging="173"/>
      </w:pPr>
      <w:r>
        <w:rPr>
          <w:b/>
        </w:rPr>
        <w:t xml:space="preserve">15. </w:t>
      </w:r>
      <w:r>
        <w:t>区分真实异常、录入错误、口径差异和模型假设。</w:t>
      </w:r>
    </w:p>
    <w:p>
      <w:pPr>
        <w:ind w:left="173" w:hanging="173"/>
      </w:pPr>
      <w:r>
        <w:rPr>
          <w:b/>
        </w:rPr>
        <w:t xml:space="preserve">16. </w:t>
      </w:r>
      <w:r>
        <w:t>问题优先级可结合影响程度、证据强度和可操作性确定。</w:t>
      </w:r>
    </w:p>
    <w:p>
      <w:r>
        <w:rPr>
          <w:b/>
        </w:rPr>
        <w:t>本页核对要点：</w:t>
      </w:r>
      <w:r>
        <w:t>字段含义与单位明确；异常处理可追溯；不把估算或演示数据表述为实测结果。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8"/>
        </w:rPr>
        <w:t>第33页  线路与车型诊断</w:t>
      </w:r>
    </w:p>
    <w:p>
      <w:pPr>
        <w:jc w:val="center"/>
      </w:pPr>
      <w:r>
        <w:rPr>
          <w:i/>
          <w:sz w:val="16"/>
        </w:rPr>
        <w:t>章节：问题诊断｜初稿</w:t>
      </w:r>
    </w:p>
    <w:p>
      <w:r>
        <w:rPr>
          <w:b/>
        </w:rPr>
        <w:t>操作说明：</w:t>
      </w:r>
      <w:r>
        <w:t>本页内容依据团队任务书、数据字典和用户数据输入规范整理；未验证的程序行为以当前分支实际实现为准。</w:t>
      </w:r>
    </w:p>
    <w:p>
      <w:pPr>
        <w:ind w:left="173" w:hanging="173"/>
      </w:pPr>
      <w:r>
        <w:rPr>
          <w:b/>
        </w:rPr>
        <w:t xml:space="preserve">01. </w:t>
      </w:r>
      <w:r>
        <w:t>线路诊断应建立在明确的起点、终点、方向和周期之上。</w:t>
      </w:r>
    </w:p>
    <w:p>
      <w:pPr>
        <w:ind w:left="173" w:hanging="173"/>
      </w:pPr>
      <w:r>
        <w:rPr>
          <w:b/>
        </w:rPr>
        <w:t xml:space="preserve">02. </w:t>
      </w:r>
      <w:r>
        <w:t>同一城市的正向和反向运输不一定具有相同业务条件。</w:t>
      </w:r>
    </w:p>
    <w:p>
      <w:pPr>
        <w:ind w:left="173" w:hanging="173"/>
      </w:pPr>
      <w:r>
        <w:rPr>
          <w:b/>
        </w:rPr>
        <w:t xml:space="preserve">03. </w:t>
      </w:r>
      <w:r>
        <w:t>比较线路时关注样本量、里程、车型构成和运输时长。</w:t>
      </w:r>
    </w:p>
    <w:p>
      <w:pPr>
        <w:ind w:left="173" w:hanging="173"/>
      </w:pPr>
      <w:r>
        <w:rPr>
          <w:b/>
        </w:rPr>
        <w:t xml:space="preserve">04. </w:t>
      </w:r>
      <w:r>
        <w:t>缺失里程被估算时，应单独标记来源。</w:t>
      </w:r>
    </w:p>
    <w:p>
      <w:pPr>
        <w:ind w:left="173" w:hanging="173"/>
      </w:pPr>
      <w:r>
        <w:rPr>
          <w:b/>
        </w:rPr>
        <w:t xml:space="preserve">05. </w:t>
      </w:r>
      <w:r>
        <w:t>坐标直线距离乘绕行系数是估算，不是GPS轨迹距离。</w:t>
      </w:r>
    </w:p>
    <w:p>
      <w:pPr>
        <w:ind w:left="173" w:hanging="173"/>
      </w:pPr>
      <w:r>
        <w:rPr>
          <w:b/>
        </w:rPr>
        <w:t xml:space="preserve">06. </w:t>
      </w:r>
      <w:r>
        <w:t>网点名前缀推断出的城市应标记为推断值。</w:t>
      </w:r>
    </w:p>
    <w:p>
      <w:pPr>
        <w:ind w:left="173" w:hanging="173"/>
      </w:pPr>
      <w:r>
        <w:rPr>
          <w:b/>
        </w:rPr>
        <w:t xml:space="preserve">07. </w:t>
      </w:r>
      <w:r>
        <w:t>车型诊断需检查目录匹配、因子映射和重复组冲突。</w:t>
      </w:r>
    </w:p>
    <w:p>
      <w:pPr>
        <w:ind w:left="173" w:hanging="173"/>
      </w:pPr>
      <w:r>
        <w:rPr>
          <w:b/>
        </w:rPr>
        <w:t xml:space="preserve">08. </w:t>
      </w:r>
      <w:r>
        <w:t>车型名称匹配成功不代表载重口径正确。</w:t>
      </w:r>
    </w:p>
    <w:p>
      <w:pPr>
        <w:ind w:left="173" w:hanging="173"/>
      </w:pPr>
      <w:r>
        <w:rPr>
          <w:b/>
        </w:rPr>
        <w:t xml:space="preserve">09. </w:t>
      </w:r>
      <w:r>
        <w:t>不同燃料车辆不宜只按吨位或名称简单横向比较。</w:t>
      </w:r>
    </w:p>
    <w:p>
      <w:pPr>
        <w:ind w:left="173" w:hanging="173"/>
      </w:pPr>
      <w:r>
        <w:rPr>
          <w:b/>
        </w:rPr>
        <w:t xml:space="preserve">10. </w:t>
      </w:r>
      <w:r>
        <w:t>没有实际载货量时，登记载重不能直接代表每趟实际装载量。</w:t>
      </w:r>
    </w:p>
    <w:p>
      <w:pPr>
        <w:ind w:left="173" w:hanging="173"/>
      </w:pPr>
      <w:r>
        <w:rPr>
          <w:b/>
        </w:rPr>
        <w:t xml:space="preserve">11. </w:t>
      </w:r>
      <w:r>
        <w:t>没有轨迹数据时，不应声称识别了每一个拥堵点或信号灯延误。</w:t>
      </w:r>
    </w:p>
    <w:p>
      <w:pPr>
        <w:ind w:left="173" w:hanging="173"/>
      </w:pPr>
      <w:r>
        <w:rPr>
          <w:b/>
        </w:rPr>
        <w:t xml:space="preserve">12. </w:t>
      </w:r>
      <w:r>
        <w:t>异常高排放可能来自里程、因子、重复记录或字段错误。</w:t>
      </w:r>
    </w:p>
    <w:p>
      <w:pPr>
        <w:ind w:left="173" w:hanging="173"/>
      </w:pPr>
      <w:r>
        <w:rPr>
          <w:b/>
        </w:rPr>
        <w:t xml:space="preserve">13. </w:t>
      </w:r>
      <w:r>
        <w:t>异常低排放也可能来自缺失值或错误映射，不能直接视为优秀。</w:t>
      </w:r>
    </w:p>
    <w:p>
      <w:pPr>
        <w:ind w:left="173" w:hanging="173"/>
      </w:pPr>
      <w:r>
        <w:rPr>
          <w:b/>
        </w:rPr>
        <w:t xml:space="preserve">14. </w:t>
      </w:r>
      <w:r>
        <w:t>应提供可追溯样本清单，而不是只展示排名。</w:t>
      </w:r>
    </w:p>
    <w:p>
      <w:pPr>
        <w:ind w:left="173" w:hanging="173"/>
      </w:pPr>
      <w:r>
        <w:rPr>
          <w:b/>
        </w:rPr>
        <w:t xml:space="preserve">15. </w:t>
      </w:r>
      <w:r>
        <w:t>建议区分立即可执行措施与需要数据验证的假设。</w:t>
      </w:r>
    </w:p>
    <w:p>
      <w:r>
        <w:rPr>
          <w:b/>
        </w:rPr>
        <w:t>本页核对要点：</w:t>
      </w:r>
      <w:r>
        <w:t>字段含义与单位明确；异常处理可追溯；不把估算或演示数据表述为实测结果。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8"/>
        </w:rPr>
        <w:t>第34页  异常数据识别与处理</w:t>
      </w:r>
    </w:p>
    <w:p>
      <w:pPr>
        <w:jc w:val="center"/>
      </w:pPr>
      <w:r>
        <w:rPr>
          <w:i/>
          <w:sz w:val="16"/>
        </w:rPr>
        <w:t>章节：问题诊断｜初稿</w:t>
      </w:r>
    </w:p>
    <w:p>
      <w:r>
        <w:rPr>
          <w:b/>
        </w:rPr>
        <w:t>操作说明：</w:t>
      </w:r>
      <w:r>
        <w:t>本页内容依据团队任务书、数据字典和用户数据输入规范整理；未验证的程序行为以当前分支实际实现为准。</w:t>
      </w:r>
    </w:p>
    <w:p>
      <w:pPr>
        <w:ind w:left="173" w:hanging="173"/>
      </w:pPr>
      <w:r>
        <w:rPr>
          <w:b/>
        </w:rPr>
        <w:t xml:space="preserve">01. </w:t>
      </w:r>
      <w:r>
        <w:t>异常处理原则是识别、标记、解释和追溯，而不是静默删除。</w:t>
      </w:r>
    </w:p>
    <w:p>
      <w:pPr>
        <w:ind w:left="173" w:hanging="173"/>
      </w:pPr>
      <w:r>
        <w:rPr>
          <w:b/>
        </w:rPr>
        <w:t xml:space="preserve">02. </w:t>
      </w:r>
      <w:r>
        <w:t>常见异常包括关键字段缺失、非正里程、时间倒挂、速度异常和重复记录。</w:t>
      </w:r>
    </w:p>
    <w:p>
      <w:pPr>
        <w:ind w:left="173" w:hanging="173"/>
      </w:pPr>
      <w:r>
        <w:rPr>
          <w:b/>
        </w:rPr>
        <w:t xml:space="preserve">03. </w:t>
      </w:r>
      <w:r>
        <w:t>到达时间早于发车时间属于关键时间异常，应阻断或按批准规则处理。</w:t>
      </w:r>
    </w:p>
    <w:p>
      <w:pPr>
        <w:ind w:left="173" w:hanging="173"/>
      </w:pPr>
      <w:r>
        <w:rPr>
          <w:b/>
        </w:rPr>
        <w:t xml:space="preserve">04. </w:t>
      </w:r>
      <w:r>
        <w:t>相同发车和到达时间应标记并复核。</w:t>
      </w:r>
    </w:p>
    <w:p>
      <w:pPr>
        <w:ind w:left="173" w:hanging="173"/>
      </w:pPr>
      <w:r>
        <w:rPr>
          <w:b/>
        </w:rPr>
        <w:t xml:space="preserve">05. </w:t>
      </w:r>
      <w:r>
        <w:t>速度低于1 km/h或高于100 km/h可按项目规则标记为异常候选。</w:t>
      </w:r>
    </w:p>
    <w:p>
      <w:pPr>
        <w:ind w:left="173" w:hanging="173"/>
      </w:pPr>
      <w:r>
        <w:rPr>
          <w:b/>
        </w:rPr>
        <w:t xml:space="preserve">06. </w:t>
      </w:r>
      <w:r>
        <w:t>阈值是识别规则，不等于对真实业务情况的最终判定。</w:t>
      </w:r>
    </w:p>
    <w:p>
      <w:pPr>
        <w:ind w:left="173" w:hanging="173"/>
      </w:pPr>
      <w:r>
        <w:rPr>
          <w:b/>
        </w:rPr>
        <w:t xml:space="preserve">07. </w:t>
      </w:r>
      <w:r>
        <w:t>源文件无速度字段时，反算速度必须标记为计算值。</w:t>
      </w:r>
    </w:p>
    <w:p>
      <w:pPr>
        <w:ind w:left="173" w:hanging="173"/>
      </w:pPr>
      <w:r>
        <w:rPr>
          <w:b/>
        </w:rPr>
        <w:t xml:space="preserve">08. </w:t>
      </w:r>
      <w:r>
        <w:t>源时间异常时，不应把反算速度当作有效实测速度。</w:t>
      </w:r>
    </w:p>
    <w:p>
      <w:pPr>
        <w:ind w:left="173" w:hanging="173"/>
      </w:pPr>
      <w:r>
        <w:rPr>
          <w:b/>
        </w:rPr>
        <w:t xml:space="preserve">09. </w:t>
      </w:r>
      <w:r>
        <w:t>估算里程应记录同线均值、坐标估算或其他规则的具体来源。</w:t>
      </w:r>
    </w:p>
    <w:p>
      <w:pPr>
        <w:ind w:left="173" w:hanging="173"/>
      </w:pPr>
      <w:r>
        <w:rPr>
          <w:b/>
        </w:rPr>
        <w:t xml:space="preserve">10. </w:t>
      </w:r>
      <w:r>
        <w:t>异常时间兜底应保留原始时间并单独标记。</w:t>
      </w:r>
    </w:p>
    <w:p>
      <w:pPr>
        <w:ind w:left="173" w:hanging="173"/>
      </w:pPr>
      <w:r>
        <w:rPr>
          <w:b/>
        </w:rPr>
        <w:t xml:space="preserve">11. </w:t>
      </w:r>
      <w:r>
        <w:t>重复数和去重后物理路段数应同时报告。</w:t>
      </w:r>
    </w:p>
    <w:p>
      <w:pPr>
        <w:ind w:left="173" w:hanging="173"/>
      </w:pPr>
      <w:r>
        <w:rPr>
          <w:b/>
        </w:rPr>
        <w:t xml:space="preserve">12. </w:t>
      </w:r>
      <w:r>
        <w:t>车型或因子冲突可能影响基准可信度，应单独复核。</w:t>
      </w:r>
    </w:p>
    <w:p>
      <w:pPr>
        <w:ind w:left="173" w:hanging="173"/>
      </w:pPr>
      <w:r>
        <w:rPr>
          <w:b/>
        </w:rPr>
        <w:t xml:space="preserve">13. </w:t>
      </w:r>
      <w:r>
        <w:t>缺失重量、体积或包裹数不能当作真实0。</w:t>
      </w:r>
    </w:p>
    <w:p>
      <w:pPr>
        <w:ind w:left="173" w:hanging="173"/>
      </w:pPr>
      <w:r>
        <w:rPr>
          <w:b/>
        </w:rPr>
        <w:t xml:space="preserve">14. </w:t>
      </w:r>
      <w:r>
        <w:t>车辆目录未匹配时保留原车型名称并输出清单。</w:t>
      </w:r>
    </w:p>
    <w:p>
      <w:pPr>
        <w:ind w:left="173" w:hanging="173"/>
      </w:pPr>
      <w:r>
        <w:rPr>
          <w:b/>
        </w:rPr>
        <w:t xml:space="preserve">15. </w:t>
      </w:r>
      <w:r>
        <w:t>阻断错误不得覆盖 data/processed/ 中已有有效结果。</w:t>
      </w:r>
    </w:p>
    <w:p>
      <w:pPr>
        <w:ind w:left="173" w:hanging="173"/>
      </w:pPr>
      <w:r>
        <w:rPr>
          <w:b/>
        </w:rPr>
        <w:t xml:space="preserve">16. </w:t>
      </w:r>
      <w:r>
        <w:t>异常报告应包含规则、数量、样例行号和后续动作。</w:t>
      </w:r>
    </w:p>
    <w:p>
      <w:r>
        <w:rPr>
          <w:b/>
        </w:rPr>
        <w:t>本页核对要点：</w:t>
      </w:r>
      <w:r>
        <w:t>字段含义与单位明确；异常处理可追溯；不把估算或演示数据表述为实测结果。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8"/>
        </w:rPr>
        <w:t>第35页  方案设计：从诊断到措施</w:t>
      </w:r>
    </w:p>
    <w:p>
      <w:pPr>
        <w:jc w:val="center"/>
      </w:pPr>
      <w:r>
        <w:rPr>
          <w:i/>
          <w:sz w:val="16"/>
        </w:rPr>
        <w:t>章节：方案设计｜初稿</w:t>
      </w:r>
    </w:p>
    <w:p>
      <w:r>
        <w:rPr>
          <w:b/>
        </w:rPr>
        <w:t>操作说明：</w:t>
      </w:r>
      <w:r>
        <w:t>本页内容依据团队任务书、数据字典和用户数据输入规范整理；未验证的程序行为以当前分支实际实现为准。</w:t>
      </w:r>
    </w:p>
    <w:p>
      <w:pPr>
        <w:ind w:left="173" w:hanging="173"/>
      </w:pPr>
      <w:r>
        <w:rPr>
          <w:b/>
        </w:rPr>
        <w:t xml:space="preserve">01. </w:t>
      </w:r>
      <w:r>
        <w:t>方案应从诊断证据出发，而不是先确定结论再挑选数据。</w:t>
      </w:r>
    </w:p>
    <w:p>
      <w:pPr>
        <w:ind w:left="173" w:hanging="173"/>
      </w:pPr>
      <w:r>
        <w:rPr>
          <w:b/>
        </w:rPr>
        <w:t xml:space="preserve">02. </w:t>
      </w:r>
      <w:r>
        <w:t>每项措施应对应问题、目标指标、适用范围和责任人。</w:t>
      </w:r>
    </w:p>
    <w:p>
      <w:pPr>
        <w:ind w:left="173" w:hanging="173"/>
      </w:pPr>
      <w:r>
        <w:rPr>
          <w:b/>
        </w:rPr>
        <w:t xml:space="preserve">03. </w:t>
      </w:r>
      <w:r>
        <w:t>可研究运输组织、车型适配、装载改善、线路管理和数据治理。</w:t>
      </w:r>
    </w:p>
    <w:p>
      <w:pPr>
        <w:ind w:left="173" w:hanging="173"/>
      </w:pPr>
      <w:r>
        <w:rPr>
          <w:b/>
        </w:rPr>
        <w:t xml:space="preserve">04. </w:t>
      </w:r>
      <w:r>
        <w:t>班次衔接、回程货源和线路组合需要相应业务数据支持。</w:t>
      </w:r>
    </w:p>
    <w:p>
      <w:pPr>
        <w:ind w:left="173" w:hanging="173"/>
      </w:pPr>
      <w:r>
        <w:rPr>
          <w:b/>
        </w:rPr>
        <w:t xml:space="preserve">05. </w:t>
      </w:r>
      <w:r>
        <w:t>车型适配应考虑线路距离、载荷、燃料、补能设施和运行条件。</w:t>
      </w:r>
    </w:p>
    <w:p>
      <w:pPr>
        <w:ind w:left="173" w:hanging="173"/>
      </w:pPr>
      <w:r>
        <w:rPr>
          <w:b/>
        </w:rPr>
        <w:t xml:space="preserve">06. </w:t>
      </w:r>
      <w:r>
        <w:t>装载改善需要货物体积、重量、车辆容量和装载约束数据。</w:t>
      </w:r>
    </w:p>
    <w:p>
      <w:pPr>
        <w:ind w:left="173" w:hanging="173"/>
      </w:pPr>
      <w:r>
        <w:rPr>
          <w:b/>
        </w:rPr>
        <w:t xml:space="preserve">07. </w:t>
      </w:r>
      <w:r>
        <w:t>没有实际装载量时，只能提出采集或试点建议，不能声称已算出真实装载率。</w:t>
      </w:r>
    </w:p>
    <w:p>
      <w:pPr>
        <w:ind w:left="173" w:hanging="173"/>
      </w:pPr>
      <w:r>
        <w:rPr>
          <w:b/>
        </w:rPr>
        <w:t xml:space="preserve">08. </w:t>
      </w:r>
      <w:r>
        <w:t>没有回程货源数据时，不能声称已精确计算空驶率。</w:t>
      </w:r>
    </w:p>
    <w:p>
      <w:pPr>
        <w:ind w:left="173" w:hanging="173"/>
      </w:pPr>
      <w:r>
        <w:rPr>
          <w:b/>
        </w:rPr>
        <w:t xml:space="preserve">09. </w:t>
      </w:r>
      <w:r>
        <w:t>线路调整需检查里程、时效、服务水平和额外中转。</w:t>
      </w:r>
    </w:p>
    <w:p>
      <w:pPr>
        <w:ind w:left="173" w:hanging="173"/>
      </w:pPr>
      <w:r>
        <w:rPr>
          <w:b/>
        </w:rPr>
        <w:t xml:space="preserve">10. </w:t>
      </w:r>
      <w:r>
        <w:t>每项方案列明预期收益、实施成本、风险和待验证假设。</w:t>
      </w:r>
    </w:p>
    <w:p>
      <w:pPr>
        <w:ind w:left="173" w:hanging="173"/>
      </w:pPr>
      <w:r>
        <w:rPr>
          <w:b/>
        </w:rPr>
        <w:t xml:space="preserve">11. </w:t>
      </w:r>
      <w:r>
        <w:t>模型推算的节油或减排属于情景测算，不是实测结果。</w:t>
      </w:r>
    </w:p>
    <w:p>
      <w:pPr>
        <w:ind w:left="173" w:hanging="173"/>
      </w:pPr>
      <w:r>
        <w:rPr>
          <w:b/>
        </w:rPr>
        <w:t xml:space="preserve">12. </w:t>
      </w:r>
      <w:r>
        <w:t>基准与优化情景应使用相同数据范围和可比边界。</w:t>
      </w:r>
    </w:p>
    <w:p>
      <w:pPr>
        <w:ind w:left="173" w:hanging="173"/>
      </w:pPr>
      <w:r>
        <w:rPr>
          <w:b/>
        </w:rPr>
        <w:t xml:space="preserve">13. </w:t>
      </w:r>
      <w:r>
        <w:t>车辆类型改变时，应同步更新车辆参数和因子。</w:t>
      </w:r>
    </w:p>
    <w:p>
      <w:pPr>
        <w:ind w:left="173" w:hanging="173"/>
      </w:pPr>
      <w:r>
        <w:rPr>
          <w:b/>
        </w:rPr>
        <w:t xml:space="preserve">14. </w:t>
      </w:r>
      <w:r>
        <w:t>建议优先选择样本充足、数据质量较好且可控的线路试点。</w:t>
      </w:r>
    </w:p>
    <w:p>
      <w:pPr>
        <w:ind w:left="173" w:hanging="173"/>
      </w:pPr>
      <w:r>
        <w:rPr>
          <w:b/>
        </w:rPr>
        <w:t xml:space="preserve">15. </w:t>
      </w:r>
      <w:r>
        <w:t>试点前定义观察周期、对照方法、成功阈值和数据采集方式。</w:t>
      </w:r>
    </w:p>
    <w:p>
      <w:pPr>
        <w:ind w:left="173" w:hanging="173"/>
      </w:pPr>
      <w:r>
        <w:rPr>
          <w:b/>
        </w:rPr>
        <w:t xml:space="preserve">16. </w:t>
      </w:r>
      <w:r>
        <w:t>方案优先级应结合影响、成本、难度和证据强度。</w:t>
      </w:r>
    </w:p>
    <w:p>
      <w:r>
        <w:rPr>
          <w:b/>
        </w:rPr>
        <w:t>本页核对要点：</w:t>
      </w:r>
      <w:r>
        <w:t>字段含义与单位明确；异常处理可追溯；不把估算或演示数据表述为实测结果。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8"/>
        </w:rPr>
        <w:t>第36页  方案比较与减排解释</w:t>
      </w:r>
    </w:p>
    <w:p>
      <w:pPr>
        <w:jc w:val="center"/>
      </w:pPr>
      <w:r>
        <w:rPr>
          <w:i/>
          <w:sz w:val="16"/>
        </w:rPr>
        <w:t>章节：方案设计｜初稿</w:t>
      </w:r>
    </w:p>
    <w:p>
      <w:r>
        <w:rPr>
          <w:b/>
        </w:rPr>
        <w:t>操作说明：</w:t>
      </w:r>
      <w:r>
        <w:t>本页内容依据团队任务书、数据字典和用户数据输入规范整理；未验证的程序行为以当前分支实际实现为准。</w:t>
      </w:r>
    </w:p>
    <w:p>
      <w:pPr>
        <w:ind w:left="173" w:hanging="173"/>
      </w:pPr>
      <w:r>
        <w:rPr>
          <w:b/>
        </w:rPr>
        <w:t xml:space="preserve">01. </w:t>
      </w:r>
      <w:r>
        <w:t>方案比较应统一基准情景、优化情景、时间范围和活动边界。</w:t>
      </w:r>
    </w:p>
    <w:p>
      <w:pPr>
        <w:ind w:left="173" w:hanging="173"/>
      </w:pPr>
      <w:r>
        <w:rPr>
          <w:b/>
        </w:rPr>
        <w:t xml:space="preserve">02. </w:t>
      </w:r>
      <w:r>
        <w:t>减排量可按基准排放减去优化情景排放计算。</w:t>
      </w:r>
    </w:p>
    <w:p>
      <w:pPr>
        <w:ind w:left="173" w:hanging="173"/>
      </w:pPr>
      <w:r>
        <w:rPr>
          <w:b/>
        </w:rPr>
        <w:t xml:space="preserve">03. </w:t>
      </w:r>
      <w:r>
        <w:t>减排率以基准排放为分母，并说明基准为零时的处理方式。</w:t>
      </w:r>
    </w:p>
    <w:p>
      <w:pPr>
        <w:ind w:left="173" w:hanging="173"/>
      </w:pPr>
      <w:r>
        <w:rPr>
          <w:b/>
        </w:rPr>
        <w:t xml:space="preserve">04. </w:t>
      </w:r>
      <w:r>
        <w:t>若业务量不同，应解释差异或进行可比化处理。</w:t>
      </w:r>
    </w:p>
    <w:p>
      <w:pPr>
        <w:ind w:left="173" w:hanging="173"/>
      </w:pPr>
      <w:r>
        <w:rPr>
          <w:b/>
        </w:rPr>
        <w:t xml:space="preserve">05. </w:t>
      </w:r>
      <w:r>
        <w:t>单位里程强度能反映部分效率，但不能替代总量指标。</w:t>
      </w:r>
    </w:p>
    <w:p>
      <w:pPr>
        <w:ind w:left="173" w:hanging="173"/>
      </w:pPr>
      <w:r>
        <w:rPr>
          <w:b/>
        </w:rPr>
        <w:t xml:space="preserve">06. </w:t>
      </w:r>
      <w:r>
        <w:t>单位货物强度需要可靠重量或吨公里数据。</w:t>
      </w:r>
    </w:p>
    <w:p>
      <w:pPr>
        <w:ind w:left="173" w:hanging="173"/>
      </w:pPr>
      <w:r>
        <w:rPr>
          <w:b/>
        </w:rPr>
        <w:t xml:space="preserve">07. </w:t>
      </w:r>
      <w:r>
        <w:t>重量缺失时不能将其填零后用于强度排名。</w:t>
      </w:r>
    </w:p>
    <w:p>
      <w:pPr>
        <w:ind w:left="173" w:hanging="173"/>
      </w:pPr>
      <w:r>
        <w:rPr>
          <w:b/>
        </w:rPr>
        <w:t xml:space="preserve">08. </w:t>
      </w:r>
      <w:r>
        <w:t>车型比较应控制路线、载荷、燃料和因子差异。</w:t>
      </w:r>
    </w:p>
    <w:p>
      <w:pPr>
        <w:ind w:left="173" w:hanging="173"/>
      </w:pPr>
      <w:r>
        <w:rPr>
          <w:b/>
        </w:rPr>
        <w:t xml:space="preserve">09. </w:t>
      </w:r>
      <w:r>
        <w:t>成本节约、时间节约和减排量应分别计算。</w:t>
      </w:r>
    </w:p>
    <w:p>
      <w:pPr>
        <w:ind w:left="173" w:hanging="173"/>
      </w:pPr>
      <w:r>
        <w:rPr>
          <w:b/>
        </w:rPr>
        <w:t xml:space="preserve">10. </w:t>
      </w:r>
      <w:r>
        <w:t>模型假设应单独列出，包括速度、绕行、载重映射和运行条件。</w:t>
      </w:r>
    </w:p>
    <w:p>
      <w:pPr>
        <w:ind w:left="173" w:hanging="173"/>
      </w:pPr>
      <w:r>
        <w:rPr>
          <w:b/>
        </w:rPr>
        <w:t xml:space="preserve">11. </w:t>
      </w:r>
      <w:r>
        <w:t>缺少关键数据的方案应标注数据缺口。</w:t>
      </w:r>
    </w:p>
    <w:p>
      <w:pPr>
        <w:ind w:left="173" w:hanging="173"/>
      </w:pPr>
      <w:r>
        <w:rPr>
          <w:b/>
        </w:rPr>
        <w:t xml:space="preserve">12. </w:t>
      </w:r>
      <w:r>
        <w:t>情景结果应显示参数范围或敏感性，而非只给单一精确数字。</w:t>
      </w:r>
    </w:p>
    <w:p>
      <w:pPr>
        <w:ind w:left="173" w:hanging="173"/>
      </w:pPr>
      <w:r>
        <w:rPr>
          <w:b/>
        </w:rPr>
        <w:t xml:space="preserve">13. </w:t>
      </w:r>
      <w:r>
        <w:t>减排结果应注明预测、估算、试点实测或正式核算状态。</w:t>
      </w:r>
    </w:p>
    <w:p>
      <w:pPr>
        <w:ind w:left="173" w:hanging="173"/>
      </w:pPr>
      <w:r>
        <w:rPr>
          <w:b/>
        </w:rPr>
        <w:t xml:space="preserve">14. </w:t>
      </w:r>
      <w:r>
        <w:t>外部均值只能作为参考参数，不能自动当成项目实测数据。</w:t>
      </w:r>
    </w:p>
    <w:p>
      <w:pPr>
        <w:ind w:left="173" w:hanging="173"/>
      </w:pPr>
      <w:r>
        <w:rPr>
          <w:b/>
        </w:rPr>
        <w:t xml:space="preserve">15. </w:t>
      </w:r>
      <w:r>
        <w:t>方案执行后应按一致口径采集数据并与基准比较。</w:t>
      </w:r>
    </w:p>
    <w:p>
      <w:pPr>
        <w:ind w:left="173" w:hanging="173"/>
      </w:pPr>
      <w:r>
        <w:rPr>
          <w:b/>
        </w:rPr>
        <w:t xml:space="preserve">16. </w:t>
      </w:r>
      <w:r>
        <w:t>不得把尚未执行的方案写成已完成减排行动。</w:t>
      </w:r>
    </w:p>
    <w:p>
      <w:r>
        <w:rPr>
          <w:b/>
        </w:rPr>
        <w:t>本页核对要点：</w:t>
      </w:r>
      <w:r>
        <w:t>字段含义与单位明确；异常处理可追溯；不把估算或演示数据表述为实测结果。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8"/>
        </w:rPr>
        <w:t>第37页  成本分析与总拥有成本</w:t>
      </w:r>
    </w:p>
    <w:p>
      <w:pPr>
        <w:jc w:val="center"/>
      </w:pPr>
      <w:r>
        <w:rPr>
          <w:i/>
          <w:sz w:val="16"/>
        </w:rPr>
        <w:t>章节：成本分析｜初稿</w:t>
      </w:r>
    </w:p>
    <w:p>
      <w:r>
        <w:rPr>
          <w:b/>
        </w:rPr>
        <w:t>操作说明：</w:t>
      </w:r>
      <w:r>
        <w:t>本页内容依据团队任务书、数据字典和用户数据输入规范整理；未验证的程序行为以当前分支实际实现为准。</w:t>
      </w:r>
    </w:p>
    <w:p>
      <w:pPr>
        <w:ind w:left="173" w:hanging="173"/>
      </w:pPr>
      <w:r>
        <w:rPr>
          <w:b/>
        </w:rPr>
        <w:t xml:space="preserve">01. </w:t>
      </w:r>
      <w:r>
        <w:t>成本分析用于判断方案经济可行性，而不仅比较采购价格。</w:t>
      </w:r>
    </w:p>
    <w:p>
      <w:pPr>
        <w:ind w:left="173" w:hanging="173"/>
      </w:pPr>
      <w:r>
        <w:rPr>
          <w:b/>
        </w:rPr>
        <w:t xml:space="preserve">02. </w:t>
      </w:r>
      <w:r>
        <w:t>总拥有成本（TCO）应按项目确认的成本边界和使用周期计算。</w:t>
      </w:r>
    </w:p>
    <w:p>
      <w:pPr>
        <w:ind w:left="173" w:hanging="173"/>
      </w:pPr>
      <w:r>
        <w:rPr>
          <w:b/>
        </w:rPr>
        <w:t xml:space="preserve">03. </w:t>
      </w:r>
      <w:r>
        <w:t>可能的成本项包括车辆购置或租赁、能源、维护、人工、通行、折旧和基础设施。</w:t>
      </w:r>
    </w:p>
    <w:p>
      <w:pPr>
        <w:ind w:left="173" w:hanging="173"/>
      </w:pPr>
      <w:r>
        <w:rPr>
          <w:b/>
        </w:rPr>
        <w:t xml:space="preserve">04. </w:t>
      </w:r>
      <w:r>
        <w:t>是否纳入某项成本应由项目模型和业务边界明确规定。</w:t>
      </w:r>
    </w:p>
    <w:p>
      <w:pPr>
        <w:ind w:left="173" w:hanging="173"/>
      </w:pPr>
      <w:r>
        <w:rPr>
          <w:b/>
        </w:rPr>
        <w:t xml:space="preserve">05. </w:t>
      </w:r>
      <w:r>
        <w:t>缺少真实成本数据时，参数应标为假设，不得伪装成企业实际账目。</w:t>
      </w:r>
    </w:p>
    <w:p>
      <w:pPr>
        <w:ind w:left="173" w:hanging="173"/>
      </w:pPr>
      <w:r>
        <w:rPr>
          <w:b/>
        </w:rPr>
        <w:t xml:space="preserve">06. </w:t>
      </w:r>
      <w:r>
        <w:t>能源成本可按消耗量乘单价估算，并分别注明两者来源。</w:t>
      </w:r>
    </w:p>
    <w:p>
      <w:pPr>
        <w:ind w:left="173" w:hanging="173"/>
      </w:pPr>
      <w:r>
        <w:rPr>
          <w:b/>
        </w:rPr>
        <w:t xml:space="preserve">07. </w:t>
      </w:r>
      <w:r>
        <w:t>维护成本应区分固定成本和随里程变化的成本。</w:t>
      </w:r>
    </w:p>
    <w:p>
      <w:pPr>
        <w:ind w:left="173" w:hanging="173"/>
      </w:pPr>
      <w:r>
        <w:rPr>
          <w:b/>
        </w:rPr>
        <w:t xml:space="preserve">08. </w:t>
      </w:r>
      <w:r>
        <w:t>采购、租赁或折旧应采用一致的比较周期。</w:t>
      </w:r>
    </w:p>
    <w:p>
      <w:pPr>
        <w:ind w:left="173" w:hanging="173"/>
      </w:pPr>
      <w:r>
        <w:rPr>
          <w:b/>
        </w:rPr>
        <w:t xml:space="preserve">09. </w:t>
      </w:r>
      <w:r>
        <w:t>不同动力车辆需考虑补能设施、续航和运行条件差异。</w:t>
      </w:r>
    </w:p>
    <w:p>
      <w:pPr>
        <w:ind w:left="173" w:hanging="173"/>
      </w:pPr>
      <w:r>
        <w:rPr>
          <w:b/>
        </w:rPr>
        <w:t xml:space="preserve">10. </w:t>
      </w:r>
      <w:r>
        <w:t>成本应与服务水平、可用率和运输时效共同分析。</w:t>
      </w:r>
    </w:p>
    <w:p>
      <w:pPr>
        <w:ind w:left="173" w:hanging="173"/>
      </w:pPr>
      <w:r>
        <w:rPr>
          <w:b/>
        </w:rPr>
        <w:t xml:space="preserve">11. </w:t>
      </w:r>
      <w:r>
        <w:t>若方案减排但增加成本，应展示成本与减排之间的权衡。</w:t>
      </w:r>
    </w:p>
    <w:p>
      <w:pPr>
        <w:ind w:left="173" w:hanging="173"/>
      </w:pPr>
      <w:r>
        <w:rPr>
          <w:b/>
        </w:rPr>
        <w:t xml:space="preserve">12. </w:t>
      </w:r>
      <w:r>
        <w:t>单位运输成本、单位里程成本或单位货物成本需明确分母。</w:t>
      </w:r>
    </w:p>
    <w:p>
      <w:pPr>
        <w:ind w:left="173" w:hanging="173"/>
      </w:pPr>
      <w:r>
        <w:rPr>
          <w:b/>
        </w:rPr>
        <w:t xml:space="preserve">13. </w:t>
      </w:r>
      <w:r>
        <w:t>不同方案应保持价格基期、税费口径和使用周期一致。</w:t>
      </w:r>
    </w:p>
    <w:p>
      <w:pPr>
        <w:ind w:left="173" w:hanging="173"/>
      </w:pPr>
      <w:r>
        <w:rPr>
          <w:b/>
        </w:rPr>
        <w:t xml:space="preserve">14. </w:t>
      </w:r>
      <w:r>
        <w:t>折现率、能源价格和维护假设应记录来源或制定人。</w:t>
      </w:r>
    </w:p>
    <w:p>
      <w:pPr>
        <w:ind w:left="173" w:hanging="173"/>
      </w:pPr>
      <w:r>
        <w:rPr>
          <w:b/>
        </w:rPr>
        <w:t xml:space="preserve">15. </w:t>
      </w:r>
      <w:r>
        <w:t>没有真实发票数据时，不应编造发票金额作为成本输入。</w:t>
      </w:r>
    </w:p>
    <w:p>
      <w:pPr>
        <w:ind w:left="173" w:hanging="173"/>
      </w:pPr>
      <w:r>
        <w:rPr>
          <w:b/>
        </w:rPr>
        <w:t xml:space="preserve">16. </w:t>
      </w:r>
      <w:r>
        <w:t>敏感性分析用于观察关键假设变化时方案结果是否稳定。</w:t>
      </w:r>
    </w:p>
    <w:p>
      <w:pPr>
        <w:ind w:left="173" w:hanging="173"/>
      </w:pPr>
      <w:r>
        <w:rPr>
          <w:b/>
        </w:rPr>
        <w:t xml:space="preserve">17. </w:t>
      </w:r>
      <w:r>
        <w:t>常见变量包括能源价格、年行驶里程、维护成本、使用年限和利用率。</w:t>
      </w:r>
    </w:p>
    <w:p>
      <w:pPr>
        <w:ind w:left="173" w:hanging="173"/>
      </w:pPr>
      <w:r>
        <w:rPr>
          <w:b/>
        </w:rPr>
        <w:t xml:space="preserve">18. </w:t>
      </w:r>
      <w:r>
        <w:t>变化范围应有业务依据；不能只选择有利于某一方案的参数范围。</w:t>
      </w:r>
    </w:p>
    <w:p>
      <w:pPr>
        <w:ind w:left="173" w:hanging="173"/>
      </w:pPr>
      <w:r>
        <w:rPr>
          <w:b/>
        </w:rPr>
        <w:t xml:space="preserve">19. </w:t>
      </w:r>
      <w:r>
        <w:t>可进行单因素变化分析，并在必要时分析组合情景。</w:t>
      </w:r>
    </w:p>
    <w:p>
      <w:pPr>
        <w:ind w:left="173" w:hanging="173"/>
      </w:pPr>
      <w:r>
        <w:rPr>
          <w:b/>
        </w:rPr>
        <w:t xml:space="preserve">20. </w:t>
      </w:r>
      <w:r>
        <w:t>盈亏平衡分析可估计何种利用率或能源价格下成本持平。</w:t>
      </w:r>
    </w:p>
    <w:p>
      <w:pPr>
        <w:ind w:left="173" w:hanging="173"/>
      </w:pPr>
      <w:r>
        <w:rPr>
          <w:b/>
        </w:rPr>
        <w:t xml:space="preserve">21. </w:t>
      </w:r>
      <w:r>
        <w:t>回收期应说明初始投入、周期现金流和计算方式；折现分析应说明折现率。</w:t>
      </w:r>
    </w:p>
    <w:p>
      <w:pPr>
        <w:ind w:left="173" w:hanging="173"/>
      </w:pPr>
      <w:r>
        <w:rPr>
          <w:b/>
        </w:rPr>
        <w:t xml:space="preserve">22. </w:t>
      </w:r>
      <w:r>
        <w:t>成本差异很小时，应检查关键参数变化是否会反转方案排序。</w:t>
      </w:r>
    </w:p>
    <w:p>
      <w:r>
        <w:rPr>
          <w:b/>
        </w:rPr>
        <w:t>本页核对要点：</w:t>
      </w:r>
      <w:r>
        <w:t>字段含义与单位明确；异常处理可追溯；不把估算或演示数据表述为实测结果。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8"/>
        </w:rPr>
        <w:t>第38页  台账管理与结果追溯</w:t>
      </w:r>
    </w:p>
    <w:p>
      <w:pPr>
        <w:jc w:val="center"/>
      </w:pPr>
      <w:r>
        <w:rPr>
          <w:i/>
          <w:sz w:val="16"/>
        </w:rPr>
        <w:t>章节：台账管理｜初稿</w:t>
      </w:r>
    </w:p>
    <w:p>
      <w:r>
        <w:rPr>
          <w:b/>
        </w:rPr>
        <w:t>操作说明：</w:t>
      </w:r>
      <w:r>
        <w:t>本页内容依据团队任务书、数据字典和用户数据输入规范整理；未验证的程序行为以当前分支实际实现为准。</w:t>
      </w:r>
    </w:p>
    <w:p>
      <w:pPr>
        <w:ind w:left="173" w:hanging="173"/>
      </w:pPr>
      <w:r>
        <w:rPr>
          <w:b/>
        </w:rPr>
        <w:t xml:space="preserve">01. </w:t>
      </w:r>
      <w:r>
        <w:t>台账记录每次输入、校验、处理、核算和方案评估的关键元数据。</w:t>
      </w:r>
    </w:p>
    <w:p>
      <w:pPr>
        <w:ind w:left="173" w:hanging="173"/>
      </w:pPr>
      <w:r>
        <w:rPr>
          <w:b/>
        </w:rPr>
        <w:t xml:space="preserve">02. </w:t>
      </w:r>
      <w:r>
        <w:t>建议记录批次编号、输入文件、数据期间、来源类型和版本。</w:t>
      </w:r>
    </w:p>
    <w:p>
      <w:pPr>
        <w:ind w:left="173" w:hanging="173"/>
      </w:pPr>
      <w:r>
        <w:rPr>
          <w:b/>
        </w:rPr>
        <w:t xml:space="preserve">03. </w:t>
      </w:r>
      <w:r>
        <w:t>记录校验时间、结论、FAIL数、WARN数和报告路径。</w:t>
      </w:r>
    </w:p>
    <w:p>
      <w:pPr>
        <w:ind w:left="173" w:hanging="173"/>
      </w:pPr>
      <w:r>
        <w:rPr>
          <w:b/>
        </w:rPr>
        <w:t xml:space="preserve">04. </w:t>
      </w:r>
      <w:r>
        <w:t>记录代码版本或Git提交号，便于复现。</w:t>
      </w:r>
    </w:p>
    <w:p>
      <w:pPr>
        <w:ind w:left="173" w:hanging="173"/>
      </w:pPr>
      <w:r>
        <w:rPr>
          <w:b/>
        </w:rPr>
        <w:t xml:space="preserve">05. </w:t>
      </w:r>
      <w:r>
        <w:t>记录排放因子版本、车型映射版本和核算口径。</w:t>
      </w:r>
    </w:p>
    <w:p>
      <w:pPr>
        <w:ind w:left="173" w:hanging="173"/>
      </w:pPr>
      <w:r>
        <w:rPr>
          <w:b/>
        </w:rPr>
        <w:t xml:space="preserve">06. </w:t>
      </w:r>
      <w:r>
        <w:t>记录去重前行数、重复排除数和去重后物理路段数。</w:t>
      </w:r>
    </w:p>
    <w:p>
      <w:pPr>
        <w:ind w:left="173" w:hanging="173"/>
      </w:pPr>
      <w:r>
        <w:rPr>
          <w:b/>
        </w:rPr>
        <w:t xml:space="preserve">07. </w:t>
      </w:r>
      <w:r>
        <w:t>记录订单关联率、车型目录匹配率和基准映射覆盖情况。</w:t>
      </w:r>
    </w:p>
    <w:p>
      <w:pPr>
        <w:ind w:left="173" w:hanging="173"/>
      </w:pPr>
      <w:r>
        <w:rPr>
          <w:b/>
        </w:rPr>
        <w:t xml:space="preserve">08. </w:t>
      </w:r>
      <w:r>
        <w:t>记录估算字段数量、异常时间、异常速度和未解决问题。</w:t>
      </w:r>
    </w:p>
    <w:p>
      <w:pPr>
        <w:ind w:left="173" w:hanging="173"/>
      </w:pPr>
      <w:r>
        <w:rPr>
          <w:b/>
        </w:rPr>
        <w:t xml:space="preserve">09. </w:t>
      </w:r>
      <w:r>
        <w:t>记录基准结果单位、范围、生成时间和输出文件名。</w:t>
      </w:r>
    </w:p>
    <w:p>
      <w:pPr>
        <w:ind w:left="173" w:hanging="173"/>
      </w:pPr>
      <w:r>
        <w:rPr>
          <w:b/>
        </w:rPr>
        <w:t xml:space="preserve">10. </w:t>
      </w:r>
      <w:r>
        <w:t>记录方案名称、参数、成本假设和预计减排结果。</w:t>
      </w:r>
    </w:p>
    <w:p>
      <w:pPr>
        <w:ind w:left="173" w:hanging="173"/>
      </w:pPr>
      <w:r>
        <w:rPr>
          <w:b/>
        </w:rPr>
        <w:t xml:space="preserve">11. </w:t>
      </w:r>
      <w:r>
        <w:t>方案结果应注明预测、估算、试点实测或正式核算状态。</w:t>
      </w:r>
    </w:p>
    <w:p>
      <w:pPr>
        <w:ind w:left="173" w:hanging="173"/>
      </w:pPr>
      <w:r>
        <w:rPr>
          <w:b/>
        </w:rPr>
        <w:t xml:space="preserve">12. </w:t>
      </w:r>
      <w:r>
        <w:t>台账不应无必要保存完整车牌、客户信息或发票号码。</w:t>
      </w:r>
    </w:p>
    <w:p>
      <w:pPr>
        <w:ind w:left="173" w:hanging="173"/>
      </w:pPr>
      <w:r>
        <w:rPr>
          <w:b/>
        </w:rPr>
        <w:t xml:space="preserve">13. </w:t>
      </w:r>
      <w:r>
        <w:t>真实明细台账应存放在有访问控制的受控环境中。</w:t>
      </w:r>
    </w:p>
    <w:p>
      <w:pPr>
        <w:ind w:left="173" w:hanging="173"/>
      </w:pPr>
      <w:r>
        <w:rPr>
          <w:b/>
        </w:rPr>
        <w:t xml:space="preserve">14. </w:t>
      </w:r>
      <w:r>
        <w:t>口径变化应建立新批次或新版本，避免覆盖旧记录。</w:t>
      </w:r>
    </w:p>
    <w:p>
      <w:pPr>
        <w:ind w:left="173" w:hanging="173"/>
      </w:pPr>
      <w:r>
        <w:rPr>
          <w:b/>
        </w:rPr>
        <w:t xml:space="preserve">15. </w:t>
      </w:r>
      <w:r>
        <w:t>台账应能从结论追溯到输入文件、规则、因子和计算报告。</w:t>
      </w:r>
    </w:p>
    <w:p>
      <w:r>
        <w:rPr>
          <w:b/>
        </w:rPr>
        <w:t>本页核对要点：</w:t>
      </w:r>
      <w:r>
        <w:t>字段含义与单位明确；异常处理可追溯；不把估算或演示数据表述为实测结果。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8"/>
        </w:rPr>
        <w:t>第39页  数据合规与公开仓库处理</w:t>
      </w:r>
    </w:p>
    <w:p>
      <w:pPr>
        <w:jc w:val="center"/>
      </w:pPr>
      <w:r>
        <w:rPr>
          <w:i/>
          <w:sz w:val="16"/>
        </w:rPr>
        <w:t>章节：数据合规｜初稿</w:t>
      </w:r>
    </w:p>
    <w:p>
      <w:r>
        <w:rPr>
          <w:b/>
        </w:rPr>
        <w:t>操作说明：</w:t>
      </w:r>
      <w:r>
        <w:t>本页内容依据团队任务书、数据字典和用户数据输入规范整理；未验证的程序行为以当前分支实际实现为准。</w:t>
      </w:r>
    </w:p>
    <w:p>
      <w:pPr>
        <w:ind w:left="173" w:hanging="173"/>
      </w:pPr>
      <w:r>
        <w:rPr>
          <w:b/>
        </w:rPr>
        <w:t xml:space="preserve">01. </w:t>
      </w:r>
      <w:r>
        <w:t>公开GitHub仓库不适合存放真实运单明细、完整车牌、客户信息和发票数据。</w:t>
      </w:r>
    </w:p>
    <w:p>
      <w:pPr>
        <w:ind w:left="173" w:hanging="173"/>
      </w:pPr>
      <w:r>
        <w:rPr>
          <w:b/>
        </w:rPr>
        <w:t xml:space="preserve">02. </w:t>
      </w:r>
      <w:r>
        <w:t>提交前检查Excel、CSV、Parquet、JSON、日志、截图和文档中的敏感字段。</w:t>
      </w:r>
    </w:p>
    <w:p>
      <w:pPr>
        <w:ind w:left="173" w:hanging="173"/>
      </w:pPr>
      <w:r>
        <w:rPr>
          <w:b/>
        </w:rPr>
        <w:t xml:space="preserve">03. </w:t>
      </w:r>
      <w:r>
        <w:t>运单号可能关联具体业务活动，应依据授权和风险决定是否脱敏。</w:t>
      </w:r>
    </w:p>
    <w:p>
      <w:pPr>
        <w:ind w:left="173" w:hanging="173"/>
      </w:pPr>
      <w:r>
        <w:rPr>
          <w:b/>
        </w:rPr>
        <w:t xml:space="preserve">04. </w:t>
      </w:r>
      <w:r>
        <w:t>公开演示使用虚构车辆标识，不暴露真实车牌。</w:t>
      </w:r>
    </w:p>
    <w:p>
      <w:pPr>
        <w:ind w:left="173" w:hanging="173"/>
      </w:pPr>
      <w:r>
        <w:rPr>
          <w:b/>
        </w:rPr>
        <w:t xml:space="preserve">05. </w:t>
      </w:r>
      <w:r>
        <w:t>发票号和发票金额不得在缺乏授权和必要性时公开。</w:t>
      </w:r>
    </w:p>
    <w:p>
      <w:pPr>
        <w:ind w:left="173" w:hanging="173"/>
      </w:pPr>
      <w:r>
        <w:rPr>
          <w:b/>
        </w:rPr>
        <w:t xml:space="preserve">06. </w:t>
      </w:r>
      <w:r>
        <w:t>客户编码、商家名称和网点信息也可能组合识别业务主体。</w:t>
      </w:r>
    </w:p>
    <w:p>
      <w:pPr>
        <w:ind w:left="173" w:hanging="173"/>
      </w:pPr>
      <w:r>
        <w:rPr>
          <w:b/>
        </w:rPr>
        <w:t xml:space="preserve">07. </w:t>
      </w:r>
      <w:r>
        <w:t>优先使用合成数据，不要简单抽取真实数据作为演示样本。</w:t>
      </w:r>
    </w:p>
    <w:p>
      <w:pPr>
        <w:ind w:left="173" w:hanging="173"/>
      </w:pPr>
      <w:r>
        <w:rPr>
          <w:b/>
        </w:rPr>
        <w:t xml:space="preserve">08. </w:t>
      </w:r>
      <w:r>
        <w:t>脱敏后仍应检查字段组合是否可以重新识别业务主体。</w:t>
      </w:r>
    </w:p>
    <w:p>
      <w:pPr>
        <w:ind w:left="173" w:hanging="173"/>
      </w:pPr>
      <w:r>
        <w:rPr>
          <w:b/>
        </w:rPr>
        <w:t xml:space="preserve">09. </w:t>
      </w:r>
      <w:r>
        <w:t>如真实数据已进入公开仓库，应由负责人评估移除文件和清理历史。</w:t>
      </w:r>
    </w:p>
    <w:p>
      <w:pPr>
        <w:ind w:left="173" w:hanging="173"/>
      </w:pPr>
      <w:r>
        <w:rPr>
          <w:b/>
        </w:rPr>
        <w:t xml:space="preserve">10. </w:t>
      </w:r>
      <w:r>
        <w:t>清理历史前与团队协调，避免破坏他人分支和开发工作。</w:t>
      </w:r>
    </w:p>
    <w:p>
      <w:pPr>
        <w:ind w:left="173" w:hanging="173"/>
      </w:pPr>
      <w:r>
        <w:rPr>
          <w:b/>
        </w:rPr>
        <w:t xml:space="preserve">11. </w:t>
      </w:r>
      <w:r>
        <w:t>如果曾提交访问令牌或密码，应立即撤销或轮换。</w:t>
      </w:r>
    </w:p>
    <w:p>
      <w:pPr>
        <w:ind w:left="173" w:hanging="173"/>
      </w:pPr>
      <w:r>
        <w:rPr>
          <w:b/>
        </w:rPr>
        <w:t xml:space="preserve">12. </w:t>
      </w:r>
      <w:r>
        <w:t>检查提交历史、分支、标签、PR、Actions日志和发布附件等残留位置。</w:t>
      </w:r>
    </w:p>
    <w:p>
      <w:pPr>
        <w:ind w:left="173" w:hanging="173"/>
      </w:pPr>
      <w:r>
        <w:rPr>
          <w:b/>
        </w:rPr>
        <w:t xml:space="preserve">13. </w:t>
      </w:r>
      <w:r>
        <w:t>对外报告只保留支持结论所需的汇总指标。</w:t>
      </w:r>
    </w:p>
    <w:p>
      <w:pPr>
        <w:ind w:left="173" w:hanging="173"/>
      </w:pPr>
      <w:r>
        <w:rPr>
          <w:b/>
        </w:rPr>
        <w:t xml:space="preserve">14. </w:t>
      </w:r>
      <w:r>
        <w:t>本手册不声称仓库已完成历史清理，必须以实际检查记录为准。</w:t>
      </w:r>
    </w:p>
    <w:p>
      <w:pPr>
        <w:ind w:left="173" w:hanging="173"/>
      </w:pPr>
      <w:r>
        <w:rPr>
          <w:b/>
        </w:rPr>
        <w:t xml:space="preserve">15. </w:t>
      </w:r>
      <w:r>
        <w:t>发布前应由团队成员复核数据合规清单。</w:t>
      </w:r>
    </w:p>
    <w:p>
      <w:r>
        <w:rPr>
          <w:b/>
        </w:rPr>
        <w:t>本页核对要点：</w:t>
      </w:r>
      <w:r>
        <w:t>字段含义与单位明确；异常处理可追溯；不把估算或演示数据表述为实测结果。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8"/>
        </w:rPr>
        <w:t>第40页  常见问题与操作回顾</w:t>
      </w:r>
    </w:p>
    <w:p>
      <w:pPr>
        <w:jc w:val="center"/>
      </w:pPr>
      <w:r>
        <w:rPr>
          <w:i/>
          <w:sz w:val="16"/>
        </w:rPr>
        <w:t>章节：常见问题｜初稿</w:t>
      </w:r>
    </w:p>
    <w:p>
      <w:r>
        <w:rPr>
          <w:b/>
        </w:rPr>
        <w:t>操作说明：</w:t>
      </w:r>
      <w:r>
        <w:t>本页内容依据团队任务书、数据字典和用户数据输入规范整理；未验证的程序行为以当前分支实际实现为准。</w:t>
      </w:r>
    </w:p>
    <w:p>
      <w:pPr>
        <w:ind w:left="173" w:hanging="173"/>
      </w:pPr>
      <w:r>
        <w:rPr>
          <w:b/>
        </w:rPr>
        <w:t xml:space="preserve">01. </w:t>
      </w:r>
      <w:r>
        <w:t>问：V1.0是否通过网页上传？答：本版本采用本地文件和命令行流程，不新增上传页。</w:t>
      </w:r>
    </w:p>
    <w:p>
      <w:pPr>
        <w:ind w:left="173" w:hanging="173"/>
      </w:pPr>
      <w:r>
        <w:rPr>
          <w:b/>
        </w:rPr>
        <w:t xml:space="preserve">02. </w:t>
      </w:r>
      <w:r>
        <w:t>问：是否需要登录？答：任务书明确V1.0不做登录和在线注册。</w:t>
      </w:r>
    </w:p>
    <w:p>
      <w:pPr>
        <w:ind w:left="173" w:hanging="173"/>
      </w:pPr>
      <w:r>
        <w:rPr>
          <w:b/>
        </w:rPr>
        <w:t xml:space="preserve">03. </w:t>
      </w:r>
      <w:r>
        <w:t>问：订单、运单、车辆是否放在一个工作簿？答：标准模板使用三个工作表。</w:t>
      </w:r>
    </w:p>
    <w:p>
      <w:pPr>
        <w:ind w:left="173" w:hanging="173"/>
      </w:pPr>
      <w:r>
        <w:rPr>
          <w:b/>
        </w:rPr>
        <w:t xml:space="preserve">04. </w:t>
      </w:r>
      <w:r>
        <w:t>问：原始附件也要改成三张表吗？答：不要擅自修改原始附件，应使用明确的字段映射。</w:t>
      </w:r>
    </w:p>
    <w:p>
      <w:pPr>
        <w:ind w:left="173" w:hanging="173"/>
      </w:pPr>
      <w:r>
        <w:rPr>
          <w:b/>
        </w:rPr>
        <w:t xml:space="preserve">05. </w:t>
      </w:r>
      <w:r>
        <w:t>问：运单号可以当订单号吗？答：不可以，代理值必须保留标记。</w:t>
      </w:r>
    </w:p>
    <w:p>
      <w:pPr>
        <w:ind w:left="173" w:hanging="173"/>
      </w:pPr>
      <w:r>
        <w:rPr>
          <w:b/>
        </w:rPr>
        <w:t xml:space="preserve">06. </w:t>
      </w:r>
      <w:r>
        <w:t>问：地图直线距离可以替代实际里程吗？答：不能无标记替代，估算值必须说明来源。</w:t>
      </w:r>
    </w:p>
    <w:p>
      <w:pPr>
        <w:ind w:left="173" w:hanging="173"/>
      </w:pPr>
      <w:r>
        <w:rPr>
          <w:b/>
        </w:rPr>
        <w:t xml:space="preserve">07. </w:t>
      </w:r>
      <w:r>
        <w:t>问：缺失重量可以填0吗？答：不能把缺失当作真实0。</w:t>
      </w:r>
    </w:p>
    <w:p>
      <w:pPr>
        <w:ind w:left="173" w:hanging="173"/>
      </w:pPr>
      <w:r>
        <w:rPr>
          <w:b/>
        </w:rPr>
        <w:t xml:space="preserve">08. </w:t>
      </w:r>
      <w:r>
        <w:t>问：车型目录匹配成功就代表因子匹配吗？答：不一定。</w:t>
      </w:r>
    </w:p>
    <w:p>
      <w:pPr>
        <w:ind w:left="173" w:hanging="173"/>
      </w:pPr>
      <w:r>
        <w:rPr>
          <w:b/>
        </w:rPr>
        <w:t xml:space="preserve">09. </w:t>
      </w:r>
      <w:r>
        <w:t>问：重复运单全部删除吗？答：应按已确认的物理路段规则去重并保留追溯信息。</w:t>
      </w:r>
    </w:p>
    <w:p>
      <w:pPr>
        <w:ind w:left="173" w:hanging="173"/>
      </w:pPr>
      <w:r>
        <w:rPr>
          <w:b/>
        </w:rPr>
        <w:t xml:space="preserve">10. </w:t>
      </w:r>
      <w:r>
        <w:t>问：没有速度列怎么办？答：反算时标记为计算值，不是实测值。</w:t>
      </w:r>
    </w:p>
    <w:p>
      <w:pPr>
        <w:ind w:left="173" w:hanging="173"/>
      </w:pPr>
      <w:r>
        <w:rPr>
          <w:b/>
        </w:rPr>
        <w:t xml:space="preserve">11. </w:t>
      </w:r>
      <w:r>
        <w:t>问：时间倒挂能自动改吗？答：不得静默修改，应核对源记录。</w:t>
      </w:r>
    </w:p>
    <w:p>
      <w:pPr>
        <w:ind w:left="173" w:hanging="173"/>
      </w:pPr>
      <w:r>
        <w:rPr>
          <w:b/>
        </w:rPr>
        <w:t xml:space="preserve">12. </w:t>
      </w:r>
      <w:r>
        <w:t>问：没有发票字段怎么办？答：保持为空或不适用，不得编造金额。</w:t>
      </w:r>
    </w:p>
    <w:p>
      <w:pPr>
        <w:ind w:left="173" w:hanging="173"/>
      </w:pPr>
      <w:r>
        <w:rPr>
          <w:b/>
        </w:rPr>
        <w:t xml:space="preserve">13. </w:t>
      </w:r>
      <w:r>
        <w:t>问：校验失败可以覆盖旧结果吗？答：不应覆盖已有有效结果。</w:t>
      </w:r>
    </w:p>
    <w:p>
      <w:pPr>
        <w:ind w:left="173" w:hanging="173"/>
      </w:pPr>
      <w:r>
        <w:rPr>
          <w:b/>
        </w:rPr>
        <w:t xml:space="preserve">14. </w:t>
      </w:r>
      <w:r>
        <w:t>问：演示数据能证明减排吗？答：不能，只能用于流程演示。</w:t>
      </w:r>
    </w:p>
    <w:p>
      <w:pPr>
        <w:ind w:left="173" w:hanging="173"/>
      </w:pPr>
      <w:r>
        <w:rPr>
          <w:b/>
        </w:rPr>
        <w:t xml:space="preserve">15. </w:t>
      </w:r>
      <w:r>
        <w:t>问：方案预测能写成实际减排吗？答：不可以，除非实施并按一致口径验证。</w:t>
      </w:r>
    </w:p>
    <w:p>
      <w:pPr>
        <w:ind w:left="173" w:hanging="173"/>
      </w:pPr>
      <w:r>
        <w:rPr>
          <w:b/>
        </w:rPr>
        <w:t xml:space="preserve">16. </w:t>
      </w:r>
      <w:r>
        <w:t>问：发现公开数据泄露怎么办？答：报告负责人并评估文件、历史和凭据处置。</w:t>
      </w:r>
    </w:p>
    <w:p>
      <w:r>
        <w:rPr>
          <w:b/>
        </w:rPr>
        <w:t>本页核对要点：</w:t>
      </w:r>
      <w:r>
        <w:t>字段含义与单位明确；异常处理可追溯；不把估算或演示数据表述为实测结果。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用户手册初稿｜第40页（合稿时统一页码）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/>
        <w:sz w:val="16"/>
      </w:rPr>
      <w:t>碳慧智算物流碳感知智能决策系统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