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F3A5F"/>
          <w:sz w:val="60"/>
        </w:rPr>
        <w:t>主体赛施工蓝图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color w:val="444444"/>
          <w:sz w:val="36"/>
        </w:rPr>
        <w:t>科技发明制作类</w:t>
      </w:r>
    </w:p>
    <w:p>
      <w:pPr>
        <w:jc w:val="center"/>
      </w:pPr>
      <w:r>
        <w:rPr>
          <w:rFonts w:ascii="Times New Roman" w:hAnsi="Times New Roman" w:eastAsia="黑体"/>
          <w:color w:val="666666"/>
          <w:sz w:val="26"/>
        </w:rPr>
        <w:t>物流企业碳感知智能决策系统</w:t>
      </w:r>
    </w:p>
    <w:p>
      <w:pPr>
        <w:pBdr>
          <w:bottom w:val="single" w:sz="10" w:space="1" w:color="1F3A5F"/>
        </w:pBdr>
        <w:spacing w:before="40"/>
        <w:jc w:val="center"/>
      </w:pP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669"/>
      </w:tblGrid>
      <w:tr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rFonts w:ascii="Times New Roman" w:hAnsi="Times New Roman" w:eastAsia="黑体"/>
                <w:b/>
                <w:color w:val="444444"/>
                <w:sz w:val="21"/>
              </w:rPr>
              <w:t>项目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color w:val="222222"/>
                <w:sz w:val="21"/>
              </w:rPr>
              <w:t>物流企业碳感知智能决策系统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rFonts w:ascii="Times New Roman" w:hAnsi="Times New Roman" w:eastAsia="黑体"/>
                <w:b/>
                <w:color w:val="444444"/>
                <w:sz w:val="21"/>
              </w:rPr>
              <w:t>赛道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color w:val="222222"/>
                <w:sz w:val="21"/>
              </w:rPr>
              <w:t>2027 第二十届“挑战杯”主体赛 · 科技发明制作（A 类）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rFonts w:ascii="Times New Roman" w:hAnsi="Times New Roman" w:eastAsia="黑体"/>
                <w:b/>
                <w:color w:val="444444"/>
                <w:sz w:val="21"/>
              </w:rPr>
              <w:t>版本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color w:val="222222"/>
                <w:sz w:val="21"/>
              </w:rPr>
              <w:t>v3.0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rFonts w:ascii="Times New Roman" w:hAnsi="Times New Roman" w:eastAsia="黑体"/>
                <w:b/>
                <w:color w:val="444444"/>
                <w:sz w:val="21"/>
              </w:rPr>
              <w:t>编制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color w:val="222222"/>
                <w:sz w:val="21"/>
              </w:rPr>
              <w:t>周嬴鑫（项目负责人）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rFonts w:ascii="Times New Roman" w:hAnsi="Times New Roman" w:eastAsia="黑体"/>
                <w:b/>
                <w:color w:val="444444"/>
                <w:sz w:val="21"/>
              </w:rPr>
              <w:t>日期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color w:val="222222"/>
                <w:sz w:val="21"/>
              </w:rPr>
              <w:t>2026 年 10 月 18 日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rFonts w:ascii="Times New Roman" w:hAnsi="Times New Roman" w:eastAsia="黑体"/>
                <w:b/>
                <w:color w:val="444444"/>
                <w:sz w:val="21"/>
              </w:rPr>
              <w:t>冲刺窗口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color w:val="222222"/>
                <w:sz w:val="21"/>
              </w:rPr>
              <w:t>2026-10-19（周一）→ 2026-11-15（周日）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rFonts w:ascii="Times New Roman" w:hAnsi="Times New Roman" w:eastAsia="黑体"/>
                <w:b/>
                <w:color w:val="444444"/>
                <w:sz w:val="21"/>
              </w:rPr>
              <w:t>节奏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color w:val="222222"/>
                <w:sz w:val="21"/>
              </w:rPr>
              <w:t>3 周冲刺 + 1 周留白 ｜ 硬性冻结线 2026-11-15</w:t>
            </w:r>
          </w:p>
        </w:tc>
      </w:tr>
    </w:tbl>
    <w:p/>
    <w:p/>
    <w:p/>
    <w:p>
      <w:pPr>
        <w:shd w:val="clear" w:color="auto" w:fill="F4F7FA"/>
        <w:ind w:left="907" w:right="907"/>
        <w:jc w:val="center"/>
      </w:pPr>
      <w:r>
        <w:rPr>
          <w:rFonts w:ascii="Times New Roman" w:hAnsi="Times New Roman" w:eastAsia="黑体"/>
          <w:color w:val="1F3A5F"/>
          <w:sz w:val="21"/>
        </w:rPr>
        <w:t>先保证对，再追求快；先立契约，再谈效率。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color w:val="1F3A5F"/>
          <w:sz w:val="32"/>
        </w:rPr>
        <w:t>目　　录</w:t>
      </w:r>
    </w:p>
    <w:p>
      <w:pPr>
        <w:spacing w:after="280"/>
        <w:jc w:val="center"/>
      </w:pPr>
      <w:r>
        <w:rPr>
          <w:rFonts w:ascii="Times New Roman" w:hAnsi="Times New Roman" w:eastAsia="宋体"/>
          <w:color w:val="808080"/>
          <w:sz w:val="18"/>
        </w:rPr>
        <w:t>全文 13 章 ｜ 按标题导航，页码见页脚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0. 本版变更摘要（v2 → v3）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v2 → v3 改了什么、为什么改：赛道 / 产品逻辑 / FLAG / 双轨 / λ / 排期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1. 业务逻辑全景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一句话定位、五问五页、决策闭环、三条实证依据、五档口径红线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2. 工程师建议的采纳与修正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工程师建议的采纳 8 条、修正 2 条、数据体检结果与三类 FLAG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3. 文件结构（定稿）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目录树（带负责人）+ 四个核心文件的 P/O/E/G 模块 + app 与 docs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4. 责任矩阵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文件级 O/R/C、模块级分工图、跨文件接口交付表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5. 并行还是串行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四条并行线、三个强制串行节点、依赖图、mock 先行规则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6. 四周排期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四周总表 + W1 日级表 + C1–C4 检查点 + 留白周规则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7. 验收判据（数字速查）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七层判据：数据 / 引擎 / 分析 / 财务 / 台账 / 前端 / 交付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8. 风险与降级序列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七类风险、三档降级序列、四条不可砍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9. 协作纪律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六个协作规则：主笔 / 口径签字 / PR / 站会 / 冻结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10. 第一天（10/19 周一）就要做的五件事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开工清单：谁在第一天做什么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附录 A · 文件-模块-负责人速查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一表查人：文件 → 模块 → 负责人 → 复核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附录 B · 术语表</w:t>
            </w:r>
          </w:p>
        </w:tc>
        <w:tc>
          <w:tcPr>
            <w:tcW w:type="dxa" w:w="5329"/>
            <w:vAlign w:val="center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双轨 / 带宽 / λ / FLAG / 闸门 / E₀</w:t>
            </w:r>
          </w:p>
        </w:tc>
      </w:tr>
    </w:tbl>
    <w:p>
      <w:r>
        <w:br w:type="page"/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项目</w:t>
      </w:r>
      <w:r>
        <w:rPr>
          <w:rFonts w:ascii="Times New Roman" w:hAnsi="Times New Roman" w:eastAsia="宋体"/>
          <w:b w:val="0"/>
          <w:sz w:val="21"/>
        </w:rPr>
        <w:t xml:space="preserve">：物流企业碳感知智能决策系统 ｜ </w:t>
      </w:r>
      <w:r>
        <w:rPr>
          <w:rFonts w:ascii="Times New Roman" w:hAnsi="Times New Roman" w:eastAsia="宋体"/>
          <w:b/>
          <w:sz w:val="21"/>
        </w:rPr>
        <w:t>赛道</w:t>
      </w:r>
      <w:r>
        <w:rPr>
          <w:rFonts w:ascii="Times New Roman" w:hAnsi="Times New Roman" w:eastAsia="宋体"/>
          <w:b w:val="0"/>
          <w:sz w:val="21"/>
        </w:rPr>
        <w:t>：2027 第二十届"挑战杯"主体赛 · 科技发明制作（A 类）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依托</w:t>
      </w:r>
      <w:r>
        <w:rPr>
          <w:rFonts w:ascii="Times New Roman" w:hAnsi="Times New Roman" w:eastAsia="宋体"/>
          <w:b w:val="0"/>
          <w:sz w:val="21"/>
        </w:rPr>
        <w:t>：数字书院商科拔尖创新人才培养专项支持项目（学生类）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版本</w:t>
      </w:r>
      <w:r>
        <w:rPr>
          <w:rFonts w:ascii="Times New Roman" w:hAnsi="Times New Roman" w:eastAsia="宋体"/>
          <w:b w:val="0"/>
          <w:sz w:val="21"/>
        </w:rPr>
        <w:t>：v3.0 ｜ 2026-10-18 ｜ 编制：周嬴鑫（PM）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冲刺窗口</w:t>
      </w:r>
      <w:r>
        <w:rPr>
          <w:rFonts w:ascii="Times New Roman" w:hAnsi="Times New Roman" w:eastAsia="宋体"/>
          <w:b w:val="0"/>
          <w:sz w:val="21"/>
        </w:rPr>
        <w:t>：2026-10-19（周一）→ 2026-11-15（周日）= 4 周（</w:t>
      </w:r>
      <w:r>
        <w:rPr>
          <w:rFonts w:ascii="Times New Roman" w:hAnsi="Times New Roman" w:eastAsia="宋体"/>
          <w:b/>
          <w:sz w:val="21"/>
        </w:rPr>
        <w:t>3 周冲刺 + 1 周留白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硬性冻结线</w:t>
      </w:r>
      <w:r>
        <w:rPr>
          <w:rFonts w:ascii="Times New Roman" w:hAnsi="Times New Roman" w:eastAsia="宋体"/>
          <w:b w:val="0"/>
          <w:sz w:val="21"/>
        </w:rPr>
        <w:t>：2026-11-15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架构基线</w:t>
      </w:r>
      <w:r>
        <w:rPr>
          <w:rFonts w:ascii="Times New Roman" w:hAnsi="Times New Roman" w:eastAsia="宋体"/>
          <w:b w:val="0"/>
          <w:sz w:val="21"/>
        </w:rPr>
        <w:t>：四文件扁平流水线 + 只读前端 + 三段式标记（FLAG）</w:t>
      </w: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/>
          <w:color w:val="333333"/>
          <w:sz w:val="20"/>
        </w:rPr>
        <w:t>本图与 16 号的关系</w:t>
      </w:r>
      <w:r>
        <w:rPr>
          <w:rFonts w:ascii="Times New Roman" w:hAnsi="Times New Roman" w:eastAsia="宋体"/>
          <w:b w:val="0"/>
          <w:color w:val="333333"/>
          <w:sz w:val="20"/>
        </w:rPr>
        <w:t>：16 号《项目施工蓝图 v1.0》是"京采命题·揭榜挂帅"的排期图，作为</w:t>
      </w:r>
      <w:r>
        <w:rPr>
          <w:rFonts w:ascii="Times New Roman" w:hAnsi="Times New Roman" w:eastAsia="宋体"/>
          <w:b/>
          <w:color w:val="333333"/>
          <w:sz w:val="20"/>
        </w:rPr>
        <w:t>上一场比赛的归档</w:t>
      </w:r>
      <w:r>
        <w:rPr>
          <w:rFonts w:ascii="Times New Roman" w:hAnsi="Times New Roman" w:eastAsia="宋体"/>
          <w:b w:val="0"/>
          <w:color w:val="333333"/>
          <w:sz w:val="20"/>
        </w:rPr>
        <w:t>保留，不再作为执行依据。</w:t>
      </w:r>
      <w:r>
        <w:rPr>
          <w:rFonts w:ascii="Times New Roman" w:hAnsi="Times New Roman" w:eastAsia="宋体"/>
          <w:b/>
          <w:color w:val="333333"/>
          <w:sz w:val="20"/>
        </w:rPr>
        <w:t>自本图发布起，排期以本图为准。</w:t>
      </w: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 w:val="0"/>
          <w:color w:val="333333"/>
          <w:sz w:val="20"/>
        </w:rPr>
        <w:t>三份配套文档：</w:t>
      </w:r>
      <w:r>
        <w:rPr>
          <w:rFonts w:ascii="Times New Roman" w:hAnsi="Times New Roman" w:eastAsia="宋体"/>
          <w:b/>
          <w:color w:val="333333"/>
          <w:sz w:val="20"/>
        </w:rPr>
        <w:t>本图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= 执行总纲（结构 / 分工 / 排期）；03 号 = 结构细节；06 号 = 权限细节。三者冲突时，</w:t>
      </w:r>
      <w:r>
        <w:rPr>
          <w:rFonts w:ascii="Times New Roman" w:hAnsi="Times New Roman" w:eastAsia="宋体"/>
          <w:b/>
          <w:color w:val="333333"/>
          <w:sz w:val="20"/>
        </w:rPr>
        <w:t>结构与分工以本图 §3–§4 为准</w:t>
      </w:r>
      <w:r>
        <w:rPr>
          <w:rFonts w:ascii="Times New Roman" w:hAnsi="Times New Roman" w:eastAsia="宋体"/>
          <w:b w:val="0"/>
          <w:color w:val="333333"/>
          <w:sz w:val="20"/>
        </w:rPr>
        <w:t>，权限流程仍按 06 号。</w:t>
      </w: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0. 本版变更摘要（v2 → v3）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4711"/>
        <w:gridCol w:w="3396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#</w:t>
            </w:r>
          </w:p>
        </w:tc>
        <w:tc>
          <w:tcPr>
            <w:tcW w:type="dxa" w:w="471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变更</w:t>
            </w:r>
          </w:p>
        </w:tc>
        <w:tc>
          <w:tcPr>
            <w:tcW w:type="dxa" w:w="339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原因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471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赛道锚点：揭榜挂帅 → </w:t>
            </w:r>
            <w:r>
              <w:rPr>
                <w:rFonts w:ascii="Times New Roman" w:hAnsi="Times New Roman" w:eastAsia="宋体"/>
                <w:b/>
                <w:sz w:val="18"/>
              </w:rPr>
              <w:t>主体赛·发明制作 A 类</w:t>
            </w:r>
          </w:p>
        </w:tc>
        <w:tc>
          <w:tcPr>
            <w:tcW w:type="dxa" w:w="33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交付物从"一份方案"变成"一台可演示、可验证的装置"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471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产品逻辑：展示链 → </w:t>
            </w:r>
            <w:r>
              <w:rPr>
                <w:rFonts w:ascii="Times New Roman" w:hAnsi="Times New Roman" w:eastAsia="宋体"/>
                <w:b/>
                <w:sz w:val="18"/>
              </w:rPr>
              <w:t>决策闭环</w:t>
            </w:r>
          </w:p>
        </w:tc>
        <w:tc>
          <w:tcPr>
            <w:tcW w:type="dxa" w:w="33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从"算出来给你看"变成"这条线该派什么车、差多少钱、怎么入账"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471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新增 </w:t>
            </w:r>
            <w:r>
              <w:rPr>
                <w:rFonts w:ascii="Times New Roman" w:hAnsi="Times New Roman" w:eastAsia="宋体"/>
                <w:b/>
                <w:sz w:val="18"/>
              </w:rPr>
              <w:t>FLAG 三段式标记</w:t>
            </w:r>
            <w:r>
              <w:rPr>
                <w:rFonts w:ascii="Times New Roman" w:hAnsi="Times New Roman" w:eastAsia="宋体"/>
                <w:b w:val="0"/>
                <w:sz w:val="18"/>
              </w:rPr>
              <w:t>（dup / anomaly / basis）</w:t>
            </w:r>
          </w:p>
        </w:tc>
        <w:tc>
          <w:tcPr>
            <w:tcW w:type="dxa" w:w="33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真实数据不是"缺"而是"重"和"歧义"，必须标记而非删除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471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新增 </w:t>
            </w:r>
            <w:r>
              <w:rPr>
                <w:rFonts w:ascii="Times New Roman" w:hAnsi="Times New Roman" w:eastAsia="宋体"/>
                <w:b/>
                <w:sz w:val="18"/>
              </w:rPr>
              <w:t>双轨计量引擎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（法定轨 / 物理轨）+ 偏差分解</w:t>
            </w:r>
          </w:p>
        </w:tc>
        <w:tc>
          <w:tcPr>
            <w:tcW w:type="dxa" w:w="33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这是发明点本体，也是与前作切割的证据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471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权重滑块 → </w:t>
            </w:r>
            <w:r>
              <w:rPr>
                <w:rFonts w:ascii="Times New Roman" w:hAnsi="Times New Roman" w:eastAsia="宋体"/>
                <w:b/>
                <w:sz w:val="18"/>
              </w:rPr>
              <w:t>λ 内部碳价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（单一旋钮）</w:t>
            </w:r>
          </w:p>
        </w:tc>
        <w:tc>
          <w:tcPr>
            <w:tcW w:type="dxa" w:w="33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三变量宏观同向（r=0.96/0.75），配权重代数上退化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471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取消 </w:t>
            </w:r>
            <w:r>
              <w:rPr>
                <w:rFonts w:ascii="Consolas" w:hAnsi="Consolas" w:eastAsia="宋体"/>
                <w:color w:val="2F5596"/>
                <w:sz w:val="16"/>
              </w:rPr>
              <w:t>src/utils/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color w:val="2F5596"/>
                <w:sz w:val="16"/>
              </w:rPr>
              <w:t>tests/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color w:val="2F5596"/>
                <w:sz w:val="16"/>
              </w:rPr>
              <w:t>scripts/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color w:val="2F5596"/>
                <w:sz w:val="16"/>
              </w:rPr>
              <w:t>config/*.yaml</w:t>
            </w:r>
          </w:p>
        </w:tc>
        <w:tc>
          <w:tcPr>
            <w:tcW w:type="dxa" w:w="33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文件越少，找 Bug 越快；零新增依赖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471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排期：4 周（3 冲刺 + 1 留白）</w:t>
            </w:r>
          </w:p>
        </w:tc>
        <w:tc>
          <w:tcPr>
            <w:tcW w:type="dxa" w:w="33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满足"一个月之内 + 留一周空余"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1. 业务逻辑全景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1.1 一句话</w:t>
      </w: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/>
          <w:color w:val="333333"/>
          <w:sz w:val="20"/>
        </w:rPr>
        <w:t>给它一笔运单，它告诉你这条线该派什么车、多花或少花多少钱、碳账怎么记；给它一批运单，它告诉你你自己的碳数字误差有多大、误差从哪来。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1.2 五个问题 = 五个页面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1380"/>
        <w:gridCol w:w="3747"/>
        <w:gridCol w:w="3944"/>
      </w:tblGrid>
      <w:tr>
        <w:trPr>
          <w:tblHeader/>
        </w:trPr>
        <w:tc>
          <w:tcPr>
            <w:tcW w:type="dxa" w:w="1380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页</w:t>
            </w:r>
          </w:p>
        </w:tc>
        <w:tc>
          <w:tcPr>
            <w:tcW w:type="dxa" w:w="374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回答谁的什么问题</w:t>
            </w:r>
          </w:p>
        </w:tc>
        <w:tc>
          <w:tcPr>
            <w:tcW w:type="dxa" w:w="394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关键输出</w:t>
            </w:r>
          </w:p>
        </w:tc>
      </w:tr>
      <w:tr>
        <w:tc>
          <w:tcPr>
            <w:tcW w:type="dxa" w:w="13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这是什么 + 全局参数（λ、口径开关）</w:t>
            </w:r>
          </w:p>
        </w:tc>
        <w:tc>
          <w:tcPr>
            <w:tcW w:type="dxa" w:w="394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项目摘要 + 实时参数</w:t>
            </w:r>
          </w:p>
        </w:tc>
      </w:tr>
      <w:tr>
        <w:tc>
          <w:tcPr>
            <w:tcW w:type="dxa" w:w="13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基准核算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现在排多少、跑多远、数据多脏</w:t>
            </w:r>
          </w:p>
        </w:tc>
        <w:tc>
          <w:tcPr>
            <w:tcW w:type="dxa" w:w="394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E₀ + 里程 + 三类 FLAG 统计</w:t>
            </w:r>
          </w:p>
        </w:tc>
      </w:tr>
      <w:tr>
        <w:tc>
          <w:tcPr>
            <w:tcW w:type="dxa" w:w="13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 高排放诊断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空间在哪：四维热点 + </w:t>
            </w:r>
            <w:r>
              <w:rPr>
                <w:rFonts w:ascii="Times New Roman" w:hAnsi="Times New Roman" w:eastAsia="宋体"/>
                <w:b/>
                <w:sz w:val="18"/>
              </w:rPr>
              <w:t>同线带宽</w:t>
            </w:r>
          </w:p>
        </w:tc>
        <w:tc>
          <w:tcPr>
            <w:tcW w:type="dxa" w:w="394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1.50× 中位差的路线清单</w:t>
            </w:r>
          </w:p>
        </w:tc>
      </w:tr>
      <w:tr>
        <w:tc>
          <w:tcPr>
            <w:tcW w:type="dxa" w:w="13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替代方案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这条线该派什么车、运营跑不跑通</w:t>
            </w:r>
          </w:p>
        </w:tc>
        <w:tc>
          <w:tcPr>
            <w:tcW w:type="dxa" w:w="394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配车方案 + 约束校验</w:t>
            </w:r>
          </w:p>
        </w:tc>
      </w:tr>
      <w:tr>
        <w:tc>
          <w:tcPr>
            <w:tcW w:type="dxa" w:w="13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成本效益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多花多少钱、λ 一变推荐换不换</w:t>
            </w:r>
          </w:p>
        </w:tc>
        <w:tc>
          <w:tcPr>
            <w:tcW w:type="dxa" w:w="394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成本构成 + Pareto</w:t>
            </w:r>
          </w:p>
        </w:tc>
      </w:tr>
      <w:tr>
        <w:tc>
          <w:tcPr>
            <w:tcW w:type="dxa" w:w="13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 碳会计台账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怎么记、怎么披露</w:t>
            </w:r>
          </w:p>
        </w:tc>
        <w:tc>
          <w:tcPr>
            <w:tcW w:type="dxa" w:w="394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台账六字段 + 附注六要素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1.3 决策闭环（不是展示链）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① 计量（双轨）→ ② 诊断（同线带宽）→ ③ 决策（配车 + λ）→ ④ 成本效益 → ⑤ 碳账入账 → ⑥ 校准回流（回到 ①）</w:t>
      </w:r>
    </w:p>
    <w:p>
      <w:pPr>
        <w:jc w:val="both"/>
      </w:pPr>
      <w:r>
        <w:rPr>
          <w:rFonts w:ascii="Times New Roman" w:hAnsi="Times New Roman" w:eastAsia="宋体"/>
          <w:b w:val="0"/>
          <w:sz w:val="21"/>
        </w:rPr>
        <w:t>上一版是单向的"算—看—换—算钱—记账"；本版是闭环，</w:t>
      </w:r>
      <w:r>
        <w:rPr>
          <w:rFonts w:ascii="Times New Roman" w:hAnsi="Times New Roman" w:eastAsia="宋体"/>
          <w:b/>
          <w:sz w:val="21"/>
        </w:rPr>
        <w:t>回流的那根箭头就是上一场录音里"他们给我们数据"那句话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1.4 三条实证依据（2026-10-18 用 33,214 段实算）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2238"/>
        <w:gridCol w:w="4005"/>
        <w:gridCol w:w="2827"/>
      </w:tblGrid>
      <w:tr>
        <w:trPr>
          <w:tblHeader/>
        </w:trPr>
        <w:tc>
          <w:tcPr>
            <w:tcW w:type="dxa" w:w="2238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发现</w:t>
            </w:r>
          </w:p>
        </w:tc>
        <w:tc>
          <w:tcPr>
            <w:tcW w:type="dxa" w:w="4005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数值</w:t>
            </w:r>
          </w:p>
        </w:tc>
        <w:tc>
          <w:tcPr>
            <w:tcW w:type="dxa" w:w="282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用途</w:t>
            </w:r>
          </w:p>
        </w:tc>
      </w:tr>
      <w:tr>
        <w:tc>
          <w:tcPr>
            <w:tcW w:type="dxa" w:w="223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里程↔碳、时长↔碳 高度同向</w:t>
            </w:r>
          </w:p>
        </w:tc>
        <w:tc>
          <w:tcPr>
            <w:tcW w:type="dxa" w:w="40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 = 0.961 / 0.750</w:t>
            </w:r>
          </w:p>
        </w:tc>
        <w:tc>
          <w:tcPr>
            <w:tcW w:type="dxa" w:w="282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证明"宏观配权重"退化——</w:t>
            </w:r>
            <w:r>
              <w:rPr>
                <w:rFonts w:ascii="Times New Roman" w:hAnsi="Times New Roman" w:eastAsia="宋体"/>
                <w:b/>
                <w:sz w:val="18"/>
              </w:rPr>
              <w:t>砍掉权重滑块的理论依据</w:t>
            </w:r>
          </w:p>
        </w:tc>
      </w:tr>
      <w:tr>
        <w:tc>
          <w:tcPr>
            <w:tcW w:type="dxa" w:w="223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 OD 内 速度↔碳强度 几乎无关</w:t>
            </w:r>
          </w:p>
        </w:tc>
        <w:tc>
          <w:tcPr>
            <w:tcW w:type="dxa" w:w="40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232 组，中位 r = −0.004，仅 24% 组 </w:t>
            </w:r>
            <w:r>
              <w:rPr>
                <w:rFonts w:ascii="Consolas" w:hAnsi="Consolas" w:eastAsia="宋体"/>
                <w:color w:val="2F5596"/>
                <w:sz w:val="16"/>
              </w:rPr>
              <w:t>r&lt;−0.3</w:t>
            </w:r>
          </w:p>
        </w:tc>
        <w:tc>
          <w:tcPr>
            <w:tcW w:type="dxa" w:w="282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证明"段级才出现决策空间"——</w:t>
            </w:r>
            <w:r>
              <w:rPr>
                <w:rFonts w:ascii="Times New Roman" w:hAnsi="Times New Roman" w:eastAsia="宋体"/>
                <w:b/>
                <w:sz w:val="18"/>
              </w:rPr>
              <w:t>段级计量的正当性</w:t>
            </w:r>
          </w:p>
        </w:tc>
      </w:tr>
      <w:tr>
        <w:tc>
          <w:tcPr>
            <w:tcW w:type="dxa" w:w="223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 OD 换车型，碳强度差</w:t>
            </w:r>
          </w:p>
        </w:tc>
        <w:tc>
          <w:tcPr>
            <w:tcW w:type="dxa" w:w="40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中位 </w:t>
            </w:r>
            <w:r>
              <w:rPr>
                <w:rFonts w:ascii="Times New Roman" w:hAnsi="Times New Roman" w:eastAsia="宋体"/>
                <w:b/>
                <w:sz w:val="18"/>
              </w:rPr>
              <w:t>1.50×</w:t>
            </w:r>
            <w:r>
              <w:rPr>
                <w:rFonts w:ascii="Times New Roman" w:hAnsi="Times New Roman" w:eastAsia="宋体"/>
                <w:b w:val="0"/>
                <w:sz w:val="18"/>
              </w:rPr>
              <w:t>，P90 2.08×，最大 4.01×</w:t>
            </w:r>
          </w:p>
        </w:tc>
        <w:tc>
          <w:tcPr>
            <w:tcW w:type="dxa" w:w="282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证明"试线试不出、换车才值钱"——</w:t>
            </w:r>
            <w:r>
              <w:rPr>
                <w:rFonts w:ascii="Times New Roman" w:hAnsi="Times New Roman" w:eastAsia="宋体"/>
                <w:b/>
                <w:sz w:val="18"/>
              </w:rPr>
              <w:t>产品价值的落点</w:t>
            </w:r>
          </w:p>
        </w:tc>
      </w:tr>
      <w:tr>
        <w:tc>
          <w:tcPr>
            <w:tcW w:type="dxa" w:w="223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310 个可比较 OD 对覆盖率</w:t>
            </w:r>
          </w:p>
        </w:tc>
        <w:tc>
          <w:tcPr>
            <w:tcW w:type="dxa" w:w="40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碳排 83.8% / 里程 74.7%</w:t>
            </w:r>
          </w:p>
        </w:tc>
        <w:tc>
          <w:tcPr>
            <w:tcW w:type="dxa" w:w="282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证明不是边角样本</w:t>
            </w:r>
          </w:p>
        </w:tc>
      </w:tr>
      <w:tr>
        <w:tc>
          <w:tcPr>
            <w:tcW w:type="dxa" w:w="223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同线换最低碳车型的上界</w:t>
            </w:r>
          </w:p>
        </w:tc>
        <w:tc>
          <w:tcPr>
            <w:tcW w:type="dxa" w:w="40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−29.8%（该块）/ 占 E₀ 的 25.0%</w:t>
            </w:r>
          </w:p>
        </w:tc>
        <w:tc>
          <w:tcPr>
            <w:tcW w:type="dxa" w:w="282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须标注"未约束运力"，是结构性带宽而非可减排量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1.5 口径红线（对拍即生命线）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2172"/>
        <w:gridCol w:w="5936"/>
        <w:gridCol w:w="964"/>
      </w:tblGrid>
      <w:tr>
        <w:trPr>
          <w:tblHeader/>
        </w:trPr>
        <w:tc>
          <w:tcPr>
            <w:tcW w:type="dxa" w:w="217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指标</w:t>
            </w:r>
          </w:p>
        </w:tc>
        <w:tc>
          <w:tcPr>
            <w:tcW w:type="dxa" w:w="593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期望值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误差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运单行 → 独立路段</w:t>
            </w:r>
          </w:p>
        </w:tc>
        <w:tc>
          <w:tcPr>
            <w:tcW w:type="dxa" w:w="593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36,329 → </w:t>
            </w:r>
            <w:r>
              <w:rPr>
                <w:rFonts w:ascii="Times New Roman" w:hAnsi="Times New Roman" w:eastAsia="宋体"/>
                <w:b/>
                <w:sz w:val="18"/>
              </w:rPr>
              <w:t>33,214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（去重 3,115）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精确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总里程</w:t>
            </w:r>
          </w:p>
        </w:tc>
        <w:tc>
          <w:tcPr>
            <w:tcW w:type="dxa" w:w="593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4,690,435.81 km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精确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速度有效样本 / 均速</w:t>
            </w:r>
          </w:p>
        </w:tc>
        <w:tc>
          <w:tcPr>
            <w:tcW w:type="dxa" w:w="593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33,213 / </w:t>
            </w:r>
            <w:r>
              <w:rPr>
                <w:rFonts w:ascii="Times New Roman" w:hAnsi="Times New Roman" w:eastAsia="宋体"/>
                <w:b/>
                <w:sz w:val="18"/>
              </w:rPr>
              <w:t>49.57 km/h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±0.01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基准碳排 E₀</w:t>
            </w:r>
          </w:p>
        </w:tc>
        <w:tc>
          <w:tcPr>
            <w:tcW w:type="dxa" w:w="593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4,502,042.41 kg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精确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 t 排放率（VSP=2）</w:t>
            </w:r>
          </w:p>
        </w:tc>
        <w:tc>
          <w:tcPr>
            <w:tcW w:type="dxa" w:w="593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14.67 g/s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±0.01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VSP=3 平行校验</w:t>
            </w:r>
          </w:p>
        </w:tc>
        <w:tc>
          <w:tcPr>
            <w:tcW w:type="dxa" w:w="593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16.53 g/s（偏差 12.68%）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±0.01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三口径带宽</w:t>
            </w:r>
          </w:p>
        </w:tc>
        <w:tc>
          <w:tcPr>
            <w:tcW w:type="dxa" w:w="593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4,313 / 4,502 / 4,922 t（−4.2% ~ +9.3%）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各口径可复现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主方案</w:t>
            </w:r>
          </w:p>
        </w:tc>
        <w:tc>
          <w:tcPr>
            <w:tcW w:type="dxa" w:w="593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77.4% / 3,483 t / 117 辆 / 4,809 万 / 9.6 年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可复现</w:t>
            </w:r>
          </w:p>
        </w:tc>
      </w:tr>
    </w:tbl>
    <w:p>
      <w:pPr>
        <w:spacing w:after="40"/>
      </w:pP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/>
          <w:color w:val="333333"/>
          <w:sz w:val="20"/>
        </w:rPr>
        <w:t>注意</w:t>
      </w:r>
      <w:r>
        <w:rPr>
          <w:rFonts w:ascii="Times New Roman" w:hAnsi="Times New Roman" w:eastAsia="宋体"/>
          <w:b w:val="0"/>
          <w:color w:val="333333"/>
          <w:sz w:val="20"/>
        </w:rPr>
        <w:t>：v2 的对拍表</w:t>
      </w:r>
      <w:r>
        <w:rPr>
          <w:rFonts w:ascii="Times New Roman" w:hAnsi="Times New Roman" w:eastAsia="宋体"/>
          <w:b/>
          <w:color w:val="333333"/>
          <w:sz w:val="20"/>
        </w:rPr>
        <w:t>只有输入侧指标，一个业务结论都没有</w:t>
      </w:r>
      <w:r>
        <w:rPr>
          <w:rFonts w:ascii="Times New Roman" w:hAnsi="Times New Roman" w:eastAsia="宋体"/>
          <w:b w:val="0"/>
          <w:color w:val="333333"/>
          <w:sz w:val="20"/>
        </w:rPr>
        <w:t>。本版把 E₀、三口径带宽、方案三数全部纳入闸门——否则"一键复算全绿"是假绿。</w:t>
      </w: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2. 工程师建议的采纳与修正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2.1 采纳（8 条，逐条落到文件）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316"/>
        <w:gridCol w:w="5791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#</w:t>
            </w:r>
          </w:p>
        </w:tc>
        <w:tc>
          <w:tcPr>
            <w:tcW w:type="dxa" w:w="231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建议</w:t>
            </w:r>
          </w:p>
        </w:tc>
        <w:tc>
          <w:tcPr>
            <w:tcW w:type="dxa" w:w="579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落地方式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业务逻辑收成 3 个文件</w:t>
            </w:r>
          </w:p>
        </w:tc>
        <w:tc>
          <w:tcPr>
            <w:tcW w:type="dxa" w:w="57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optimizer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2F5596"/>
                <w:sz w:val="16"/>
              </w:rPr>
              <w:t>evaluator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2F5596"/>
                <w:sz w:val="16"/>
              </w:rPr>
              <w:t>pipeline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数据层 </w:t>
            </w:r>
            <w:r>
              <w:rPr>
                <w:rFonts w:ascii="Consolas" w:hAnsi="Consolas" w:eastAsia="宋体"/>
                <w:color w:val="2F5596"/>
                <w:sz w:val="16"/>
              </w:rPr>
              <w:t>preprocess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，共 4 个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3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跟"车怎么跑"有关的全在 optimizer</w:t>
            </w:r>
          </w:p>
        </w:tc>
        <w:tc>
          <w:tcPr>
            <w:tcW w:type="dxa" w:w="57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§3.2 O1–O7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3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跟"算碳算钱"有关的全在 evaluator</w:t>
            </w:r>
          </w:p>
        </w:tc>
        <w:tc>
          <w:tcPr>
            <w:tcW w:type="dxa" w:w="57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§3.2 E1–E6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3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报表（台账/披露）放 pipeline</w:t>
            </w:r>
          </w:p>
        </w:tc>
        <w:tc>
          <w:tcPr>
            <w:tcW w:type="dxa" w:w="57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§3.2 G3–G4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3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提前算好存 parquet，前端只读</w:t>
            </w:r>
          </w:p>
        </w:tc>
        <w:tc>
          <w:tcPr>
            <w:tcW w:type="dxa" w:w="57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data/processed/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三表 + </w:t>
            </w:r>
            <w:r>
              <w:rPr>
                <w:rFonts w:ascii="Consolas" w:hAnsi="Consolas" w:eastAsia="宋体"/>
                <w:color w:val="2F5596"/>
                <w:sz w:val="16"/>
              </w:rPr>
              <w:t>app/services.py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只读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3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前端绝不调核心算法</w:t>
            </w:r>
          </w:p>
        </w:tc>
        <w:tc>
          <w:tcPr>
            <w:tcW w:type="dxa" w:w="57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页面内</w:t>
            </w:r>
            <w:r>
              <w:rPr>
                <w:rFonts w:ascii="Times New Roman" w:hAnsi="Times New Roman" w:eastAsia="宋体"/>
                <w:b/>
                <w:sz w:val="18"/>
              </w:rPr>
              <w:t>零业务计算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（允许 sum/count/分组）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3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脏数据不抛 Exception</w:t>
            </w:r>
          </w:p>
        </w:tc>
        <w:tc>
          <w:tcPr>
            <w:tcW w:type="dxa" w:w="57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全部 </w:t>
            </w:r>
            <w:r>
              <w:rPr>
                <w:rFonts w:ascii="Consolas" w:hAnsi="Consolas" w:eastAsia="宋体"/>
                <w:color w:val="2F5596"/>
                <w:sz w:val="16"/>
              </w:rPr>
              <w:t>try/except + 兜底值 + 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，见 §2.3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3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前端给标记行加黄框</w:t>
            </w:r>
          </w:p>
        </w:tc>
        <w:tc>
          <w:tcPr>
            <w:tcW w:type="dxa" w:w="57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app/components/flags.py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统一渲染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2.2 修正（2 条，需 PM 拍板并写入 08 号）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修正一：算碳因子不放在数据层，留在 optimizer。</w:t>
      </w:r>
    </w:p>
    <w:p>
      <w:pPr>
        <w:jc w:val="both"/>
      </w:pPr>
      <w:r>
        <w:rPr>
          <w:rFonts w:ascii="Times New Roman" w:hAnsi="Times New Roman" w:eastAsia="宋体"/>
          <w:b w:val="0"/>
          <w:sz w:val="21"/>
        </w:rPr>
        <w:t>工程师建议"清洗、匹配、算碳因子全在 preprocess"。</w:t>
      </w:r>
      <w:r>
        <w:rPr>
          <w:rFonts w:ascii="Times New Roman" w:hAnsi="Times New Roman" w:eastAsia="宋体"/>
          <w:b/>
          <w:sz w:val="21"/>
        </w:rPr>
        <w:t>不采纳这一句</w:t>
      </w:r>
      <w:r>
        <w:rPr>
          <w:rFonts w:ascii="Times New Roman" w:hAnsi="Times New Roman" w:eastAsia="宋体"/>
          <w:b w:val="0"/>
          <w:sz w:val="21"/>
        </w:rPr>
        <w:t>：因子是</w:t>
      </w:r>
      <w:r>
        <w:rPr>
          <w:rFonts w:ascii="Times New Roman" w:hAnsi="Times New Roman" w:eastAsia="宋体"/>
          <w:b/>
          <w:sz w:val="21"/>
        </w:rPr>
        <w:t>口径</w:t>
      </w:r>
      <w:r>
        <w:rPr>
          <w:rFonts w:ascii="Times New Roman" w:hAnsi="Times New Roman" w:eastAsia="宋体"/>
          <w:b w:val="0"/>
          <w:sz w:val="21"/>
        </w:rPr>
        <w:t>不是</w:t>
      </w:r>
      <w:r>
        <w:rPr>
          <w:rFonts w:ascii="Times New Roman" w:hAnsi="Times New Roman" w:eastAsia="宋体"/>
          <w:b/>
          <w:sz w:val="21"/>
        </w:rPr>
        <w:t>数据</w:t>
      </w:r>
      <w:r>
        <w:rPr>
          <w:rFonts w:ascii="Times New Roman" w:hAnsi="Times New Roman" w:eastAsia="宋体"/>
          <w:b w:val="0"/>
          <w:sz w:val="21"/>
        </w:rPr>
        <w:t>——它会随文献更新、随国标采标变（ISO 14083 正在采标）。放数据层，改一个因子要重跑清洗；放 optimizer，改因子只重算碳排，宽表不动，对拍立刻告诉你漂了多少。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修正二：FLAG 不是"填补缺失值"，而是"标记重复/异常/口径换算"。</w:t>
      </w:r>
    </w:p>
    <w:p>
      <w:pPr>
        <w:jc w:val="both"/>
      </w:pPr>
      <w:r>
        <w:rPr>
          <w:rFonts w:ascii="Times New Roman" w:hAnsi="Times New Roman" w:eastAsia="宋体"/>
          <w:b w:val="0"/>
          <w:sz w:val="21"/>
        </w:rPr>
        <w:t>见 §2.3——你们的数据缺得少、重得多。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2.3 数据体检结果（2026-10-18 实测，决定 FLAG 设计）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2734"/>
        <w:gridCol w:w="3231"/>
      </w:tblGrid>
      <w:tr>
        <w:trPr>
          <w:tblHeader/>
        </w:trPr>
        <w:tc>
          <w:tcPr>
            <w:tcW w:type="dxa" w:w="310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检查项</w:t>
            </w:r>
          </w:p>
        </w:tc>
        <w:tc>
          <w:tcPr>
            <w:tcW w:type="dxa" w:w="273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实测</w:t>
            </w:r>
          </w:p>
        </w:tc>
        <w:tc>
          <w:tcPr>
            <w:tcW w:type="dxa" w:w="323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判定</w:t>
            </w:r>
          </w:p>
        </w:tc>
      </w:tr>
      <w:tr>
        <w:tc>
          <w:tcPr>
            <w:tcW w:type="dxa" w:w="31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车型：运单 68 种 vs 附件2 登记 75 条</w:t>
            </w:r>
          </w:p>
        </w:tc>
        <w:tc>
          <w:tcPr>
            <w:tcW w:type="dxa" w:w="273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未匹配 </w:t>
            </w:r>
            <w:r>
              <w:rPr>
                <w:rFonts w:ascii="Times New Roman" w:hAnsi="Times New Roman" w:eastAsia="宋体"/>
                <w:b/>
                <w:sz w:val="18"/>
              </w:rPr>
              <w:t>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种</w:t>
            </w:r>
          </w:p>
        </w:tc>
        <w:tc>
          <w:tcPr>
            <w:tcW w:type="dxa" w:w="323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不会 KeyError</w:t>
            </w:r>
          </w:p>
        </w:tc>
      </w:tr>
      <w:tr>
        <w:tc>
          <w:tcPr>
            <w:tcW w:type="dxa" w:w="31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里程缺失 / 时间为空</w:t>
            </w:r>
          </w:p>
        </w:tc>
        <w:tc>
          <w:tcPr>
            <w:tcW w:type="dxa" w:w="273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 / 0</w:t>
            </w:r>
          </w:p>
        </w:tc>
        <w:tc>
          <w:tcPr>
            <w:tcW w:type="dxa" w:w="323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不会 NaN 崩</w:t>
            </w:r>
          </w:p>
        </w:tc>
      </w:tr>
      <w:tr>
        <w:tc>
          <w:tcPr>
            <w:tcW w:type="dxa" w:w="31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订单号带 </w:t>
            </w:r>
            <w:r>
              <w:rPr>
                <w:rFonts w:ascii="Consolas" w:hAnsi="Consolas" w:eastAsia="宋体"/>
                <w:color w:val="2F5596"/>
                <w:sz w:val="16"/>
              </w:rPr>
              <w:t>-1-1-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后缀</w:t>
            </w:r>
          </w:p>
        </w:tc>
        <w:tc>
          <w:tcPr>
            <w:tcW w:type="dxa" w:w="273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12,095 / 12,098</w:t>
            </w:r>
            <w:r>
              <w:rPr>
                <w:rFonts w:ascii="Times New Roman" w:hAnsi="Times New Roman" w:eastAsia="宋体"/>
                <w:b w:val="0"/>
                <w:sz w:val="18"/>
              </w:rPr>
              <w:t>（3 条不带）</w:t>
            </w:r>
          </w:p>
        </w:tc>
        <w:tc>
          <w:tcPr>
            <w:tcW w:type="dxa" w:w="323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[:-5]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切片会切错这 3 条</w:t>
            </w:r>
          </w:p>
        </w:tc>
      </w:tr>
      <w:tr>
        <w:tc>
          <w:tcPr>
            <w:tcW w:type="dxa" w:w="31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运单号带 </w:t>
            </w:r>
            <w:r>
              <w:rPr>
                <w:rFonts w:ascii="Consolas" w:hAnsi="Consolas" w:eastAsia="宋体"/>
                <w:color w:val="2F5596"/>
                <w:sz w:val="16"/>
              </w:rPr>
              <w:t>-1-1-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后缀</w:t>
            </w:r>
          </w:p>
        </w:tc>
        <w:tc>
          <w:tcPr>
            <w:tcW w:type="dxa" w:w="273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 条</w:t>
            </w:r>
          </w:p>
        </w:tc>
        <w:tc>
          <w:tcPr>
            <w:tcW w:type="dxa" w:w="323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两表口径相反，必须分别处理</w:t>
            </w:r>
          </w:p>
        </w:tc>
      </w:tr>
      <w:tr>
        <w:tc>
          <w:tcPr>
            <w:tcW w:type="dxa" w:w="31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解封早于封车（负时长）</w:t>
            </w:r>
          </w:p>
        </w:tc>
        <w:tc>
          <w:tcPr>
            <w:tcW w:type="dxa" w:w="273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条</w:t>
            </w:r>
          </w:p>
        </w:tc>
        <w:tc>
          <w:tcPr>
            <w:tcW w:type="dxa" w:w="323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算出负速度</w:t>
            </w:r>
          </w:p>
        </w:tc>
      </w:tr>
      <w:tr>
        <w:tc>
          <w:tcPr>
            <w:tcW w:type="dxa" w:w="31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速度 &gt; 100 km/h</w:t>
            </w:r>
          </w:p>
        </w:tc>
        <w:tc>
          <w:tcPr>
            <w:tcW w:type="dxa" w:w="273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1,298 条（3.9%）</w:t>
            </w:r>
          </w:p>
        </w:tc>
        <w:tc>
          <w:tcPr>
            <w:tcW w:type="dxa" w:w="323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标记不删</w:t>
            </w:r>
          </w:p>
        </w:tc>
      </w:tr>
      <w:tr>
        <w:tc>
          <w:tcPr>
            <w:tcW w:type="dxa" w:w="31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运单 36,329 → 独立路段 33,214</w:t>
            </w:r>
          </w:p>
        </w:tc>
        <w:tc>
          <w:tcPr>
            <w:tcW w:type="dxa" w:w="273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去重 </w:t>
            </w:r>
            <w:r>
              <w:rPr>
                <w:rFonts w:ascii="Times New Roman" w:hAnsi="Times New Roman" w:eastAsia="宋体"/>
                <w:b/>
                <w:sz w:val="18"/>
              </w:rPr>
              <w:t>3,115 行（8.6%）</w:t>
            </w:r>
          </w:p>
        </w:tc>
        <w:tc>
          <w:tcPr>
            <w:tcW w:type="dxa" w:w="323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最大的雷：不去重则 E₀ 高估约 9.4%，且不报错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三类 FLAG（宽表固定三列，取值 0/1 + 原因字符串）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1491"/>
        <w:gridCol w:w="2982"/>
        <w:gridCol w:w="2237"/>
        <w:gridCol w:w="2361"/>
      </w:tblGrid>
      <w:tr>
        <w:trPr>
          <w:tblHeader/>
        </w:trPr>
        <w:tc>
          <w:tcPr>
            <w:tcW w:type="dxa" w:w="149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列名</w:t>
            </w:r>
          </w:p>
        </w:tc>
        <w:tc>
          <w:tcPr>
            <w:tcW w:type="dxa" w:w="298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触发</w:t>
            </w:r>
          </w:p>
        </w:tc>
        <w:tc>
          <w:tcPr>
            <w:tcW w:type="dxa" w:w="223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前端呈现</w:t>
            </w:r>
          </w:p>
        </w:tc>
        <w:tc>
          <w:tcPr>
            <w:tcW w:type="dxa" w:w="236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是否保留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flag_dup</w:t>
            </w:r>
          </w:p>
        </w:tc>
        <w:tc>
          <w:tcPr>
            <w:tcW w:type="dxa" w:w="29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 运单+车牌+里程+起点+终点</w:t>
            </w:r>
          </w:p>
        </w:tc>
        <w:tc>
          <w:tcPr>
            <w:tcW w:type="dxa" w:w="223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灰底 + "已去重 3,115 行"</w:t>
            </w:r>
          </w:p>
        </w:tc>
        <w:tc>
          <w:tcPr>
            <w:tcW w:type="dxa" w:w="23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剔除（另存口径统计）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flag_anomaly</w:t>
            </w:r>
          </w:p>
        </w:tc>
        <w:tc>
          <w:tcPr>
            <w:tcW w:type="dxa" w:w="29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速度 &gt;100 或 &lt;1、时长 ≤0、里程为 0</w:t>
            </w:r>
          </w:p>
        </w:tc>
        <w:tc>
          <w:tcPr>
            <w:tcW w:type="dxa" w:w="223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黄框 "时间戳异常"</w:t>
            </w:r>
          </w:p>
        </w:tc>
        <w:tc>
          <w:tcPr>
            <w:tcW w:type="dxa" w:w="23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保留不删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（删了改总里程口径，对拍必挂）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flag_basis</w:t>
            </w:r>
          </w:p>
        </w:tc>
        <w:tc>
          <w:tcPr>
            <w:tcW w:type="dxa" w:w="29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附件2 载重为"载质量/总质量/准牵引"三类</w:t>
            </w:r>
          </w:p>
        </w:tc>
        <w:tc>
          <w:tcPr>
            <w:tcW w:type="dxa" w:w="223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黄框 "载重按总质量换算"</w:t>
            </w:r>
          </w:p>
        </w:tc>
        <w:tc>
          <w:tcPr>
            <w:tcW w:type="dxa" w:w="23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 + 显示原值与换算值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3. 文件结构（定稿）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3.1 目录树与负责人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964"/>
        <w:gridCol w:w="5442"/>
      </w:tblGrid>
      <w:tr>
        <w:trPr>
          <w:tblHeader/>
        </w:trPr>
        <w:tc>
          <w:tcPr>
            <w:tcW w:type="dxa" w:w="2665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路径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负责人</w:t>
            </w:r>
          </w:p>
        </w:tc>
        <w:tc>
          <w:tcPr>
            <w:tcW w:type="dxa" w:w="544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职责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README.md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门面：定位 / 启动 / 口径 / 分工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requirements.txt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 PM 能改（streamlit / pandas / pyarrow / openpyxl）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.gitignore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原始数据忽略 + 三结果表白名单 + wheels/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启动.bat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断网双击（W3 出初版）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b/>
                <w:sz w:val="16"/>
              </w:rPr>
              <w:t>src/preprocess.py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三表 → 宽表（数据准备唯一入口）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b/>
                <w:sz w:val="16"/>
              </w:rPr>
              <w:t>src/optimizer.py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宽表 → 段级碳排（因子 / 双轨 / 基准 / 约束）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b/>
                <w:sz w:val="16"/>
              </w:rPr>
              <w:t>src/evaluator.py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碳排 → 分析与财务（热点 / 带宽 / 方案 / 成本）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b/>
                <w:sz w:val="16"/>
              </w:rPr>
              <w:t>src/pipeline.py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调度 + 闸门 + 台账 / 披露报表段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app/app.py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 + 全局参数（λ / 口径开关）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app/services.py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 parquet + st.cache_data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app/components/layout.py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版式 / 页头 / 指标卡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app/components/charts.py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图表封装（统一 Streamlit 原生）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app/components/flags.py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FLAG 渲染（黄框 / 灰底 / 图例）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app/pages/1_基准核算.py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 1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app/pages/2_高排放诊断.py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 2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app/pages/3_替代方案.py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 3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app/pages/4_成本效益.py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 4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app/pages/5_碳会计台账.py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 5（含制度对标栏）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app/assets/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静态资源（预留）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data/raw/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❌ 不入库 · 附件1 / 附件2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data/reference/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❌ 不入库 · 五份既有计算文件（对拍基准）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data/processed/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入库 · wide_data / baseline_carbon / final_report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config/README.md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参数说明（真值在 optimizer 常量 + 08 号）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outputs/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 / 曾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❌ 不入库 · figures / tables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§3.5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wheels/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544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❌ 不入库 · 离线安装包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取消清单（对比 v2）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color w:val="2F5596"/>
          <w:sz w:val="19"/>
        </w:rPr>
        <w:t>src/utils/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tests/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scripts/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data/interim/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db/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config/*.yaml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future/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Dockerfile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保留但明确不入库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color w:val="2F5596"/>
          <w:sz w:val="19"/>
        </w:rPr>
        <w:t>wheels/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outputs/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data/raw/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data/reference/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3.2 四个核心文件的内部结构（这是分工的最小单元）</w:t>
      </w: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/>
          <w:color w:val="333333"/>
          <w:sz w:val="20"/>
        </w:rPr>
        <w:t>下表的"编号"就是任务编号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，PR 标题直接写 </w:t>
      </w:r>
      <w:r>
        <w:rPr>
          <w:rFonts w:ascii="Consolas" w:hAnsi="Consolas" w:eastAsia="宋体"/>
          <w:color w:val="2F5596"/>
          <w:sz w:val="18"/>
        </w:rPr>
        <w:t>feat(P4): 三类FLAG标记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2"/>
        </w:rPr>
        <w:t>src/preprocess.py — Owner 蒿韵丞 ｜ Reviewer 周嬴鑫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959"/>
        <w:gridCol w:w="3400"/>
        <w:gridCol w:w="3748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编号</w:t>
            </w:r>
          </w:p>
        </w:tc>
        <w:tc>
          <w:tcPr>
            <w:tcW w:type="dxa" w:w="959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模块</w:t>
            </w:r>
          </w:p>
        </w:tc>
        <w:tc>
          <w:tcPr>
            <w:tcW w:type="dxa" w:w="3400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内容</w:t>
            </w:r>
          </w:p>
        </w:tc>
        <w:tc>
          <w:tcPr>
            <w:tcW w:type="dxa" w:w="3748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判据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9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常量与 FLAG 定义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路径、去重键、FLAG 列名常量</w:t>
            </w:r>
          </w:p>
        </w:tc>
        <w:tc>
          <w:tcPr>
            <w:tcW w:type="dxa" w:w="374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常量集中，无散落魔法值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9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读取层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三表按名读（</w:t>
            </w:r>
            <w:r>
              <w:rPr>
                <w:rFonts w:ascii="Times New Roman" w:hAnsi="Times New Roman" w:eastAsia="宋体"/>
                <w:b/>
                <w:sz w:val="18"/>
              </w:rPr>
              <w:t>显式读隐藏 Sheet1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type="dxa" w:w="374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12,098 / 36,329 / 16,413 / 75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9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清洗层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-1-1-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后缀（正则，不用切片）、去重、时间解析</w:t>
            </w:r>
          </w:p>
        </w:tc>
        <w:tc>
          <w:tcPr>
            <w:tcW w:type="dxa" w:w="374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去重后 33,214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P3</w:t>
            </w:r>
          </w:p>
        </w:tc>
        <w:tc>
          <w:tcPr>
            <w:tcW w:type="dxa" w:w="9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关联层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订单↔桥接↔运单、车型→载重（</w:t>
            </w:r>
            <w:r>
              <w:rPr>
                <w:rFonts w:ascii="Consolas" w:hAnsi="Consolas" w:eastAsia="宋体"/>
                <w:color w:val="2F5596"/>
                <w:sz w:val="16"/>
              </w:rPr>
              <w:t>mass_basis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逐车型）</w:t>
            </w:r>
          </w:p>
        </w:tc>
        <w:tc>
          <w:tcPr>
            <w:tcW w:type="dxa" w:w="374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关联率 ≥99.9%，未匹配清单为空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P4</w:t>
            </w:r>
          </w:p>
        </w:tc>
        <w:tc>
          <w:tcPr>
            <w:tcW w:type="dxa" w:w="9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标记层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flag_dup / flag_anomaly / flag_basis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三列</w:t>
            </w:r>
          </w:p>
        </w:tc>
        <w:tc>
          <w:tcPr>
            <w:tcW w:type="dxa" w:w="374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三类计数与体检值一致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P5</w:t>
            </w:r>
          </w:p>
        </w:tc>
        <w:tc>
          <w:tcPr>
            <w:tcW w:type="dxa" w:w="9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宽表输出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字段冻结 + 质量报告 + 闸门①打印</w:t>
            </w:r>
          </w:p>
        </w:tc>
        <w:tc>
          <w:tcPr>
            <w:tcW w:type="dxa" w:w="374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33,214 / 4,690,435.81 / 49.57 / E₀ 4,502.04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P6</w:t>
            </w:r>
          </w:p>
        </w:tc>
        <w:tc>
          <w:tcPr>
            <w:tcW w:type="dxa" w:w="9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自测入口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python -m src.preprocess</w:t>
            </w:r>
          </w:p>
        </w:tc>
        <w:tc>
          <w:tcPr>
            <w:tcW w:type="dxa" w:w="3748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单跑出全绿报告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2"/>
        </w:rPr>
        <w:t>src/optimizer.py — Owner 杨盛文 ｜ Reviewer 周（口径）+ 蒿（对拍）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401"/>
        <w:gridCol w:w="4504"/>
        <w:gridCol w:w="2202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编号</w:t>
            </w:r>
          </w:p>
        </w:tc>
        <w:tc>
          <w:tcPr>
            <w:tcW w:type="dxa" w:w="140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模块</w:t>
            </w:r>
          </w:p>
        </w:tc>
        <w:tc>
          <w:tcPr>
            <w:tcW w:type="dxa" w:w="450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内容</w:t>
            </w:r>
          </w:p>
        </w:tc>
        <w:tc>
          <w:tcPr>
            <w:tcW w:type="dxa" w:w="220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判据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O1</w:t>
            </w:r>
          </w:p>
        </w:tc>
        <w:tc>
          <w:tcPr>
            <w:tcW w:type="dxa" w:w="14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因子表 FACTOR_MAP</w:t>
            </w:r>
          </w:p>
        </w:tc>
        <w:tc>
          <w:tcPr>
            <w:tcW w:type="dxa" w:w="450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文献[1] 表8 录入 + 版本注记 + 来源注释</w:t>
            </w:r>
          </w:p>
        </w:tc>
        <w:tc>
          <w:tcPr>
            <w:tcW w:type="dxa" w:w="22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数值零错，每条带出处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O2</w:t>
            </w:r>
          </w:p>
        </w:tc>
        <w:tc>
          <w:tcPr>
            <w:tcW w:type="dxa" w:w="14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载重→档位→ER</w:t>
            </w:r>
          </w:p>
        </w:tc>
        <w:tc>
          <w:tcPr>
            <w:tcW w:type="dxa" w:w="450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匹配档位 + 线性内插</w:t>
            </w:r>
          </w:p>
        </w:tc>
        <w:tc>
          <w:tcPr>
            <w:tcW w:type="dxa" w:w="22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手写样本自测：30 t → 14.67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O3</w:t>
            </w:r>
          </w:p>
        </w:tc>
        <w:tc>
          <w:tcPr>
            <w:tcW w:type="dxa" w:w="14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双轨引擎</w:t>
            </w:r>
          </w:p>
        </w:tc>
        <w:tc>
          <w:tcPr>
            <w:tcW w:type="dxa" w:w="450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legal_factor()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常因子 / </w:t>
            </w:r>
            <w:r>
              <w:rPr>
                <w:rFonts w:ascii="Consolas" w:hAnsi="Consolas" w:eastAsia="宋体"/>
                <w:color w:val="2F5596"/>
                <w:sz w:val="16"/>
              </w:rPr>
              <w:t>physical_factor()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VSP 函数</w:t>
            </w:r>
          </w:p>
        </w:tc>
        <w:tc>
          <w:tcPr>
            <w:tcW w:type="dxa" w:w="22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两轨并行出数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O4</w:t>
            </w:r>
          </w:p>
        </w:tc>
        <w:tc>
          <w:tcPr>
            <w:tcW w:type="dxa" w:w="14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段级碳排 + 偏差分解</w:t>
            </w:r>
          </w:p>
        </w:tc>
        <w:tc>
          <w:tcPr>
            <w:tcW w:type="dxa" w:w="450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每段 kg + 偏差分量（速度/载重口径）</w:t>
            </w:r>
          </w:p>
        </w:tc>
        <w:tc>
          <w:tcPr>
            <w:tcW w:type="dxa" w:w="22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三口径带宽 −4.2%~+9.3% 可复现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O5</w:t>
            </w:r>
          </w:p>
        </w:tc>
        <w:tc>
          <w:tcPr>
            <w:tcW w:type="dxa" w:w="14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baseline 汇总</w:t>
            </w:r>
          </w:p>
        </w:tc>
        <w:tc>
          <w:tcPr>
            <w:tcW w:type="dxa" w:w="450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E₀、四维占比、月份分布</w:t>
            </w:r>
          </w:p>
        </w:tc>
        <w:tc>
          <w:tcPr>
            <w:tcW w:type="dxa" w:w="22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E₀ 4,502,042.41 kg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O6</w:t>
            </w:r>
          </w:p>
        </w:tc>
        <w:tc>
          <w:tcPr>
            <w:tcW w:type="dxa" w:w="14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运营约束 C1–C5</w:t>
            </w:r>
          </w:p>
        </w:tc>
        <w:tc>
          <w:tcPr>
            <w:tcW w:type="dxa" w:w="450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续航衰减 / 14h 窗口 / 运力匹配 / 补能 / 冬季</w:t>
            </w:r>
          </w:p>
        </w:tc>
        <w:tc>
          <w:tcPr>
            <w:tcW w:type="dxa" w:w="22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逐条有结论，不通过有原因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O7</w:t>
            </w:r>
          </w:p>
        </w:tc>
        <w:tc>
          <w:tcPr>
            <w:tcW w:type="dxa" w:w="14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自测入口</w:t>
            </w:r>
          </w:p>
        </w:tc>
        <w:tc>
          <w:tcPr>
            <w:tcW w:type="dxa" w:w="450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python -m src.optimizer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打印对拍表</w:t>
            </w:r>
          </w:p>
        </w:tc>
        <w:tc>
          <w:tcPr>
            <w:tcW w:type="dxa" w:w="22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14.67 / 16.53 / 12.68%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2"/>
        </w:rPr>
        <w:t>src/evaluator.py — Owner 曾广 ｜ Reviewer 周（终审）+ 蒿（成本核对）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901"/>
        <w:gridCol w:w="3491"/>
        <w:gridCol w:w="3716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编号</w:t>
            </w:r>
          </w:p>
        </w:tc>
        <w:tc>
          <w:tcPr>
            <w:tcW w:type="dxa" w:w="90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模块</w:t>
            </w:r>
          </w:p>
        </w:tc>
        <w:tc>
          <w:tcPr>
            <w:tcW w:type="dxa" w:w="349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内容</w:t>
            </w:r>
          </w:p>
        </w:tc>
        <w:tc>
          <w:tcPr>
            <w:tcW w:type="dxa" w:w="371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判据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E1</w:t>
            </w:r>
          </w:p>
        </w:tc>
        <w:tc>
          <w:tcPr>
            <w:tcW w:type="dxa" w:w="9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四维热点</w:t>
            </w:r>
          </w:p>
        </w:tc>
        <w:tc>
          <w:tcPr>
            <w:tcW w:type="dxa" w:w="3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车型 / 里程段 / 线路 / 月份</w:t>
            </w:r>
          </w:p>
        </w:tc>
        <w:tc>
          <w:tcPr>
            <w:tcW w:type="dxa" w:w="3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与 4.4 第四章一致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E2</w:t>
            </w:r>
          </w:p>
        </w:tc>
        <w:tc>
          <w:tcPr>
            <w:tcW w:type="dxa" w:w="9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同线带宽</w:t>
            </w:r>
          </w:p>
        </w:tc>
        <w:tc>
          <w:tcPr>
            <w:tcW w:type="dxa" w:w="3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 OD 多车型差异（中位 1.50×）</w:t>
            </w:r>
          </w:p>
        </w:tc>
        <w:tc>
          <w:tcPr>
            <w:tcW w:type="dxa" w:w="3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输出路线清单 + 覆盖率 83.8%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E3</w:t>
            </w:r>
          </w:p>
        </w:tc>
        <w:tc>
          <w:tcPr>
            <w:tcW w:type="dxa" w:w="9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替代方案</w:t>
            </w:r>
          </w:p>
        </w:tc>
        <w:tc>
          <w:tcPr>
            <w:tcW w:type="dxa" w:w="3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电动 / 氢能 / 组合（117 辆口径）</w:t>
            </w:r>
          </w:p>
        </w:tc>
        <w:tc>
          <w:tcPr>
            <w:tcW w:type="dxa" w:w="3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三方案可比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E4</w:t>
            </w:r>
          </w:p>
        </w:tc>
        <w:tc>
          <w:tcPr>
            <w:tcW w:type="dxa" w:w="9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成本效益</w:t>
            </w:r>
          </w:p>
        </w:tc>
        <w:tc>
          <w:tcPr>
            <w:tcW w:type="dxa" w:w="3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购置净+能耗+维护+补贴；双口径（赛题 / λ）</w:t>
            </w:r>
          </w:p>
        </w:tc>
        <w:tc>
          <w:tcPr>
            <w:tcW w:type="dxa" w:w="3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构成对账 Σ=总（4,809 万 / 77.4% / 9.6 年）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E5</w:t>
            </w:r>
          </w:p>
        </w:tc>
        <w:tc>
          <w:tcPr>
            <w:tcW w:type="dxa" w:w="9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达标边界与敏感性</w:t>
            </w:r>
          </w:p>
        </w:tc>
        <w:tc>
          <w:tcPr>
            <w:tcW w:type="dxa" w:w="3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补能（9.8% 一票否决）/ 氢源（灰氢 ≤4.4%）/ 外协</w:t>
            </w:r>
          </w:p>
        </w:tc>
        <w:tc>
          <w:tcPr>
            <w:tcW w:type="dxa" w:w="3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三阈值可复现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E6</w:t>
            </w:r>
          </w:p>
        </w:tc>
        <w:tc>
          <w:tcPr>
            <w:tcW w:type="dxa" w:w="90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自测入口</w:t>
            </w:r>
          </w:p>
        </w:tc>
        <w:tc>
          <w:tcPr>
            <w:tcW w:type="dxa" w:w="3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python -m src.evaluator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打印对账</w:t>
            </w:r>
          </w:p>
        </w:tc>
        <w:tc>
          <w:tcPr>
            <w:tcW w:type="dxa" w:w="3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构成表逐项有依据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2"/>
        </w:rPr>
        <w:t>src/pipeline.py — Owner 周嬴鑫 ｜ Reviewer 蒿（台账口径）+ 曾（财务表述）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4822"/>
        <w:gridCol w:w="2322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编号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模块</w:t>
            </w:r>
          </w:p>
        </w:tc>
        <w:tc>
          <w:tcPr>
            <w:tcW w:type="dxa" w:w="482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内容</w:t>
            </w:r>
          </w:p>
        </w:tc>
        <w:tc>
          <w:tcPr>
            <w:tcW w:type="dxa" w:w="232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判据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调度器</w:t>
            </w:r>
          </w:p>
        </w:tc>
        <w:tc>
          <w:tcPr>
            <w:tcW w:type="dxa" w:w="48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三段顺序调用，失败报段名</w:t>
            </w:r>
          </w:p>
        </w:tc>
        <w:tc>
          <w:tcPr>
            <w:tcW w:type="dxa" w:w="23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任一失败可定位到编号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G2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闸门</w:t>
            </w:r>
          </w:p>
        </w:tc>
        <w:tc>
          <w:tcPr>
            <w:tcW w:type="dxa" w:w="48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输入六项 + E₀ + 三口径带宽 + 方案三数</w:t>
            </w:r>
          </w:p>
        </w:tc>
        <w:tc>
          <w:tcPr>
            <w:tcW w:type="dxa" w:w="23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超差即中断，退出码 ≠ 0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G3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台账六字段</w:t>
            </w:r>
          </w:p>
        </w:tc>
        <w:tc>
          <w:tcPr>
            <w:tcW w:type="dxa" w:w="48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核算日期/边界/排放量/配额缺口/履约成本/附注</w:t>
            </w:r>
          </w:p>
        </w:tc>
        <w:tc>
          <w:tcPr>
            <w:tcW w:type="dxa" w:w="23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六字段齐全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G4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披露六要素</w:t>
            </w:r>
          </w:p>
        </w:tc>
        <w:tc>
          <w:tcPr>
            <w:tcW w:type="dxa" w:w="48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边界/因子来源/假设/数据期/年化 3.0417/局限</w:t>
            </w:r>
          </w:p>
        </w:tc>
        <w:tc>
          <w:tcPr>
            <w:tcW w:type="dxa" w:w="23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六要素命中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G5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一键入口</w:t>
            </w:r>
          </w:p>
        </w:tc>
        <w:tc>
          <w:tcPr>
            <w:tcW w:type="dxa" w:w="48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python -m src.pipeline</w:t>
            </w:r>
          </w:p>
        </w:tc>
        <w:tc>
          <w:tcPr>
            <w:tcW w:type="dxa" w:w="232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全绿，耗时打印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3.3 app 内部结构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405"/>
        <w:gridCol w:w="964"/>
        <w:gridCol w:w="3747"/>
        <w:gridCol w:w="1991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编号</w:t>
            </w:r>
          </w:p>
        </w:tc>
        <w:tc>
          <w:tcPr>
            <w:tcW w:type="dxa" w:w="1405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文件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负责人</w:t>
            </w:r>
          </w:p>
        </w:tc>
        <w:tc>
          <w:tcPr>
            <w:tcW w:type="dxa" w:w="374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内容</w:t>
            </w:r>
          </w:p>
        </w:tc>
        <w:tc>
          <w:tcPr>
            <w:tcW w:type="dxa" w:w="199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判据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A0</w:t>
            </w:r>
          </w:p>
        </w:tc>
        <w:tc>
          <w:tcPr>
            <w:tcW w:type="dxa" w:w="14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services.py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只读 </w:t>
            </w:r>
            <w:r>
              <w:rPr>
                <w:rFonts w:ascii="Consolas" w:hAnsi="Consolas" w:eastAsia="宋体"/>
                <w:color w:val="2F5596"/>
                <w:sz w:val="16"/>
              </w:rPr>
              <w:t>data/processed/*.parquet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缓存</w:t>
            </w:r>
          </w:p>
        </w:tc>
        <w:tc>
          <w:tcPr>
            <w:tcW w:type="dxa" w:w="19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 内无算法调用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A1</w:t>
            </w:r>
          </w:p>
        </w:tc>
        <w:tc>
          <w:tcPr>
            <w:tcW w:type="dxa" w:w="14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components/*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layout / charts / </w:t>
            </w:r>
            <w:r>
              <w:rPr>
                <w:rFonts w:ascii="Times New Roman" w:hAnsi="Times New Roman" w:eastAsia="宋体"/>
                <w:b/>
                <w:sz w:val="18"/>
              </w:rPr>
              <w:t>flags</w:t>
            </w:r>
          </w:p>
        </w:tc>
        <w:tc>
          <w:tcPr>
            <w:tcW w:type="dxa" w:w="19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flags 支持三色标记 + 图例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A2</w:t>
            </w:r>
          </w:p>
        </w:tc>
        <w:tc>
          <w:tcPr>
            <w:tcW w:type="dxa" w:w="14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 + 1–2 页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首页、基准核算、高排放诊断</w:t>
            </w:r>
          </w:p>
        </w:tc>
        <w:tc>
          <w:tcPr>
            <w:tcW w:type="dxa" w:w="19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随结果表刷新，无硬编码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A3</w:t>
            </w:r>
          </w:p>
        </w:tc>
        <w:tc>
          <w:tcPr>
            <w:tcW w:type="dxa" w:w="14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3–5 页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替代方案、成本效益、碳会计台账</w:t>
            </w:r>
          </w:p>
        </w:tc>
        <w:tc>
          <w:tcPr>
            <w:tcW w:type="dxa" w:w="19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含制度对标栏；λ 滑块可动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A4</w:t>
            </w:r>
          </w:p>
        </w:tc>
        <w:tc>
          <w:tcPr>
            <w:tcW w:type="dxa" w:w="14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离线打包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374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启动.bat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宋体"/>
                <w:color w:val="2F5596"/>
                <w:sz w:val="16"/>
              </w:rPr>
              <w:t>wheels/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静态兜底</w:t>
            </w:r>
          </w:p>
        </w:tc>
        <w:tc>
          <w:tcPr>
            <w:tcW w:type="dxa" w:w="19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陌生电脑断网双击开五页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3.4 数据与文档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357"/>
        <w:gridCol w:w="964"/>
        <w:gridCol w:w="1786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编号</w:t>
            </w:r>
          </w:p>
        </w:tc>
        <w:tc>
          <w:tcPr>
            <w:tcW w:type="dxa" w:w="535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事项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负责人</w:t>
            </w:r>
          </w:p>
        </w:tc>
        <w:tc>
          <w:tcPr>
            <w:tcW w:type="dxa" w:w="178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截止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D0</w:t>
            </w:r>
          </w:p>
        </w:tc>
        <w:tc>
          <w:tcPr>
            <w:tcW w:type="dxa" w:w="535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附件1/2 + 五份计算文件入 </w:t>
            </w:r>
            <w:r>
              <w:rPr>
                <w:rFonts w:ascii="Consolas" w:hAnsi="Consolas" w:eastAsia="宋体"/>
                <w:color w:val="2F5596"/>
                <w:sz w:val="16"/>
              </w:rPr>
              <w:t>data/raw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color w:val="2F5596"/>
                <w:sz w:val="16"/>
              </w:rPr>
              <w:t>data/reference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178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W1 周一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D1</w:t>
            </w:r>
          </w:p>
        </w:tc>
        <w:tc>
          <w:tcPr>
            <w:tcW w:type="dxa" w:w="535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docs/07_数据字典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（宽表 + 三表列级）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178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W1 初版 → C1 冻结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D2</w:t>
            </w:r>
          </w:p>
        </w:tc>
        <w:tc>
          <w:tcPr>
            <w:tcW w:type="dxa" w:w="535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docs/08_口径与假设清单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（排放节杨 / 成本节曾）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 + 曾</w:t>
            </w:r>
          </w:p>
        </w:tc>
        <w:tc>
          <w:tcPr>
            <w:tcW w:type="dxa" w:w="178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C1 冻结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D3</w:t>
            </w:r>
          </w:p>
        </w:tc>
        <w:tc>
          <w:tcPr>
            <w:tcW w:type="dxa" w:w="535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docs/15_碳会计模块_v2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（六字段/六要素规格）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178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W2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D4</w:t>
            </w:r>
          </w:p>
        </w:tc>
        <w:tc>
          <w:tcPr>
            <w:tcW w:type="dxa" w:w="535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docs/09_答辩演示脚本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178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W3–W4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D5</w:t>
            </w:r>
          </w:p>
        </w:tc>
        <w:tc>
          <w:tcPr>
            <w:tcW w:type="dxa" w:w="535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docs/10_商业计划书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宋体"/>
                <w:color w:val="2F5596"/>
                <w:sz w:val="16"/>
              </w:rPr>
              <w:t>docs/11_文献与引用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178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W3 起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D6</w:t>
            </w:r>
          </w:p>
        </w:tc>
        <w:tc>
          <w:tcPr>
            <w:tcW w:type="dxa" w:w="535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docs/18_实证结果_同线带宽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（1.50×/r≈0/25% 上界）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178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W1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D7</w:t>
            </w:r>
          </w:p>
        </w:tc>
        <w:tc>
          <w:tcPr>
            <w:tcW w:type="dxa" w:w="535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docs/17_主体赛施工蓝图_v3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（本文）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178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已完成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3.5 docs 目录最终清单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1417"/>
        <w:gridCol w:w="2835"/>
      </w:tblGrid>
      <w:tr>
        <w:trPr>
          <w:tblHeader/>
        </w:trPr>
        <w:tc>
          <w:tcPr>
            <w:tcW w:type="dxa" w:w="4819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文档</w:t>
            </w:r>
          </w:p>
        </w:tc>
        <w:tc>
          <w:tcPr>
            <w:tcW w:type="dxa" w:w="141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负责</w:t>
            </w:r>
          </w:p>
        </w:tc>
        <w:tc>
          <w:tcPr>
            <w:tcW w:type="dxa" w:w="2835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状态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03_项目文件结构规范.md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保留（v2 有效）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06_任务权限分配与责任矩阵.md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保留（权限流程有效）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07_数据字典.md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⬜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08_口径与假设清单.md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 + 曾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⬜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09_答辩演示脚本.md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⬜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10_商业计划书.md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⬜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11_文献与引用.md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⬜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14_项目实施计划书_v2.md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归档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15_碳会计模块_v2.md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⬜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16_项目施工蓝图.md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归档（京采排期）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17_主体赛施工蓝图_v3.md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本文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18_实证结果_同线带宽.md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⬜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4. 责任矩阵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4.1 文件级（O 主笔 / R 复核 / C 协作 / N 只读）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5174"/>
        <w:gridCol w:w="964"/>
        <w:gridCol w:w="964"/>
        <w:gridCol w:w="1006"/>
        <w:gridCol w:w="964"/>
      </w:tblGrid>
      <w:tr>
        <w:trPr>
          <w:tblHeader/>
        </w:trPr>
        <w:tc>
          <w:tcPr>
            <w:tcW w:type="dxa" w:w="517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文件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周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蒿</w:t>
            </w:r>
          </w:p>
        </w:tc>
        <w:tc>
          <w:tcPr>
            <w:tcW w:type="dxa" w:w="100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曾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杨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README.md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requirements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.gitignore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src/preprocess.py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src/optimizer.py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R（口径）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R（对拍）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src/evaluator.py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R（终审）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R（成本）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src/pipeline.py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R（台账）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R（财务表述）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app/services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components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app.py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1–2 页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app/pages/3–5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R（台账）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R（方案）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启动.bat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wheels/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data/raw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reference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processed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docs/07 09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docs/08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（成本）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（排放）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docs/10 11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R（核数）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17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docs/17 18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03 06 14 16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100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4.2 模块级分工图（一张图看完谁干什么）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1596"/>
        <w:gridCol w:w="5543"/>
        <w:gridCol w:w="1932"/>
      </w:tblGrid>
      <w:tr>
        <w:trPr>
          <w:tblHeader/>
        </w:trPr>
        <w:tc>
          <w:tcPr>
            <w:tcW w:type="dxa" w:w="159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成员</w:t>
            </w:r>
          </w:p>
        </w:tc>
        <w:tc>
          <w:tcPr>
            <w:tcW w:type="dxa" w:w="5543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负责模块链（按顺序）</w:t>
            </w:r>
          </w:p>
        </w:tc>
        <w:tc>
          <w:tcPr>
            <w:tcW w:type="dxa" w:w="193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时间窗</w:t>
            </w:r>
          </w:p>
        </w:tc>
      </w:tr>
      <w:tr>
        <w:tc>
          <w:tcPr>
            <w:tcW w:type="dxa" w:w="15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蒿韵丞 DA（关键路径）</w:t>
            </w:r>
          </w:p>
        </w:tc>
        <w:tc>
          <w:tcPr>
            <w:tcW w:type="dxa" w:w="554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P0 常量 → P1 读取 → P2 清洗 → P3 关联 → P4 FLAG → P5 宽表 → P6 自测</w:t>
            </w:r>
          </w:p>
        </w:tc>
        <w:tc>
          <w:tcPr>
            <w:tcW w:type="dxa" w:w="193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W1 全程；</w:t>
            </w:r>
            <w:r>
              <w:rPr>
                <w:rFonts w:ascii="Times New Roman" w:hAnsi="Times New Roman" w:eastAsia="宋体"/>
                <w:b/>
                <w:sz w:val="18"/>
              </w:rPr>
              <w:t>10/28 宽表落盘</w:t>
            </w:r>
          </w:p>
        </w:tc>
      </w:tr>
      <w:tr>
        <w:tc>
          <w:tcPr>
            <w:tcW w:type="dxa" w:w="15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杨盛文 FE（引擎 + 决策页）</w:t>
            </w:r>
          </w:p>
        </w:tc>
        <w:tc>
          <w:tcPr>
            <w:tcW w:type="dxa" w:w="554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O1 因子表 → O2 内插 → O3 双轨 → O4 段级碳排 → O5 baseline → O6 约束；A3 三页；A4 打包</w:t>
            </w:r>
          </w:p>
        </w:tc>
        <w:tc>
          <w:tcPr>
            <w:tcW w:type="dxa" w:w="193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W1 起（mock 可先跑）；</w:t>
            </w:r>
            <w:r>
              <w:rPr>
                <w:rFonts w:ascii="Times New Roman" w:hAnsi="Times New Roman" w:eastAsia="宋体"/>
                <w:b/>
                <w:sz w:val="18"/>
              </w:rPr>
              <w:t>11/01 对拍</w:t>
            </w:r>
          </w:p>
        </w:tc>
      </w:tr>
      <w:tr>
        <w:tc>
          <w:tcPr>
            <w:tcW w:type="dxa" w:w="15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曾广 FM（分析与财务）</w:t>
            </w:r>
          </w:p>
        </w:tc>
        <w:tc>
          <w:tcPr>
            <w:tcW w:type="dxa" w:w="554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E1 四维 → E2 同线带宽 → E3 方案 → E4 成本 → E5 边界；D2 成本节；D5 文档</w:t>
            </w:r>
          </w:p>
        </w:tc>
        <w:tc>
          <w:tcPr>
            <w:tcW w:type="dxa" w:w="193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W1 框架（mock）；W2 真数据</w:t>
            </w:r>
          </w:p>
        </w:tc>
      </w:tr>
      <w:tr>
        <w:tc>
          <w:tcPr>
            <w:tcW w:type="dxa" w:w="15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周嬴鑫 PM（调度 + 框架 + 账）</w:t>
            </w:r>
          </w:p>
        </w:tc>
        <w:tc>
          <w:tcPr>
            <w:tcW w:type="dxa" w:w="554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G1 调度 → G2 闸门 → G3 台账 → G4 披露；A0 / A1 框架 → A2 1–2 页</w:t>
            </w:r>
          </w:p>
        </w:tc>
        <w:tc>
          <w:tcPr>
            <w:tcW w:type="dxa" w:w="193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W1–W3；</w:t>
            </w:r>
            <w:r>
              <w:rPr>
                <w:rFonts w:ascii="Times New Roman" w:hAnsi="Times New Roman" w:eastAsia="宋体"/>
                <w:b/>
                <w:sz w:val="18"/>
              </w:rPr>
              <w:t>11/07–08 联调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4.3 跨文件接口交付（谁给谁什么，什么时候）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4884"/>
        <w:gridCol w:w="1163"/>
        <w:gridCol w:w="1163"/>
        <w:gridCol w:w="1861"/>
      </w:tblGrid>
      <w:tr>
        <w:trPr>
          <w:tblHeader/>
        </w:trPr>
        <w:tc>
          <w:tcPr>
            <w:tcW w:type="dxa" w:w="488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交付物</w:t>
            </w:r>
          </w:p>
        </w:tc>
        <w:tc>
          <w:tcPr>
            <w:tcW w:type="dxa" w:w="1163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供方</w:t>
            </w:r>
          </w:p>
        </w:tc>
        <w:tc>
          <w:tcPr>
            <w:tcW w:type="dxa" w:w="1163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需方</w:t>
            </w:r>
          </w:p>
        </w:tc>
        <w:tc>
          <w:tcPr>
            <w:tcW w:type="dxa" w:w="186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截止</w:t>
            </w:r>
          </w:p>
        </w:tc>
      </w:tr>
      <w:tr>
        <w:tc>
          <w:tcPr>
            <w:tcW w:type="dxa" w:w="488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宽表字段契约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（含三类 FLAG）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杨、曾、周</w:t>
            </w:r>
          </w:p>
        </w:tc>
        <w:tc>
          <w:tcPr>
            <w:tcW w:type="dxa" w:w="18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C1 10/24</w:t>
            </w:r>
          </w:p>
        </w:tc>
      </w:tr>
      <w:tr>
        <w:tc>
          <w:tcPr>
            <w:tcW w:type="dxa" w:w="488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结果表字段契约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（三表列级）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周（汇总）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周、杨</w:t>
            </w:r>
          </w:p>
        </w:tc>
        <w:tc>
          <w:tcPr>
            <w:tcW w:type="dxa" w:w="18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C1 10/24</w:t>
            </w:r>
          </w:p>
        </w:tc>
      </w:tr>
      <w:tr>
        <w:tc>
          <w:tcPr>
            <w:tcW w:type="dxa" w:w="488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口径清单</w:t>
            </w:r>
            <w:r>
              <w:rPr>
                <w:rFonts w:ascii="Times New Roman" w:hAnsi="Times New Roman" w:eastAsia="宋体"/>
                <w:b w:val="0"/>
                <w:sz w:val="18"/>
              </w:rPr>
              <w:t>（E₀/因子/成本）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 + 曾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全员</w:t>
            </w:r>
          </w:p>
        </w:tc>
        <w:tc>
          <w:tcPr>
            <w:tcW w:type="dxa" w:w="18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C1 10/24</w:t>
            </w:r>
          </w:p>
        </w:tc>
      </w:tr>
      <w:tr>
        <w:tc>
          <w:tcPr>
            <w:tcW w:type="dxa" w:w="488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λ 参数定义（默认值/可调范围/口径说明）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周、杨</w:t>
            </w:r>
          </w:p>
        </w:tc>
        <w:tc>
          <w:tcPr>
            <w:tcW w:type="dxa" w:w="18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C1 10/24</w:t>
            </w:r>
          </w:p>
        </w:tc>
      </w:tr>
      <w:tr>
        <w:tc>
          <w:tcPr>
            <w:tcW w:type="dxa" w:w="488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运营约束 C1–C5 规则文本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18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10/24</w:t>
            </w:r>
          </w:p>
        </w:tc>
      </w:tr>
      <w:tr>
        <w:tc>
          <w:tcPr>
            <w:tcW w:type="dxa" w:w="488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台账六字段 + 附注六要素口径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18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W2 末</w:t>
            </w:r>
          </w:p>
        </w:tc>
      </w:tr>
      <w:tr>
        <w:tc>
          <w:tcPr>
            <w:tcW w:type="dxa" w:w="488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披露附注财务表述复核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18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W3 中</w:t>
            </w:r>
          </w:p>
        </w:tc>
      </w:tr>
      <w:tr>
        <w:tc>
          <w:tcPr>
            <w:tcW w:type="dxa" w:w="488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文献[1] 完整著录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18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10/21</w:t>
            </w:r>
          </w:p>
        </w:tc>
      </w:tr>
      <w:tr>
        <w:tc>
          <w:tcPr>
            <w:tcW w:type="dxa" w:w="488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页面接口（读表函数 + 组件签名）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1163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186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W1 末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5. 并行还是串行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5.1 四条线并行，第一天就同时开工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6479"/>
      </w:tblGrid>
      <w:tr>
        <w:trPr>
          <w:tblHeader/>
        </w:trPr>
        <w:tc>
          <w:tcPr>
            <w:tcW w:type="dxa" w:w="129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线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主责</w:t>
            </w:r>
          </w:p>
        </w:tc>
        <w:tc>
          <w:tcPr>
            <w:tcW w:type="dxa" w:w="6479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W1 第一天就能做的（不等任何人）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64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附件入 </w:t>
            </w:r>
            <w:r>
              <w:rPr>
                <w:rFonts w:ascii="Consolas" w:hAnsi="Consolas" w:eastAsia="宋体"/>
                <w:color w:val="2F5596"/>
                <w:sz w:val="16"/>
              </w:rPr>
              <w:t>data/raw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、读取层 P1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引擎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64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O1 因子表录入（不依赖任何人）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分析财务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64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文献著录、成本参数表、E1/E4 框架（mock）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调度与前端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64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G1 调度器、A0/A1 框架接口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5.2 但有 3 个强制串行节点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2"/>
        <w:gridCol w:w="1512"/>
        <w:gridCol w:w="4535"/>
        <w:gridCol w:w="2062"/>
      </w:tblGrid>
      <w:tr>
        <w:trPr>
          <w:tblHeader/>
        </w:trPr>
        <w:tc>
          <w:tcPr>
            <w:tcW w:type="dxa" w:w="96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节点</w:t>
            </w:r>
          </w:p>
        </w:tc>
        <w:tc>
          <w:tcPr>
            <w:tcW w:type="dxa" w:w="151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时间</w:t>
            </w:r>
          </w:p>
        </w:tc>
        <w:tc>
          <w:tcPr>
            <w:tcW w:type="dxa" w:w="4535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卡的是什么</w:t>
            </w:r>
          </w:p>
        </w:tc>
        <w:tc>
          <w:tcPr>
            <w:tcW w:type="dxa" w:w="206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不通过会怎样</w:t>
            </w:r>
          </w:p>
        </w:tc>
      </w:tr>
      <w:tr>
        <w:tc>
          <w:tcPr>
            <w:tcW w:type="dxa" w:w="96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① 契约冻结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10/24（C1）</w:t>
            </w:r>
          </w:p>
        </w:tc>
        <w:tc>
          <w:tcPr>
            <w:tcW w:type="dxa" w:w="45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宽表字段 / 结果表字段 / 口径清单 / FLAG 定义 / λ</w:t>
            </w:r>
          </w:p>
        </w:tc>
        <w:tc>
          <w:tcPr>
            <w:tcW w:type="dxa" w:w="206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下游全部返工</w:t>
            </w:r>
          </w:p>
        </w:tc>
      </w:tr>
      <w:tr>
        <w:tc>
          <w:tcPr>
            <w:tcW w:type="dxa" w:w="96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② 真宽表落盘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10/28（W2 中）</w:t>
            </w:r>
          </w:p>
        </w:tc>
        <w:tc>
          <w:tcPr>
            <w:tcW w:type="dxa" w:w="45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蒿的 P5</w:t>
            </w:r>
          </w:p>
        </w:tc>
        <w:tc>
          <w:tcPr>
            <w:tcW w:type="dxa" w:w="206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曾、杨、周只能继续用 mock</w:t>
            </w:r>
          </w:p>
        </w:tc>
      </w:tr>
      <w:tr>
        <w:tc>
          <w:tcPr>
            <w:tcW w:type="dxa" w:w="96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③ 对拍全绿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11/01（C2）</w:t>
            </w:r>
          </w:p>
        </w:tc>
        <w:tc>
          <w:tcPr>
            <w:tcW w:type="dxa" w:w="453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数据四项 + 引擎两项</w:t>
            </w:r>
          </w:p>
        </w:tc>
        <w:tc>
          <w:tcPr>
            <w:tcW w:type="dxa" w:w="206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不许开始集成（G3/台账）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关键路径 = 蒿韵丞的 `preprocess.py`</w:t>
      </w:r>
      <w:r>
        <w:rPr>
          <w:rFonts w:ascii="Times New Roman" w:hAnsi="Times New Roman" w:eastAsia="宋体"/>
          <w:b w:val="0"/>
          <w:sz w:val="21"/>
        </w:rPr>
        <w:t>。它不冻结，下游全部等待；任何延期</w:t>
      </w:r>
      <w:r>
        <w:rPr>
          <w:rFonts w:ascii="Times New Roman" w:hAnsi="Times New Roman" w:eastAsia="宋体"/>
          <w:b/>
          <w:sz w:val="21"/>
        </w:rPr>
        <w:t>当天上报 PM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5.3 依赖图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94"/>
        <w:gridCol w:w="870"/>
        <w:gridCol w:w="1491"/>
        <w:gridCol w:w="5716"/>
      </w:tblGrid>
      <w:tr>
        <w:trPr>
          <w:tblHeader/>
        </w:trPr>
        <w:tc>
          <w:tcPr>
            <w:tcW w:type="dxa" w:w="99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时间</w:t>
            </w:r>
          </w:p>
        </w:tc>
        <w:tc>
          <w:tcPr>
            <w:tcW w:type="dxa" w:w="870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节点</w:t>
            </w:r>
          </w:p>
        </w:tc>
        <w:tc>
          <w:tcPr>
            <w:tcW w:type="dxa" w:w="1491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依赖</w:t>
            </w:r>
          </w:p>
        </w:tc>
        <w:tc>
          <w:tcPr>
            <w:tcW w:type="dxa" w:w="571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交付物</w:t>
            </w:r>
          </w:p>
        </w:tc>
      </w:tr>
      <w:tr>
        <w:tc>
          <w:tcPr>
            <w:tcW w:type="dxa" w:w="99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10/24</w:t>
            </w:r>
          </w:p>
        </w:tc>
        <w:tc>
          <w:tcPr>
            <w:tcW w:type="dxa" w:w="87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C1 契约冻结</w:t>
            </w:r>
          </w:p>
        </w:tc>
        <w:tc>
          <w:tcPr>
            <w:tcW w:type="dxa" w:w="1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宽表字段 / 结果表列级 / 口径清单 / λ 定义</w:t>
            </w:r>
          </w:p>
        </w:tc>
      </w:tr>
      <w:tr>
        <w:tc>
          <w:tcPr>
            <w:tcW w:type="dxa" w:w="99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10/28</w:t>
            </w:r>
          </w:p>
        </w:tc>
        <w:tc>
          <w:tcPr>
            <w:tcW w:type="dxa" w:w="87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真宽表落盘</w:t>
            </w:r>
          </w:p>
        </w:tc>
        <w:tc>
          <w:tcPr>
            <w:tcW w:type="dxa" w:w="1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C1</w:t>
            </w:r>
          </w:p>
        </w:tc>
        <w:tc>
          <w:tcPr>
            <w:tcW w:type="dxa" w:w="5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wide_data.parquet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（33,214 段）</w:t>
            </w:r>
          </w:p>
        </w:tc>
      </w:tr>
      <w:tr>
        <w:tc>
          <w:tcPr>
            <w:tcW w:type="dxa" w:w="99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10/30</w:t>
            </w:r>
          </w:p>
        </w:tc>
        <w:tc>
          <w:tcPr>
            <w:tcW w:type="dxa" w:w="87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数据四项全绿</w:t>
            </w:r>
          </w:p>
        </w:tc>
        <w:tc>
          <w:tcPr>
            <w:tcW w:type="dxa" w:w="1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宽表</w:t>
            </w:r>
          </w:p>
        </w:tc>
        <w:tc>
          <w:tcPr>
            <w:tcW w:type="dxa" w:w="5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33,214 / 4,690,435.81 / 33,213 / E₀ 4,502.04 t</w:t>
            </w:r>
          </w:p>
        </w:tc>
      </w:tr>
      <w:tr>
        <w:tc>
          <w:tcPr>
            <w:tcW w:type="dxa" w:w="99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11/01</w:t>
            </w:r>
          </w:p>
        </w:tc>
        <w:tc>
          <w:tcPr>
            <w:tcW w:type="dxa" w:w="87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C2 对拍全绿</w:t>
            </w:r>
          </w:p>
        </w:tc>
        <w:tc>
          <w:tcPr>
            <w:tcW w:type="dxa" w:w="1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宽表 + O4 / O5</w:t>
            </w:r>
          </w:p>
        </w:tc>
        <w:tc>
          <w:tcPr>
            <w:tcW w:type="dxa" w:w="5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七项闸门全绿</w:t>
            </w:r>
          </w:p>
        </w:tc>
      </w:tr>
      <w:tr>
        <w:tc>
          <w:tcPr>
            <w:tcW w:type="dxa" w:w="99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11/07–08</w:t>
            </w:r>
          </w:p>
        </w:tc>
        <w:tc>
          <w:tcPr>
            <w:tcW w:type="dxa" w:w="87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C3 集成全通</w:t>
            </w:r>
          </w:p>
        </w:tc>
        <w:tc>
          <w:tcPr>
            <w:tcW w:type="dxa" w:w="1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C2 + G3 + A3</w:t>
            </w:r>
          </w:p>
        </w:tc>
        <w:tc>
          <w:tcPr>
            <w:tcW w:type="dxa" w:w="5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一键复算 + 五页可交互</w:t>
            </w:r>
          </w:p>
        </w:tc>
      </w:tr>
      <w:tr>
        <w:tc>
          <w:tcPr>
            <w:tcW w:type="dxa" w:w="99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11/15</w:t>
            </w:r>
          </w:p>
        </w:tc>
        <w:tc>
          <w:tcPr>
            <w:tcW w:type="dxa" w:w="87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C4 冻结交付</w:t>
            </w:r>
          </w:p>
        </w:tc>
        <w:tc>
          <w:tcPr>
            <w:tcW w:type="dxa" w:w="149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C3</w:t>
            </w:r>
          </w:p>
        </w:tc>
        <w:tc>
          <w:tcPr>
            <w:tcW w:type="dxa" w:w="571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断网可开 + 文档齐 + 排练 ≥2 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5.4 并行秘诀：mock 先行，真数据只换源不返工</w:t>
      </w:r>
    </w:p>
    <w:p>
      <w:pPr>
        <w:spacing w:after="40"/>
        <w:ind w:left="539" w:hanging="255"/>
      </w:pPr>
      <w:r>
        <w:rPr>
          <w:rFonts w:ascii="Times New Roman" w:hAnsi="Times New Roman" w:eastAsia="宋体"/>
          <w:color w:val="1F3A5F"/>
          <w:sz w:val="20"/>
        </w:rPr>
        <w:t xml:space="preserve">▪  </w:t>
      </w:r>
      <w:r>
        <w:rPr>
          <w:rFonts w:ascii="Times New Roman" w:hAnsi="Times New Roman" w:eastAsia="宋体"/>
          <w:b w:val="0"/>
          <w:sz w:val="21"/>
        </w:rPr>
        <w:t xml:space="preserve">杨用仓库里已有的 3 行 </w:t>
      </w:r>
      <w:r>
        <w:rPr>
          <w:rFonts w:ascii="Consolas" w:hAnsi="Consolas" w:eastAsia="宋体"/>
          <w:color w:val="2F5596"/>
          <w:sz w:val="19"/>
        </w:rPr>
        <w:t>wide_data.parquet</w:t>
      </w:r>
      <w:r>
        <w:rPr>
          <w:rFonts w:ascii="Times New Roman" w:hAnsi="Times New Roman" w:eastAsia="宋体"/>
          <w:b w:val="0"/>
          <w:sz w:val="21"/>
        </w:rPr>
        <w:t xml:space="preserve"> 开发引擎；真宽表一到，只改读表路径；</w:t>
      </w:r>
    </w:p>
    <w:p>
      <w:pPr>
        <w:spacing w:after="40"/>
        <w:ind w:left="539" w:hanging="255"/>
      </w:pPr>
      <w:r>
        <w:rPr>
          <w:rFonts w:ascii="Times New Roman" w:hAnsi="Times New Roman" w:eastAsia="宋体"/>
          <w:color w:val="1F3A5F"/>
          <w:sz w:val="20"/>
        </w:rPr>
        <w:t xml:space="preserve">▪  </w:t>
      </w:r>
      <w:r>
        <w:rPr>
          <w:rFonts w:ascii="Times New Roman" w:hAnsi="Times New Roman" w:eastAsia="宋体"/>
          <w:b w:val="0"/>
          <w:sz w:val="21"/>
        </w:rPr>
        <w:t xml:space="preserve">曾用 mock 碳排搭分析框架；真 </w:t>
      </w:r>
      <w:r>
        <w:rPr>
          <w:rFonts w:ascii="Consolas" w:hAnsi="Consolas" w:eastAsia="宋体"/>
          <w:color w:val="2F5596"/>
          <w:sz w:val="19"/>
        </w:rPr>
        <w:t>baseline_carbon</w:t>
      </w:r>
      <w:r>
        <w:rPr>
          <w:rFonts w:ascii="Times New Roman" w:hAnsi="Times New Roman" w:eastAsia="宋体"/>
          <w:b w:val="0"/>
          <w:sz w:val="21"/>
        </w:rPr>
        <w:t xml:space="preserve"> 一到，只换输入；</w:t>
      </w:r>
    </w:p>
    <w:p>
      <w:pPr>
        <w:spacing w:after="40"/>
        <w:ind w:left="539" w:hanging="255"/>
      </w:pPr>
      <w:r>
        <w:rPr>
          <w:rFonts w:ascii="Times New Roman" w:hAnsi="Times New Roman" w:eastAsia="宋体"/>
          <w:color w:val="1F3A5F"/>
          <w:sz w:val="20"/>
        </w:rPr>
        <w:t xml:space="preserve">▪  </w:t>
      </w:r>
      <w:r>
        <w:rPr>
          <w:rFonts w:ascii="Times New Roman" w:hAnsi="Times New Roman" w:eastAsia="宋体"/>
          <w:b w:val="0"/>
          <w:sz w:val="21"/>
        </w:rPr>
        <w:t xml:space="preserve">周/杨用已入库的 3 行 </w:t>
      </w:r>
      <w:r>
        <w:rPr>
          <w:rFonts w:ascii="Consolas" w:hAnsi="Consolas" w:eastAsia="宋体"/>
          <w:color w:val="2F5596"/>
          <w:sz w:val="19"/>
        </w:rPr>
        <w:t>final_report.parquet</w:t>
      </w:r>
      <w:r>
        <w:rPr>
          <w:rFonts w:ascii="Times New Roman" w:hAnsi="Times New Roman" w:eastAsia="宋体"/>
          <w:b w:val="0"/>
          <w:sz w:val="21"/>
        </w:rPr>
        <w:t xml:space="preserve"> 搭页面；</w:t>
      </w:r>
    </w:p>
    <w:p>
      <w:pPr>
        <w:spacing w:after="40"/>
        <w:ind w:left="539" w:hanging="255"/>
      </w:pPr>
      <w:r>
        <w:rPr>
          <w:rFonts w:ascii="Times New Roman" w:hAnsi="Times New Roman" w:eastAsia="宋体"/>
          <w:color w:val="1F3A5F"/>
          <w:sz w:val="20"/>
        </w:rPr>
        <w:t xml:space="preserve">▪  </w:t>
      </w:r>
      <w:r>
        <w:rPr>
          <w:rFonts w:ascii="Times New Roman" w:hAnsi="Times New Roman" w:eastAsia="宋体"/>
          <w:b/>
          <w:sz w:val="21"/>
        </w:rPr>
        <w:t>唯一不能 mock 的是</w:t>
      </w:r>
      <w:r>
        <w:rPr>
          <w:rFonts w:ascii="Times New Roman" w:hAnsi="Times New Roman" w:eastAsia="宋体"/>
          <w:b w:val="0"/>
          <w:sz w:val="21"/>
        </w:rPr>
        <w:t>：宽表字段名、结果表列名——所以 C1 必须冻结。</w:t>
      </w: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6. 四周排期</w:t>
      </w: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6.1 总表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497"/>
        <w:gridCol w:w="964"/>
        <w:gridCol w:w="1402"/>
        <w:gridCol w:w="2080"/>
        <w:gridCol w:w="1582"/>
        <w:gridCol w:w="1582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周次</w:t>
            </w:r>
          </w:p>
        </w:tc>
        <w:tc>
          <w:tcPr>
            <w:tcW w:type="dxa" w:w="49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日期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主题</w:t>
            </w:r>
          </w:p>
        </w:tc>
        <w:tc>
          <w:tcPr>
            <w:tcW w:type="dxa" w:w="140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周嬴鑫 PM</w:t>
            </w:r>
          </w:p>
        </w:tc>
        <w:tc>
          <w:tcPr>
            <w:tcW w:type="dxa" w:w="2080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蒿韵丞 DA</w:t>
            </w:r>
          </w:p>
        </w:tc>
        <w:tc>
          <w:tcPr>
            <w:tcW w:type="dxa" w:w="158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曾广 FM</w:t>
            </w:r>
          </w:p>
        </w:tc>
        <w:tc>
          <w:tcPr>
            <w:tcW w:type="dxa" w:w="158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杨盛文 FE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W1</w:t>
            </w:r>
          </w:p>
        </w:tc>
        <w:tc>
          <w:tcPr>
            <w:tcW w:type="dxa" w:w="49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10/19–10/25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契约冻结周</w:t>
            </w:r>
          </w:p>
        </w:tc>
        <w:tc>
          <w:tcPr>
            <w:tcW w:type="dxa" w:w="14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全员会 + 本图发布；G1 调度；A0/A1 框架；</w:t>
            </w:r>
            <w:r>
              <w:rPr>
                <w:rFonts w:ascii="Times New Roman" w:hAnsi="Times New Roman" w:eastAsia="宋体"/>
                <w:b/>
                <w:sz w:val="18"/>
              </w:rPr>
              <w:t>C1 主持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D0 数据落地；P1 读取 → P2 清洗；</w:t>
            </w:r>
            <w:r>
              <w:rPr>
                <w:rFonts w:ascii="Times New Roman" w:hAnsi="Times New Roman" w:eastAsia="宋体"/>
                <w:b/>
                <w:sz w:val="18"/>
              </w:rPr>
              <w:t>P3 关联主攻</w:t>
            </w:r>
          </w:p>
        </w:tc>
        <w:tc>
          <w:tcPr>
            <w:tcW w:type="dxa" w:w="15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文献著录；成本参数；E1/E2 框架(mock)</w:t>
            </w:r>
          </w:p>
        </w:tc>
        <w:tc>
          <w:tcPr>
            <w:tcW w:type="dxa" w:w="15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O1 因子表 → O2 内插；O3 骨架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W2</w:t>
            </w:r>
          </w:p>
        </w:tc>
        <w:tc>
          <w:tcPr>
            <w:tcW w:type="dxa" w:w="49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10/26–11/01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真数据贯通周</w:t>
            </w:r>
          </w:p>
        </w:tc>
        <w:tc>
          <w:tcPr>
            <w:tcW w:type="dxa" w:w="14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G2 闸门全绿；G3 台账启动；A2 开发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P4 FLAG → </w:t>
            </w:r>
            <w:r>
              <w:rPr>
                <w:rFonts w:ascii="Times New Roman" w:hAnsi="Times New Roman" w:eastAsia="宋体"/>
                <w:b/>
                <w:sz w:val="18"/>
              </w:rPr>
              <w:t>P5 宽表（10/28）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P6 自测；</w:t>
            </w:r>
            <w:r>
              <w:rPr>
                <w:rFonts w:ascii="Times New Roman" w:hAnsi="Times New Roman" w:eastAsia="宋体"/>
                <w:b/>
                <w:sz w:val="18"/>
              </w:rPr>
              <w:t>10/30 四项全绿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18"/>
              </w:rPr>
              <w:t>C2</w:t>
            </w:r>
          </w:p>
        </w:tc>
        <w:tc>
          <w:tcPr>
            <w:tcW w:type="dxa" w:w="15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E1–E4 接真数据；E2 同线带宽</w:t>
            </w:r>
          </w:p>
        </w:tc>
        <w:tc>
          <w:tcPr>
            <w:tcW w:type="dxa" w:w="15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O4/O5 真数据 → </w:t>
            </w:r>
            <w:r>
              <w:rPr>
                <w:rFonts w:ascii="Times New Roman" w:hAnsi="Times New Roman" w:eastAsia="宋体"/>
                <w:b/>
                <w:sz w:val="18"/>
              </w:rPr>
              <w:t>11/01 14.67</w:t>
            </w:r>
            <w:r>
              <w:rPr>
                <w:rFonts w:ascii="Times New Roman" w:hAnsi="Times New Roman" w:eastAsia="宋体"/>
                <w:b w:val="0"/>
                <w:sz w:val="18"/>
              </w:rPr>
              <w:t>；O6 约束；A3 骨架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W3</w:t>
            </w:r>
          </w:p>
        </w:tc>
        <w:tc>
          <w:tcPr>
            <w:tcW w:type="dxa" w:w="49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11/02–11/08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收尾成型周</w:t>
            </w:r>
          </w:p>
        </w:tc>
        <w:tc>
          <w:tcPr>
            <w:tcW w:type="dxa" w:w="14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G3 台账 + G4 披露；</w:t>
            </w:r>
            <w:r>
              <w:rPr>
                <w:rFonts w:ascii="Times New Roman" w:hAnsi="Times New Roman" w:eastAsia="宋体"/>
                <w:b/>
                <w:sz w:val="18"/>
              </w:rPr>
              <w:t>集成联调</w:t>
            </w:r>
            <w:r>
              <w:rPr>
                <w:rFonts w:ascii="Times New Roman" w:hAnsi="Times New Roman" w:eastAsia="宋体"/>
                <w:b w:val="0"/>
                <w:sz w:val="18"/>
              </w:rPr>
              <w:t>；A2 收尾；</w:t>
            </w:r>
            <w:r>
              <w:rPr>
                <w:rFonts w:ascii="Times New Roman" w:hAnsi="Times New Roman" w:eastAsia="宋体"/>
                <w:b/>
                <w:sz w:val="18"/>
              </w:rPr>
              <w:t>C3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D1 数据字典定稿；台账口径锁定；支持联调</w:t>
            </w:r>
          </w:p>
        </w:tc>
        <w:tc>
          <w:tcPr>
            <w:tcW w:type="dxa" w:w="15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E4 对账（4,809/77.4%/9.6）+ E5 边界；D2/D5</w:t>
            </w:r>
          </w:p>
        </w:tc>
        <w:tc>
          <w:tcPr>
            <w:tcW w:type="dxa" w:w="15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A3 五页接线；O6 收尾；</w:t>
            </w:r>
            <w:r>
              <w:rPr>
                <w:rFonts w:ascii="Consolas" w:hAnsi="Consolas" w:eastAsia="宋体"/>
                <w:color w:val="2F5596"/>
                <w:sz w:val="16"/>
              </w:rPr>
              <w:t>启动.bat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初版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W4</w:t>
            </w:r>
          </w:p>
        </w:tc>
        <w:tc>
          <w:tcPr>
            <w:tcW w:type="dxa" w:w="49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11/09–11/15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留白缓冲周</w:t>
            </w:r>
          </w:p>
        </w:tc>
        <w:tc>
          <w:tcPr>
            <w:tcW w:type="dxa" w:w="14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断网实测（陌生电脑）；README 定稿；演示排练 ≥2 遍</w:t>
            </w:r>
          </w:p>
        </w:tc>
        <w:tc>
          <w:tcPr>
            <w:tcW w:type="dxa" w:w="208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D4 答辩脚本；主讲排练</w:t>
            </w:r>
          </w:p>
        </w:tc>
        <w:tc>
          <w:tcPr>
            <w:tcW w:type="dxa" w:w="15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D5 商业计划书；PPT 财务节</w:t>
            </w:r>
          </w:p>
        </w:tc>
        <w:tc>
          <w:tcPr>
            <w:tcW w:type="dxa" w:w="158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wheels 打包；性能兜底；技术兜底演练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6.2 W1 日级表（最关键的一周）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3196"/>
        <w:gridCol w:w="1814"/>
        <w:gridCol w:w="1987"/>
        <w:gridCol w:w="1469"/>
      </w:tblGrid>
      <w:tr>
        <w:trPr>
          <w:tblHeader/>
        </w:trPr>
        <w:tc>
          <w:tcPr>
            <w:tcW w:type="dxa" w:w="605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日</w:t>
            </w:r>
          </w:p>
        </w:tc>
        <w:tc>
          <w:tcPr>
            <w:tcW w:type="dxa" w:w="3196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周</w:t>
            </w:r>
          </w:p>
        </w:tc>
        <w:tc>
          <w:tcPr>
            <w:tcW w:type="dxa" w:w="181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蒿</w:t>
            </w:r>
          </w:p>
        </w:tc>
        <w:tc>
          <w:tcPr>
            <w:tcW w:type="dxa" w:w="198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曾</w:t>
            </w:r>
          </w:p>
        </w:tc>
        <w:tc>
          <w:tcPr>
            <w:tcW w:type="dxa" w:w="1469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杨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 10/19</w:t>
            </w:r>
          </w:p>
        </w:tc>
        <w:tc>
          <w:tcPr>
            <w:tcW w:type="dxa" w:w="31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全员会 30 分钟过本图；发 GitHub 邀请；建 CODEOWNERS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D0 五份计算文件 + 附件落地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；起 P1</w:t>
            </w:r>
          </w:p>
        </w:tc>
        <w:tc>
          <w:tcPr>
            <w:tcW w:type="dxa" w:w="198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文献[1] 著录；成本参数（补贴/能耗/维护）</w:t>
            </w:r>
          </w:p>
        </w:tc>
        <w:tc>
          <w:tcPr>
            <w:tcW w:type="dxa" w:w="14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O1 因子表录入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（不依赖任何人）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二 10/20</w:t>
            </w:r>
          </w:p>
        </w:tc>
        <w:tc>
          <w:tcPr>
            <w:tcW w:type="dxa" w:w="31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G1 调度器壳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 读取层（含隐藏 sheet）</w:t>
            </w:r>
          </w:p>
        </w:tc>
        <w:tc>
          <w:tcPr>
            <w:tcW w:type="dxa" w:w="198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E1 四维热点框架（mock）</w:t>
            </w:r>
          </w:p>
        </w:tc>
        <w:tc>
          <w:tcPr>
            <w:tcW w:type="dxa" w:w="14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O2 内插函数 + 手写自测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 10/21</w:t>
            </w:r>
          </w:p>
        </w:tc>
        <w:tc>
          <w:tcPr>
            <w:tcW w:type="dxa" w:w="31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A0 services + A1 layout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 清洗层（</w:t>
            </w:r>
            <w:r>
              <w:rPr>
                <w:rFonts w:ascii="Consolas" w:hAnsi="Consolas" w:eastAsia="宋体"/>
                <w:color w:val="2F5596"/>
                <w:sz w:val="16"/>
              </w:rPr>
              <w:t>-1-1-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去重）</w:t>
            </w:r>
          </w:p>
        </w:tc>
        <w:tc>
          <w:tcPr>
            <w:tcW w:type="dxa" w:w="198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E3 替代方案框架（mock）</w:t>
            </w:r>
          </w:p>
        </w:tc>
        <w:tc>
          <w:tcPr>
            <w:tcW w:type="dxa" w:w="14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O3 双轨引擎草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 10/22</w:t>
            </w:r>
          </w:p>
        </w:tc>
        <w:tc>
          <w:tcPr>
            <w:tcW w:type="dxa" w:w="31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A1 flags 组件（三色）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P3 关联层主攻</w:t>
            </w:r>
          </w:p>
        </w:tc>
        <w:tc>
          <w:tcPr>
            <w:tcW w:type="dxa" w:w="198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E4 成本效益框架（mock）</w:t>
            </w:r>
          </w:p>
        </w:tc>
        <w:tc>
          <w:tcPr>
            <w:tcW w:type="dxa" w:w="14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O4 段级碳排（mock 数据）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五 10/23</w:t>
            </w:r>
          </w:p>
        </w:tc>
        <w:tc>
          <w:tcPr>
            <w:tcW w:type="dxa" w:w="31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A2 首页 + 第 1 页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P4 三类 FLAG</w:t>
            </w:r>
          </w:p>
        </w:tc>
        <w:tc>
          <w:tcPr>
            <w:tcW w:type="dxa" w:w="198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E2 同线带宽（先用手算样例）</w:t>
            </w:r>
          </w:p>
        </w:tc>
        <w:tc>
          <w:tcPr>
            <w:tcW w:type="dxa" w:w="14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O5 baseline（mock）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六 10/24</w:t>
            </w:r>
          </w:p>
        </w:tc>
        <w:tc>
          <w:tcPr>
            <w:tcW w:type="dxa" w:w="31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主持 C1 契约冻结会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（1.5 h）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提交宽表字段清单</w:t>
            </w:r>
          </w:p>
        </w:tc>
        <w:tc>
          <w:tcPr>
            <w:tcW w:type="dxa" w:w="198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提交口径清单（成本节）</w:t>
            </w:r>
          </w:p>
        </w:tc>
        <w:tc>
          <w:tcPr>
            <w:tcW w:type="dxa" w:w="14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提交口径清单（排放节）+ λ 提案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 10/25</w:t>
            </w:r>
          </w:p>
        </w:tc>
        <w:tc>
          <w:tcPr>
            <w:tcW w:type="dxa" w:w="3196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汇总 C1 纪要，冻结进 </w:t>
            </w:r>
            <w:r>
              <w:rPr>
                <w:rFonts w:ascii="Consolas" w:hAnsi="Consolas" w:eastAsia="宋体"/>
                <w:color w:val="2F5596"/>
                <w:sz w:val="16"/>
              </w:rPr>
              <w:t>docs/07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color w:val="2F5596"/>
                <w:sz w:val="16"/>
              </w:rPr>
              <w:t>docs/08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缓冲 / 补课</w:t>
            </w:r>
          </w:p>
        </w:tc>
        <w:tc>
          <w:tcPr>
            <w:tcW w:type="dxa" w:w="198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缓冲 / 补课</w:t>
            </w:r>
          </w:p>
        </w:tc>
        <w:tc>
          <w:tcPr>
            <w:tcW w:type="dxa" w:w="14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缓冲 / 补课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6.3 检查点（全部满足才算过）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690"/>
        <w:gridCol w:w="789"/>
        <w:gridCol w:w="7592"/>
      </w:tblGrid>
      <w:tr>
        <w:trPr>
          <w:tblHeader/>
        </w:trPr>
        <w:tc>
          <w:tcPr>
            <w:tcW w:type="dxa" w:w="690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检查点</w:t>
            </w:r>
          </w:p>
        </w:tc>
        <w:tc>
          <w:tcPr>
            <w:tcW w:type="dxa" w:w="789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日期</w:t>
            </w:r>
          </w:p>
        </w:tc>
        <w:tc>
          <w:tcPr>
            <w:tcW w:type="dxa" w:w="759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判据</w:t>
            </w:r>
          </w:p>
        </w:tc>
      </w:tr>
      <w:tr>
        <w:tc>
          <w:tcPr>
            <w:tcW w:type="dxa" w:w="69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C1 契约冻结</w:t>
            </w:r>
          </w:p>
        </w:tc>
        <w:tc>
          <w:tcPr>
            <w:tcW w:type="dxa" w:w="78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10/24</w:t>
            </w:r>
          </w:p>
        </w:tc>
        <w:tc>
          <w:tcPr>
            <w:tcW w:type="dxa" w:w="759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①宽表字段（含三类 FLAG）②结果表三表列级 ③口径清单 ④λ 定义——四件冻结并全员确认</w:t>
            </w:r>
          </w:p>
        </w:tc>
      </w:tr>
      <w:tr>
        <w:tc>
          <w:tcPr>
            <w:tcW w:type="dxa" w:w="69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C2 对拍全绿</w:t>
            </w:r>
          </w:p>
        </w:tc>
        <w:tc>
          <w:tcPr>
            <w:tcW w:type="dxa" w:w="78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11/01</w:t>
            </w:r>
          </w:p>
        </w:tc>
        <w:tc>
          <w:tcPr>
            <w:tcW w:type="dxa" w:w="759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33,214 / 4,690,435.81 / 33,213 / 49.57 / </w:t>
            </w:r>
            <w:r>
              <w:rPr>
                <w:rFonts w:ascii="Times New Roman" w:hAnsi="Times New Roman" w:eastAsia="宋体"/>
                <w:b/>
                <w:sz w:val="18"/>
              </w:rPr>
              <w:t>E₀ 4,502.04 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14.67 / 12.68%——七项全绿</w:t>
            </w:r>
          </w:p>
        </w:tc>
      </w:tr>
      <w:tr>
        <w:tc>
          <w:tcPr>
            <w:tcW w:type="dxa" w:w="69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C3 集成全通</w:t>
            </w:r>
          </w:p>
        </w:tc>
        <w:tc>
          <w:tcPr>
            <w:tcW w:type="dxa" w:w="78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11/07–08</w:t>
            </w:r>
          </w:p>
        </w:tc>
        <w:tc>
          <w:tcPr>
            <w:tcW w:type="dxa" w:w="759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python -m src.pipeline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一键全绿；五页可交互；台账六字段 + 附注六要素齐；三口径带宽可复现</w:t>
            </w:r>
          </w:p>
        </w:tc>
      </w:tr>
      <w:tr>
        <w:tc>
          <w:tcPr>
            <w:tcW w:type="dxa" w:w="690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C4 冻结交付</w:t>
            </w:r>
          </w:p>
        </w:tc>
        <w:tc>
          <w:tcPr>
            <w:tcW w:type="dxa" w:w="78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11/15</w:t>
            </w:r>
          </w:p>
        </w:tc>
        <w:tc>
          <w:tcPr>
            <w:tcW w:type="dxa" w:w="759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断网双击开五页；文档齐；演示脚本排练 ≥2 遍；页面无业务计算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1F3A5F"/>
          <w:sz w:val="25"/>
        </w:rPr>
        <w:t>6.4 留白周规则</w:t>
      </w: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/>
          <w:color w:val="333333"/>
          <w:sz w:val="20"/>
        </w:rPr>
        <w:t>W4 不安排任何新功能。</w:t>
      </w: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 w:val="0"/>
          <w:color w:val="333333"/>
          <w:sz w:val="20"/>
        </w:rPr>
        <w:t>无滑期 → W4 只做可延迟项（实测 / 文档 / 排练 / 打包）。</w:t>
      </w: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 w:val="0"/>
          <w:color w:val="333333"/>
          <w:sz w:val="20"/>
        </w:rPr>
        <w:t>有滑期 → 滑期在 W4 吸收；仍不够 → 按 §8 降级序列砍。</w:t>
      </w: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/>
          <w:color w:val="333333"/>
          <w:sz w:val="20"/>
        </w:rPr>
        <w:t>11/15 硬冻结。</w:t>
      </w: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7. 验收判据（数字速查）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107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层</w:t>
            </w:r>
          </w:p>
        </w:tc>
        <w:tc>
          <w:tcPr>
            <w:tcW w:type="dxa" w:w="810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判据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36,329 → 33,214；4,690,435.81 km；33,213；49.57±0.01；关联率 ≥99.9%；</w:t>
            </w:r>
            <w:r>
              <w:rPr>
                <w:rFonts w:ascii="Times New Roman" w:hAnsi="Times New Roman" w:eastAsia="宋体"/>
                <w:b/>
                <w:sz w:val="18"/>
              </w:rPr>
              <w:t>三类 FLAG 计数与体检值一致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引擎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30t → 14.67±0.01；VSP3 16.53（12.68%）；</w:t>
            </w:r>
            <w:r>
              <w:rPr>
                <w:rFonts w:ascii="Times New Roman" w:hAnsi="Times New Roman" w:eastAsia="宋体"/>
                <w:b/>
                <w:sz w:val="18"/>
              </w:rPr>
              <w:t>三口径带宽 4,313 / 4,502 / 4,922 t 可复现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四维热点可复现；</w:t>
            </w:r>
            <w:r>
              <w:rPr>
                <w:rFonts w:ascii="Times New Roman" w:hAnsi="Times New Roman" w:eastAsia="宋体"/>
                <w:b/>
                <w:sz w:val="18"/>
              </w:rPr>
              <w:t>同线带宽中位 1.50×、覆盖 83.8%</w:t>
            </w:r>
            <w:r>
              <w:rPr>
                <w:rFonts w:ascii="Times New Roman" w:hAnsi="Times New Roman" w:eastAsia="宋体"/>
                <w:b w:val="0"/>
                <w:sz w:val="18"/>
              </w:rPr>
              <w:t>；三方案可比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成本构成对账 Σ=总；4,809 万 / 77.4% / 9.6 年可复现；三边界阈值可复现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六字段齐全 + 六要素命中；</w:t>
            </w:r>
            <w:r>
              <w:rPr>
                <w:rFonts w:ascii="Times New Roman" w:hAnsi="Times New Roman" w:eastAsia="宋体"/>
                <w:b/>
                <w:sz w:val="18"/>
              </w:rPr>
              <w:t>台账总碳 = 第 1 页总碳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（同一数据源，不许二次计算）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五页可交互；</w:t>
            </w:r>
            <w:r>
              <w:rPr>
                <w:rFonts w:ascii="Times New Roman" w:hAnsi="Times New Roman" w:eastAsia="宋体"/>
                <w:b/>
                <w:sz w:val="18"/>
              </w:rPr>
              <w:t>app 内业务计算 0 处</w:t>
            </w:r>
            <w:r>
              <w:rPr>
                <w:rFonts w:ascii="Times New Roman" w:hAnsi="Times New Roman" w:eastAsia="宋体"/>
                <w:b w:val="0"/>
                <w:sz w:val="18"/>
              </w:rPr>
              <w:t>；flagged 行有黄框/灰底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交付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断网双击 </w:t>
            </w:r>
            <w:r>
              <w:rPr>
                <w:rFonts w:ascii="Consolas" w:hAnsi="Consolas" w:eastAsia="宋体"/>
                <w:color w:val="2F5596"/>
                <w:sz w:val="16"/>
              </w:rPr>
              <w:t>启动.bat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开五页；</w:t>
            </w:r>
            <w:r>
              <w:rPr>
                <w:rFonts w:ascii="Consolas" w:hAnsi="Consolas" w:eastAsia="宋体"/>
                <w:color w:val="2F5596"/>
                <w:sz w:val="16"/>
              </w:rPr>
              <w:t>python -m src.pipeline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一键全绿；闸门超差次数 = 0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8. 风险与降级序列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1677"/>
        <w:gridCol w:w="964"/>
        <w:gridCol w:w="964"/>
        <w:gridCol w:w="4502"/>
        <w:gridCol w:w="964"/>
      </w:tblGrid>
      <w:tr>
        <w:trPr>
          <w:tblHeader/>
        </w:trPr>
        <w:tc>
          <w:tcPr>
            <w:tcW w:type="dxa" w:w="167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风险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概率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影响</w:t>
            </w:r>
          </w:p>
        </w:tc>
        <w:tc>
          <w:tcPr>
            <w:tcW w:type="dxa" w:w="4502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应对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负责人</w:t>
            </w:r>
          </w:p>
        </w:tc>
      </w:tr>
      <w:tr>
        <w:tc>
          <w:tcPr>
            <w:tcW w:type="dxa" w:w="167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preprocess 延期（关键路径）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45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W1 就攻 P3；延期当天上报；必要时砍 P4 的部分 FLAG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</w:tr>
      <w:tr>
        <w:tc>
          <w:tcPr>
            <w:tcW w:type="dxa" w:w="167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数据授权（京采数据用于他赛）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45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先做脱敏 + 向指导教师确认；报告里写明数据使用边界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</w:tr>
      <w:tr>
        <w:tc>
          <w:tcPr>
            <w:tcW w:type="dxa" w:w="167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载重口径歧义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45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flag_basis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显式标注 + 附录B 稳健性（换口径 E₀ 4,922 t、减排率 79.1%）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</w:tr>
      <w:tr>
        <w:tc>
          <w:tcPr>
            <w:tcW w:type="dxa" w:w="167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四人 Python 水平参差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45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每周 30 分钟结对；preprocess 先冻结字段；PM 兜底合并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</w:tr>
      <w:tr>
        <w:tc>
          <w:tcPr>
            <w:tcW w:type="dxa" w:w="167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前端卡顿 / 现场翻车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45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 parquet + 静态兜底 + 预录视频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</w:tr>
      <w:tr>
        <w:tc>
          <w:tcPr>
            <w:tcW w:type="dxa" w:w="167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需求蔓延（想加 OCR/无人机）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45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变更漏斗：范围外进 Issues 或未来展望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</w:tr>
      <w:tr>
        <w:tc>
          <w:tcPr>
            <w:tcW w:type="dxa" w:w="167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断网装依赖失败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4502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W4 真实断网测；wheels/ 提前备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降级序列（延期时按此顺序砍）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1.  </w:t>
      </w:r>
      <w:r>
        <w:rPr>
          <w:rFonts w:ascii="Times New Roman" w:hAnsi="Times New Roman" w:eastAsia="宋体"/>
          <w:b/>
          <w:sz w:val="21"/>
        </w:rPr>
        <w:t>M5 迭代/bandit</w:t>
      </w:r>
      <w:r>
        <w:rPr>
          <w:rFonts w:ascii="Times New Roman" w:hAnsi="Times New Roman" w:eastAsia="宋体"/>
          <w:b w:val="0"/>
          <w:sz w:val="21"/>
        </w:rPr>
        <w:t xml:space="preserve"> —— 本来就只做离线评估，砍掉损失最小；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2.  </w:t>
      </w:r>
      <w:r>
        <w:rPr>
          <w:rFonts w:ascii="Times New Roman" w:hAnsi="Times New Roman" w:eastAsia="宋体"/>
          <w:b/>
          <w:sz w:val="21"/>
        </w:rPr>
        <w:t>网络优化（中转精简）</w:t>
      </w:r>
      <w:r>
        <w:rPr>
          <w:rFonts w:ascii="Times New Roman" w:hAnsi="Times New Roman" w:eastAsia="宋体"/>
          <w:b w:val="0"/>
          <w:sz w:val="21"/>
        </w:rPr>
        <w:t xml:space="preserve"> —— 保留"同线带宽"，砍线路级；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3.  </w:t>
      </w:r>
      <w:r>
        <w:rPr>
          <w:rFonts w:ascii="Times New Roman" w:hAnsi="Times New Roman" w:eastAsia="宋体"/>
          <w:b/>
          <w:sz w:val="21"/>
        </w:rPr>
        <w:t>敏感性细化</w:t>
      </w:r>
      <w:r>
        <w:rPr>
          <w:rFonts w:ascii="Times New Roman" w:hAnsi="Times New Roman" w:eastAsia="宋体"/>
          <w:b w:val="0"/>
          <w:sz w:val="21"/>
        </w:rPr>
        <w:t xml:space="preserve"> —— 保三情景（补能/氢源/外协），砍其余。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不可砍</w:t>
      </w:r>
      <w:r>
        <w:rPr>
          <w:rFonts w:ascii="Times New Roman" w:hAnsi="Times New Roman" w:eastAsia="宋体"/>
          <w:b w:val="0"/>
          <w:sz w:val="21"/>
        </w:rPr>
        <w:t>：宽表契约、三类 FLAG、对拍闸门、五页主流程、台账六字段、离线启动。</w:t>
      </w: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9. 协作纪律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1.  </w:t>
      </w:r>
      <w:r>
        <w:rPr>
          <w:rFonts w:ascii="Times New Roman" w:hAnsi="Times New Roman" w:eastAsia="宋体"/>
          <w:b/>
          <w:sz w:val="21"/>
        </w:rPr>
        <w:t>一文件一主笔</w:t>
      </w:r>
      <w:r>
        <w:rPr>
          <w:rFonts w:ascii="Times New Roman" w:hAnsi="Times New Roman" w:eastAsia="宋体"/>
          <w:b w:val="0"/>
          <w:sz w:val="21"/>
        </w:rPr>
        <w:t>：任何文件同时只有 1 个 Owner；跨人改动先开 Issue；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2.  </w:t>
      </w:r>
      <w:r>
        <w:rPr>
          <w:rFonts w:ascii="Times New Roman" w:hAnsi="Times New Roman" w:eastAsia="宋体"/>
          <w:b/>
          <w:sz w:val="21"/>
        </w:rPr>
        <w:t>口径数字两人签字</w:t>
      </w:r>
      <w:r>
        <w:rPr>
          <w:rFonts w:ascii="Times New Roman" w:hAnsi="Times New Roman" w:eastAsia="宋体"/>
          <w:b w:val="0"/>
          <w:sz w:val="21"/>
        </w:rPr>
        <w:t xml:space="preserve">：改任何口径数（排放率、补贴、年化系数、λ 默认值），PR 必须写"改前值 / 改后值 / 依据"，并同步 </w:t>
      </w:r>
      <w:r>
        <w:rPr>
          <w:rFonts w:ascii="Consolas" w:hAnsi="Consolas" w:eastAsia="宋体"/>
          <w:color w:val="2F5596"/>
          <w:sz w:val="19"/>
        </w:rPr>
        <w:t>docs/08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3.  </w:t>
      </w:r>
      <w:r>
        <w:rPr>
          <w:rFonts w:ascii="Times New Roman" w:hAnsi="Times New Roman" w:eastAsia="宋体"/>
          <w:b/>
          <w:sz w:val="21"/>
        </w:rPr>
        <w:t>改前先 pull</w:t>
      </w:r>
      <w:r>
        <w:rPr>
          <w:rFonts w:ascii="Times New Roman" w:hAnsi="Times New Roman" w:eastAsia="宋体"/>
          <w:b w:val="0"/>
          <w:sz w:val="21"/>
        </w:rPr>
        <w:t xml:space="preserve">，禁用 </w:t>
      </w:r>
      <w:r>
        <w:rPr>
          <w:rFonts w:ascii="Consolas" w:hAnsi="Consolas" w:eastAsia="宋体"/>
          <w:color w:val="2F5596"/>
          <w:sz w:val="19"/>
        </w:rPr>
        <w:t>force push</w:t>
      </w:r>
      <w:r>
        <w:rPr>
          <w:rFonts w:ascii="Times New Roman" w:hAnsi="Times New Roman" w:eastAsia="宋体"/>
          <w:b w:val="0"/>
          <w:sz w:val="21"/>
        </w:rPr>
        <w:t xml:space="preserve">（必要场景一律 </w:t>
      </w:r>
      <w:r>
        <w:rPr>
          <w:rFonts w:ascii="Consolas" w:hAnsi="Consolas" w:eastAsia="宋体"/>
          <w:color w:val="2F5596"/>
          <w:sz w:val="19"/>
        </w:rPr>
        <w:t>--force-with-lease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4.  </w:t>
      </w:r>
      <w:r>
        <w:rPr>
          <w:rFonts w:ascii="Times New Roman" w:hAnsi="Times New Roman" w:eastAsia="宋体"/>
          <w:b/>
          <w:sz w:val="21"/>
        </w:rPr>
        <w:t>PR 评审配对</w:t>
      </w:r>
      <w:r>
        <w:rPr>
          <w:rFonts w:ascii="Times New Roman" w:hAnsi="Times New Roman" w:eastAsia="宋体"/>
          <w:b w:val="0"/>
          <w:sz w:val="21"/>
        </w:rPr>
        <w:t>：周↔蒿、蒿↔杨、曾↔周、杨↔曾（不自己审自己）；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5.  </w:t>
      </w:r>
      <w:r>
        <w:rPr>
          <w:rFonts w:ascii="Times New Roman" w:hAnsi="Times New Roman" w:eastAsia="宋体"/>
          <w:b/>
          <w:sz w:val="21"/>
        </w:rPr>
        <w:t>每日站会 5 分钟</w:t>
      </w:r>
      <w:r>
        <w:rPr>
          <w:rFonts w:ascii="Times New Roman" w:hAnsi="Times New Roman" w:eastAsia="宋体"/>
          <w:b w:val="0"/>
          <w:sz w:val="21"/>
        </w:rPr>
        <w:t>：昨天做了什么 / 今天做什么 / 卡在哪；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6.  </w:t>
      </w:r>
      <w:r>
        <w:rPr>
          <w:rFonts w:ascii="Times New Roman" w:hAnsi="Times New Roman" w:eastAsia="宋体"/>
          <w:b/>
          <w:sz w:val="21"/>
        </w:rPr>
        <w:t>答辩前一周代码冻结</w:t>
      </w:r>
      <w:r>
        <w:rPr>
          <w:rFonts w:ascii="Times New Roman" w:hAnsi="Times New Roman" w:eastAsia="宋体"/>
          <w:b w:val="0"/>
          <w:sz w:val="21"/>
        </w:rPr>
        <w:t>，只允许 PM 热修并群内公示。</w:t>
      </w: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10. 第一天（10/19 周一）就要做的五件事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1.  </w:t>
      </w:r>
      <w:r>
        <w:rPr>
          <w:rFonts w:ascii="Times New Roman" w:hAnsi="Times New Roman" w:eastAsia="宋体"/>
          <w:b/>
          <w:sz w:val="21"/>
        </w:rPr>
        <w:t>周</w:t>
      </w:r>
      <w:r>
        <w:rPr>
          <w:rFonts w:ascii="Times New Roman" w:hAnsi="Times New Roman" w:eastAsia="宋体"/>
          <w:b w:val="0"/>
          <w:sz w:val="21"/>
        </w:rPr>
        <w:t xml:space="preserve">：发 GitHub 邀请（Write）；建 </w:t>
      </w:r>
      <w:r>
        <w:rPr>
          <w:rFonts w:ascii="Consolas" w:hAnsi="Consolas" w:eastAsia="宋体"/>
          <w:color w:val="2F5596"/>
          <w:sz w:val="19"/>
        </w:rPr>
        <w:t>.github/CODEOWNERS</w:t>
      </w:r>
      <w:r>
        <w:rPr>
          <w:rFonts w:ascii="Times New Roman" w:hAnsi="Times New Roman" w:eastAsia="宋体"/>
          <w:b w:val="0"/>
          <w:sz w:val="21"/>
        </w:rPr>
        <w:t>；开 30 分钟全员会过本图；把本图推送入库。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2.  </w:t>
      </w:r>
      <w:r>
        <w:rPr>
          <w:rFonts w:ascii="Times New Roman" w:hAnsi="Times New Roman" w:eastAsia="宋体"/>
          <w:b/>
          <w:sz w:val="21"/>
        </w:rPr>
        <w:t>蒿</w:t>
      </w:r>
      <w:r>
        <w:rPr>
          <w:rFonts w:ascii="Times New Roman" w:hAnsi="Times New Roman" w:eastAsia="宋体"/>
          <w:b w:val="0"/>
          <w:sz w:val="21"/>
        </w:rPr>
        <w:t xml:space="preserve">：把附件1/2 + 五份计算文件放进 </w:t>
      </w:r>
      <w:r>
        <w:rPr>
          <w:rFonts w:ascii="Consolas" w:hAnsi="Consolas" w:eastAsia="宋体"/>
          <w:color w:val="2F5596"/>
          <w:sz w:val="19"/>
        </w:rPr>
        <w:t>data/raw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2F5596"/>
          <w:sz w:val="19"/>
        </w:rPr>
        <w:t>data/reference</w:t>
      </w:r>
      <w:r>
        <w:rPr>
          <w:rFonts w:ascii="Times New Roman" w:hAnsi="Times New Roman" w:eastAsia="宋体"/>
          <w:b w:val="0"/>
          <w:sz w:val="21"/>
        </w:rPr>
        <w:t>（这一步不通，全组空转）。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3.  </w:t>
      </w:r>
      <w:r>
        <w:rPr>
          <w:rFonts w:ascii="Times New Roman" w:hAnsi="Times New Roman" w:eastAsia="宋体"/>
          <w:b/>
          <w:sz w:val="21"/>
        </w:rPr>
        <w:t>杨</w:t>
      </w:r>
      <w:r>
        <w:rPr>
          <w:rFonts w:ascii="Times New Roman" w:hAnsi="Times New Roman" w:eastAsia="宋体"/>
          <w:b w:val="0"/>
          <w:sz w:val="21"/>
        </w:rPr>
        <w:t xml:space="preserve">：文献[1] 表 8 录入 </w:t>
      </w:r>
      <w:r>
        <w:rPr>
          <w:rFonts w:ascii="Consolas" w:hAnsi="Consolas" w:eastAsia="宋体"/>
          <w:color w:val="2F5596"/>
          <w:sz w:val="19"/>
        </w:rPr>
        <w:t>optimizer.py</w:t>
      </w:r>
      <w:r>
        <w:rPr>
          <w:rFonts w:ascii="Times New Roman" w:hAnsi="Times New Roman" w:eastAsia="宋体"/>
          <w:b w:val="0"/>
          <w:sz w:val="21"/>
        </w:rPr>
        <w:t>（O1，不依赖任何人）。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4.  </w:t>
      </w:r>
      <w:r>
        <w:rPr>
          <w:rFonts w:ascii="Times New Roman" w:hAnsi="Times New Roman" w:eastAsia="宋体"/>
          <w:b/>
          <w:sz w:val="21"/>
        </w:rPr>
        <w:t>曾</w:t>
      </w:r>
      <w:r>
        <w:rPr>
          <w:rFonts w:ascii="Times New Roman" w:hAnsi="Times New Roman" w:eastAsia="宋体"/>
          <w:b w:val="0"/>
          <w:sz w:val="21"/>
        </w:rPr>
        <w:t>：文献著录 + 成本参数表（补贴/能耗/维护/λ 提案）。</w:t>
      </w:r>
    </w:p>
    <w:p>
      <w:pPr>
        <w:spacing w:after="40"/>
        <w:ind w:left="567" w:hanging="312"/>
      </w:pPr>
      <w:r>
        <w:rPr>
          <w:rFonts w:ascii="Times New Roman" w:hAnsi="Times New Roman" w:eastAsia="宋体"/>
          <w:b/>
          <w:color w:val="1F3A5F"/>
          <w:sz w:val="21"/>
        </w:rPr>
        <w:t xml:space="preserve">5.  </w:t>
      </w:r>
      <w:r>
        <w:rPr>
          <w:rFonts w:ascii="Times New Roman" w:hAnsi="Times New Roman" w:eastAsia="宋体"/>
          <w:b/>
          <w:sz w:val="21"/>
        </w:rPr>
        <w:t>全员</w:t>
      </w:r>
      <w:r>
        <w:rPr>
          <w:rFonts w:ascii="Times New Roman" w:hAnsi="Times New Roman" w:eastAsia="宋体"/>
          <w:b w:val="0"/>
          <w:sz w:val="21"/>
        </w:rPr>
        <w:t>：过一遍 §3.2 的模块表和 §4.3 的接口交付表——</w:t>
      </w:r>
      <w:r>
        <w:rPr>
          <w:rFonts w:ascii="Times New Roman" w:hAnsi="Times New Roman" w:eastAsia="宋体"/>
          <w:b/>
          <w:sz w:val="21"/>
        </w:rPr>
        <w:t>这就是 W1 要冻结的四件东西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附录 A · 文件-模块-负责人速查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1179"/>
        <w:gridCol w:w="1769"/>
        <w:gridCol w:w="964"/>
      </w:tblGrid>
      <w:tr>
        <w:trPr>
          <w:tblHeader/>
        </w:trPr>
        <w:tc>
          <w:tcPr>
            <w:tcW w:type="dxa" w:w="5159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文件</w:t>
            </w:r>
          </w:p>
        </w:tc>
        <w:tc>
          <w:tcPr>
            <w:tcW w:type="dxa" w:w="1179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模块编号</w:t>
            </w:r>
          </w:p>
        </w:tc>
        <w:tc>
          <w:tcPr>
            <w:tcW w:type="dxa" w:w="1769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负责人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复核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src/preprocess.py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P0–P6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src/optimizer.py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O1–O7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周、蒿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src/evaluator.py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E1–E6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周、蒿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src/pipeline.py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G1–G5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蒿、曾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app/services.py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components/*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app.py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A0–A2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app/pages/3–5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A3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周、蒿、曾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启动.bat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2F5596"/>
                <w:sz w:val="16"/>
              </w:rPr>
              <w:t>wheels/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A4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data/*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D0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docs/07 09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D1 D4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docs/08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D2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杨（排放）+ 曾（成本）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docs/10 11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D5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曾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蒿（核数）</w:t>
            </w:r>
          </w:p>
        </w:tc>
      </w:tr>
      <w:tr>
        <w:tc>
          <w:tcPr>
            <w:tcW w:type="dxa" w:w="515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Consolas" w:hAnsi="Consolas" w:eastAsia="宋体"/>
                <w:color w:val="2F5596"/>
                <w:sz w:val="16"/>
              </w:rPr>
              <w:t>docs/15 17 18</w:t>
            </w:r>
          </w:p>
        </w:tc>
        <w:tc>
          <w:tcPr>
            <w:tcW w:type="dxa" w:w="117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D3 D6 D7</w:t>
            </w:r>
          </w:p>
        </w:tc>
        <w:tc>
          <w:tcPr>
            <w:tcW w:type="dxa" w:w="1769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1" w:color="D0D7E2"/>
        </w:pBdr>
      </w:pPr>
      <w:r>
        <w:rPr>
          <w:rFonts w:ascii="Times New Roman" w:hAnsi="Times New Roman" w:eastAsia="黑体"/>
          <w:b/>
          <w:color w:val="1F3A5F"/>
          <w:sz w:val="30"/>
        </w:rPr>
        <w:t>附录 B · 术语表</w:t>
      </w:r>
    </w:p>
    <w:tbl>
      <w:tblPr>
        <w:tblStyle w:val="TableGrid"/>
        <w:tblW w:type="auto" w:w="0"/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107"/>
      </w:tblGrid>
      <w:tr>
        <w:trPr>
          <w:tblHeader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术语</w:t>
            </w:r>
          </w:p>
        </w:tc>
        <w:tc>
          <w:tcPr>
            <w:tcW w:type="dxa" w:w="8107"/>
            <w:shd w:val="clear" w:color="auto" w:fill="DCE6F1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含义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双轨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法定轨（里程 × 常因子，合规上报用）+ 物理轨（VSP × 载重 × 速度，诊断用）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带宽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 OD 上不同车型之间碳排放强度的离散度（中位 1.50×）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λ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内部碳价（元/吨 CO₂e），决策目标函数里唯一的定价旋钮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FLAG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数据标记列：</w:t>
            </w:r>
            <w:r>
              <w:rPr>
                <w:rFonts w:ascii="Consolas" w:hAnsi="Consolas" w:eastAsia="宋体"/>
                <w:color w:val="2F5596"/>
                <w:sz w:val="16"/>
              </w:rPr>
              <w:t>flag_dup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重复 / </w:t>
            </w:r>
            <w:r>
              <w:rPr>
                <w:rFonts w:ascii="Consolas" w:hAnsi="Consolas" w:eastAsia="宋体"/>
                <w:color w:val="2F5596"/>
                <w:sz w:val="16"/>
              </w:rPr>
              <w:t>flag_anomaly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异常 / </w:t>
            </w:r>
            <w:r>
              <w:rPr>
                <w:rFonts w:ascii="Consolas" w:hAnsi="Consolas" w:eastAsia="宋体"/>
                <w:color w:val="2F5596"/>
                <w:sz w:val="16"/>
              </w:rPr>
              <w:t>flag_basis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口径换算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闸门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pipeline 出口的对拍校验，超差即中断（退出码 ≠ 0）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E₀</w:t>
            </w:r>
          </w:p>
        </w:tc>
        <w:tc>
          <w:tcPr>
            <w:tcW w:type="dxa" w:w="8107"/>
            <w:vAlign w:val="center"/>
          </w:tcPr>
          <w:p>
            <w:pPr>
              <w:spacing w:after="20" w:before="20" w:line="269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数据期基准碳排放，4,502.04 tCO₂（33,214 段逐段累加）</w:t>
            </w:r>
          </w:p>
        </w:tc>
      </w:tr>
    </w:tbl>
    <w:p>
      <w:pPr>
        <w:spacing w:after="40"/>
      </w:pP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/>
          <w:color w:val="333333"/>
          <w:sz w:val="20"/>
        </w:rPr>
        <w:t>执行中任何与旧文档冲突，以本图为准。</w:t>
      </w:r>
    </w:p>
    <w:p>
      <w:pPr>
        <w:pBdr>
          <w:left w:val="single" w:sz="18" w:space="8" w:color="8EA9C1"/>
        </w:pBdr>
        <w:spacing w:before="60" w:after="60"/>
        <w:ind w:left="340" w:right="113"/>
      </w:pPr>
      <w:r>
        <w:rPr>
          <w:rFonts w:ascii="Times New Roman" w:hAnsi="Times New Roman" w:eastAsia="宋体"/>
          <w:b/>
          <w:color w:val="333333"/>
          <w:sz w:val="20"/>
        </w:rPr>
        <w:t>先保证对，再追求快；先立契约，再谈效率。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8"/>
      </w:rPr>
      <w:t xml:space="preserve">— </w:t>
    </w:r>
    <w:fldSimple w:instr="PAGE">
      <w:r>
        <w:t>1</w:t>
      </w:r>
    </w:fldSimple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BFBFBF"/>
      </w:pBdr>
      <w:jc w:val="right"/>
    </w:pPr>
    <w:r>
      <w:rPr>
        <w:rFonts w:ascii="Times New Roman" w:hAnsi="Times New Roman" w:eastAsia="宋体"/>
        <w:color w:val="808080"/>
        <w:sz w:val="16"/>
      </w:rPr>
      <w:t>主体赛施工蓝图 v3.0 ｜ 物流企业碳感知智能决策系统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6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