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103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50"/>
        <w:gridCol w:w="1672"/>
      </w:tblGrid>
      <w:tr w14:paraId="678C2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650" w:type="dxa"/>
            <w:tcMar>
              <w:top w:w="0" w:type="dxa"/>
              <w:left w:w="0" w:type="dxa"/>
              <w:bottom w:w="0" w:type="dxa"/>
              <w:right w:w="70" w:type="dxa"/>
            </w:tcMar>
            <w:vAlign w:val="center"/>
          </w:tcPr>
          <w:p w14:paraId="0BDC4293">
            <w:pPr>
              <w:spacing w:after="20"/>
              <w:rPr>
                <w:sz w:val="32"/>
                <w:szCs w:val="32"/>
              </w:rPr>
            </w:pPr>
            <w:r>
              <w:rPr>
                <w:rFonts w:ascii="Arial" w:hAnsi="Arial" w:eastAsia="微软雅黑"/>
                <w:b/>
                <w:color w:val="111827"/>
                <w:sz w:val="32"/>
                <w:szCs w:val="32"/>
              </w:rPr>
              <w:t>周泽华</w:t>
            </w:r>
          </w:p>
          <w:p w14:paraId="20BD4485">
            <w:pPr>
              <w:spacing w:before="0" w:after="8" w:line="240" w:lineRule="auto"/>
            </w:pPr>
            <w:r>
              <w:rPr>
                <w:rFonts w:ascii="Arial" w:hAnsi="Arial" w:eastAsia="微软雅黑"/>
                <w:b w:val="0"/>
                <w:color w:val="111827"/>
                <w:sz w:val="17"/>
              </w:rPr>
              <w:t>13624805183  |  547222232@qq.com  |  微信 qiyuanbaoyou</w:t>
            </w:r>
          </w:p>
          <w:p w14:paraId="6754627D">
            <w:pPr>
              <w:spacing w:before="0" w:after="8" w:line="240" w:lineRule="auto"/>
            </w:pPr>
            <w:r>
              <w:rPr>
                <w:rFonts w:ascii="Arial" w:hAnsi="Arial" w:eastAsia="微软雅黑"/>
                <w:b/>
                <w:color w:val="111827"/>
                <w:sz w:val="17"/>
              </w:rPr>
              <w:t xml:space="preserve">Golang 后端开发 </w:t>
            </w:r>
          </w:p>
          <w:p w14:paraId="18D696D5">
            <w:pPr>
              <w:spacing w:before="0" w:after="8" w:line="240" w:lineRule="auto"/>
            </w:pPr>
            <w:r>
              <w:rPr>
                <w:rFonts w:ascii="Arial" w:hAnsi="Arial" w:eastAsia="微软雅黑"/>
                <w:b/>
                <w:color w:val="111827"/>
                <w:sz w:val="17"/>
              </w:rPr>
              <w:t>东南大学硕士在读 · 2027 届 · 预计 2027.06 毕业</w:t>
            </w:r>
          </w:p>
        </w:tc>
        <w:tc>
          <w:tcPr>
            <w:tcW w:w="1672" w:type="dxa"/>
            <w:tcMar>
              <w:top w:w="0" w:type="dxa"/>
              <w:left w:w="70" w:type="dxa"/>
              <w:bottom w:w="0" w:type="dxa"/>
              <w:right w:w="0" w:type="dxa"/>
            </w:tcMar>
            <w:vAlign w:val="center"/>
          </w:tcPr>
          <w:p w14:paraId="601C15E0">
            <w:pPr>
              <w:spacing w:after="0"/>
              <w:jc w:val="right"/>
            </w:pPr>
            <w:r>
              <w:drawing>
                <wp:inline distT="0" distB="0" distL="114300" distR="114300">
                  <wp:extent cx="749300" cy="1000760"/>
                  <wp:effectExtent l="0" t="0" r="12700" b="8890"/>
                  <wp:docPr id="1" name="Picture 1" descr="周泽华证件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周泽华证件照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1001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A2901F">
      <w:pPr>
        <w:pStyle w:val="3"/>
        <w:keepNext/>
        <w:keepLines/>
        <w:pBdr>
          <w:bottom w:val="single" w:color="1F5FAE" w:sz="8" w:space="1"/>
        </w:pBdr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教育经历</w:t>
      </w:r>
    </w:p>
    <w:p w14:paraId="07879DE3">
      <w:pPr>
        <w:keepNext/>
        <w:shd w:val="clear" w:color="auto" w:fill="EEF1F4"/>
        <w:tabs>
          <w:tab w:val="right" w:pos="10080"/>
        </w:tabs>
        <w:spacing w:before="30" w:after="20"/>
      </w:pPr>
      <w:r>
        <w:rPr>
          <w:rFonts w:ascii="Arial" w:hAnsi="Arial" w:eastAsia="微软雅黑"/>
          <w:b/>
          <w:color w:val="1F2937"/>
          <w:sz w:val="18"/>
        </w:rPr>
        <w:t>东南大学（985 / 211 / 双一流） · 电子信息 · 硕士</w:t>
      </w:r>
      <w:r>
        <w:rPr>
          <w:rFonts w:ascii="Arial" w:hAnsi="Arial" w:eastAsia="微软雅黑"/>
          <w:color w:val="374151"/>
          <w:sz w:val="16"/>
        </w:rPr>
        <w:tab/>
      </w:r>
      <w:r>
        <w:rPr>
          <w:rFonts w:ascii="Arial" w:hAnsi="Arial" w:eastAsia="微软雅黑"/>
          <w:color w:val="374151"/>
          <w:sz w:val="16"/>
        </w:rPr>
        <w:t>2024.09 - 2027.06</w:t>
      </w:r>
    </w:p>
    <w:p w14:paraId="22DF2066">
      <w:pPr>
        <w:numPr>
          <w:ilvl w:val="0"/>
          <w:numId w:val="7"/>
        </w:numPr>
        <w:spacing w:before="0" w:after="12" w:line="240" w:lineRule="auto"/>
      </w:pPr>
      <w:r>
        <w:rPr>
          <w:rFonts w:ascii="Arial" w:hAnsi="Arial" w:eastAsia="微软雅黑"/>
          <w:color w:val="1F2937"/>
          <w:sz w:val="17"/>
        </w:rPr>
        <w:t>研究生学业奖学金 2 次</w:t>
      </w:r>
      <w:r>
        <w:rPr>
          <w:rFonts w:hint="eastAsia"/>
          <w:color w:val="1F2937"/>
          <w:sz w:val="17"/>
          <w:lang w:val="en-US" w:eastAsia="zh-CN"/>
        </w:rPr>
        <w:t>。</w:t>
      </w:r>
    </w:p>
    <w:p w14:paraId="54E7055B">
      <w:pPr>
        <w:keepNext/>
        <w:shd w:val="clear" w:color="auto" w:fill="EEF1F4"/>
        <w:tabs>
          <w:tab w:val="right" w:pos="10080"/>
        </w:tabs>
        <w:spacing w:before="30" w:after="20"/>
      </w:pPr>
      <w:r>
        <w:rPr>
          <w:rFonts w:ascii="Arial" w:hAnsi="Arial" w:eastAsia="微软雅黑"/>
          <w:b/>
          <w:color w:val="1F2937"/>
          <w:sz w:val="18"/>
        </w:rPr>
        <w:t>杭州电子科技大学 · 智能科学与技术 · 本科</w:t>
      </w:r>
      <w:r>
        <w:rPr>
          <w:rFonts w:ascii="Arial" w:hAnsi="Arial" w:eastAsia="微软雅黑"/>
          <w:color w:val="374151"/>
          <w:sz w:val="16"/>
        </w:rPr>
        <w:tab/>
      </w:r>
      <w:r>
        <w:rPr>
          <w:rFonts w:ascii="Arial" w:hAnsi="Arial" w:eastAsia="微软雅黑"/>
          <w:color w:val="374151"/>
          <w:sz w:val="16"/>
        </w:rPr>
        <w:t>2018.09 - 2022.06</w:t>
      </w:r>
    </w:p>
    <w:p w14:paraId="5668C6D5">
      <w:pPr>
        <w:numPr>
          <w:ilvl w:val="0"/>
          <w:numId w:val="7"/>
        </w:numPr>
        <w:spacing w:before="0" w:after="12" w:line="240" w:lineRule="auto"/>
      </w:pPr>
      <w:r>
        <w:rPr>
          <w:rFonts w:ascii="Arial" w:hAnsi="Arial" w:eastAsia="微软雅黑"/>
          <w:color w:val="1F2937"/>
          <w:sz w:val="17"/>
        </w:rPr>
        <w:t>校学业奖学金 2 次；发明专利 1 项。</w:t>
      </w:r>
    </w:p>
    <w:p w14:paraId="0DF16F71">
      <w:pPr>
        <w:pStyle w:val="3"/>
        <w:keepNext/>
        <w:keepLines/>
        <w:pBdr>
          <w:bottom w:val="single" w:color="1F5FAE" w:sz="8" w:space="1"/>
        </w:pBdr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实习经历</w:t>
      </w:r>
    </w:p>
    <w:p w14:paraId="4CD36F88">
      <w:pPr>
        <w:keepNext/>
        <w:shd w:val="clear" w:color="auto" w:fill="EEF1F4"/>
        <w:tabs>
          <w:tab w:val="right" w:pos="10080"/>
        </w:tabs>
        <w:spacing w:before="30" w:after="20"/>
        <w:rPr>
          <w:rFonts w:hint="default" w:eastAsia="微软雅黑"/>
          <w:lang w:val="en-US" w:eastAsia="zh-CN"/>
        </w:rPr>
      </w:pPr>
      <w:r>
        <w:rPr>
          <w:rFonts w:ascii="Arial" w:hAnsi="Arial" w:eastAsia="微软雅黑"/>
          <w:b/>
          <w:color w:val="1F2937"/>
          <w:sz w:val="18"/>
        </w:rPr>
        <w:t>深圳腾讯计算机系统有限公司 · 金融风控产品中心</w:t>
      </w:r>
      <w:r>
        <w:rPr>
          <w:rFonts w:ascii="Arial" w:hAnsi="Arial" w:eastAsia="微软雅黑"/>
          <w:color w:val="374151"/>
          <w:sz w:val="16"/>
        </w:rPr>
        <w:tab/>
      </w:r>
      <w:r>
        <w:rPr>
          <w:rFonts w:ascii="Arial" w:hAnsi="Arial" w:eastAsia="微软雅黑"/>
          <w:color w:val="374151"/>
          <w:sz w:val="16"/>
        </w:rPr>
        <w:t xml:space="preserve">2026.06 - </w:t>
      </w:r>
      <w:r>
        <w:rPr>
          <w:rFonts w:hint="eastAsia"/>
          <w:color w:val="374151"/>
          <w:sz w:val="16"/>
          <w:lang w:val="en-US" w:eastAsia="zh-CN"/>
        </w:rPr>
        <w:t>2026.09</w:t>
      </w:r>
    </w:p>
    <w:p w14:paraId="3A47B6CF">
      <w:pPr>
        <w:pStyle w:val="4"/>
        <w:keepNext/>
        <w:keepLines/>
        <w:rPr>
          <w:rFonts w:hint="eastAsia" w:ascii="黑体" w:hAnsi="黑体" w:eastAsia="黑体" w:cs="黑体"/>
          <w:b/>
          <w:bCs/>
          <w:color w:val="174A86"/>
          <w:sz w:val="20"/>
          <w:szCs w:val="26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174A86"/>
          <w:sz w:val="20"/>
          <w:szCs w:val="26"/>
          <w:lang w:val="en-US" w:eastAsia="zh-CN" w:bidi="ar-SA"/>
        </w:rPr>
        <w:t>安御服务 | 金融反欺诈风控平台</w:t>
      </w:r>
    </w:p>
    <w:p w14:paraId="7207B34E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color w:val="808080" w:themeColor="text1" w:themeTint="80"/>
          <w:kern w:val="0"/>
          <w:sz w:val="15"/>
          <w:szCs w:val="15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color w:val="808080" w:themeColor="text1" w:themeTint="80"/>
          <w:kern w:val="0"/>
          <w:sz w:val="15"/>
          <w:szCs w:val="15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Go · Goroutine · sync/atomic · 配置中心｜面向银行反欺诈场景，并发聚合多源风险数据，支持敏感字段处理、主被动降级、配置热更新及链路监控。</w:t>
      </w:r>
    </w:p>
    <w:p w14:paraId="20F0B174">
      <w:pPr>
        <w:numPr>
          <w:ilvl w:val="0"/>
          <w:numId w:val="7"/>
        </w:numPr>
        <w:spacing w:before="0" w:after="12" w:line="240" w:lineRule="auto"/>
        <w:rPr>
          <w:rFonts w:hint="eastAsia"/>
        </w:rPr>
      </w:pPr>
      <w:r>
        <w:rPr>
          <w:rFonts w:hint="eastAsia" w:ascii="Arial" w:hAnsi="Arial" w:eastAsia="微软雅黑"/>
          <w:b/>
          <w:color w:val="1F2937"/>
          <w:sz w:val="17"/>
        </w:rPr>
        <w:t>反欺诈链路建设</w:t>
      </w:r>
      <w:r>
        <w:rPr>
          <w:rFonts w:hint="eastAsia"/>
          <w:b/>
          <w:color w:val="1F2937"/>
          <w:sz w:val="17"/>
          <w:lang w:eastAsia="zh-CN"/>
        </w:rPr>
        <w:t>：</w:t>
      </w:r>
      <w:r>
        <w:rPr>
          <w:rFonts w:hint="eastAsia"/>
        </w:rPr>
        <w:t>扩展接入 2 个下游风险数据源，对手机号等敏感字段依次执行 SDK 解密、格式处理与哈希转换，避免下游接触明文；将多源查询由串行改为并发，统一解析异构返回并按规则评分、聚合后加密返回；建立请求级监控上下文，按客户、接口、地域及下游类型采集调用量、耗时、成败与重试明细，以互斥锁保障并发写入并通过 defer 统一上报，提升链路故障定位效率。</w:t>
      </w:r>
    </w:p>
    <w:p w14:paraId="211D39E6">
      <w:pPr>
        <w:numPr>
          <w:ilvl w:val="0"/>
          <w:numId w:val="7"/>
        </w:numPr>
        <w:spacing w:before="0" w:after="12" w:line="240" w:lineRule="auto"/>
        <w:rPr>
          <w:rFonts w:hint="eastAsia"/>
        </w:rPr>
      </w:pPr>
      <w:r>
        <w:rPr>
          <w:rFonts w:hint="eastAsia" w:ascii="Arial" w:hAnsi="Arial" w:eastAsia="微软雅黑"/>
          <w:b/>
          <w:color w:val="1F2937"/>
          <w:sz w:val="17"/>
        </w:rPr>
        <w:t>主被动降级与配置热更新</w:t>
      </w:r>
      <w:r>
        <w:rPr>
          <w:rFonts w:hint="eastAsia"/>
          <w:b/>
          <w:color w:val="1F2937"/>
          <w:sz w:val="17"/>
          <w:lang w:eastAsia="zh-CN"/>
        </w:rPr>
        <w:t>：</w:t>
      </w:r>
      <w:r>
        <w:rPr>
          <w:rFonts w:hint="eastAsia"/>
        </w:rPr>
        <w:t>下游超时或重试失败时被动返回预构造默认结果，已知维护或不可用时通过数据源维度开关主动跳过网络调用，保障单源故障不影响其余结果聚合；将配置加载改造为启动 Get + Watch 持续监听，关联配置经完整校验后通过 atomic.Value 原子替换全量快照，单请求始终使用同一版本，并支持校验失败保留旧配置、Watch 断线重连及 Context 优雅退出，使降级开关无需重启即可即时生效。</w:t>
      </w:r>
    </w:p>
    <w:p w14:paraId="5DC1EC0D">
      <w:pPr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b/>
          <w:bCs/>
          <w:color w:val="174A86"/>
          <w:sz w:val="20"/>
          <w:szCs w:val="26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174A86"/>
          <w:sz w:val="20"/>
          <w:szCs w:val="26"/>
          <w:lang w:val="en-US" w:eastAsia="zh-CN" w:bidi="ar-SA"/>
        </w:rPr>
        <w:t>中心化 Cron 服务｜Agent 长任务调度与执行平台</w:t>
      </w:r>
    </w:p>
    <w:p w14:paraId="2AD853C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808080" w:themeColor="text1" w:themeTint="80"/>
          <w:kern w:val="0"/>
          <w:sz w:val="15"/>
          <w:szCs w:val="15"/>
          <w:lang w:val="en-US" w:eastAsia="en-US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color w:val="808080" w:themeColor="text1" w:themeTint="80"/>
          <w:kern w:val="0"/>
          <w:sz w:val="15"/>
          <w:szCs w:val="15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Go · TypeScript · MySQL · Redis｜沙箱化后替代 OpenClaw 本地 Cron，统一管理任务定义、单次执行、异常恢复及结果投递。</w:t>
      </w:r>
    </w:p>
    <w:p w14:paraId="4C3C799A">
      <w:pPr>
        <w:keepNext w:val="0"/>
        <w:keepLines w:val="0"/>
        <w:widowControl/>
        <w:suppressLineNumbers w:val="0"/>
        <w:ind w:left="340" w:leftChars="100" w:hanging="170" w:hangingChars="100"/>
        <w:jc w:val="left"/>
      </w:pPr>
      <w:r>
        <w:rPr>
          <w:rFonts w:hint="eastAsia" w:ascii="Arial" w:hAnsi="Arial" w:eastAsia="微软雅黑"/>
          <w:b/>
          <w:color w:val="1F2937"/>
          <w:sz w:val="17"/>
          <w:lang w:val="en-US" w:eastAsia="zh-CN"/>
        </w:rPr>
        <w:t>• 独立设计并建设中心化 Cron 服务</w:t>
      </w:r>
      <w:r>
        <w:rPr>
          <w:rFonts w:hint="eastAsia"/>
          <w:b/>
          <w:color w:val="1F2937"/>
          <w:sz w:val="17"/>
          <w:lang w:val="en-US" w:eastAsia="zh-CN"/>
        </w:rPr>
        <w:t>：</w:t>
      </w:r>
      <w:r>
        <w:rPr>
          <w:rFonts w:hint="eastAsia"/>
          <w:lang w:val="en-US" w:eastAsia="zh-CN"/>
        </w:rPr>
        <w:t xml:space="preserve">通过 Job/Run 分离管理任务定义与单次执行，基于状态机记录执行账，以事务和 CAS Claim 保证多实例并发扫描下任务唯 一领取，并统一处理重试、取消、超时收口及结果投递。 </w:t>
      </w:r>
    </w:p>
    <w:p w14:paraId="168D83D8">
      <w:pPr>
        <w:keepNext w:val="0"/>
        <w:keepLines w:val="0"/>
        <w:widowControl/>
        <w:suppressLineNumbers w:val="0"/>
        <w:ind w:left="340" w:leftChars="100" w:hanging="170" w:hangingChars="100"/>
        <w:jc w:val="left"/>
      </w:pPr>
      <w:r>
        <w:rPr>
          <w:rFonts w:hint="eastAsia" w:ascii="Arial" w:hAnsi="Arial" w:eastAsia="微软雅黑"/>
          <w:b/>
          <w:color w:val="1F2937"/>
          <w:sz w:val="17"/>
          <w:lang w:val="en-US" w:eastAsia="zh-CN"/>
        </w:rPr>
        <w:t>• 开发 OpenClaw cron-bridge 插件</w:t>
      </w:r>
      <w:r>
        <w:rPr>
          <w:rFonts w:hint="eastAsia"/>
          <w:b/>
          <w:color w:val="1F2937"/>
          <w:sz w:val="17"/>
          <w:lang w:val="en-US" w:eastAsia="zh-CN"/>
        </w:rPr>
        <w:t>：</w:t>
      </w:r>
      <w:r>
        <w:rPr>
          <w:rFonts w:hint="eastAsia"/>
          <w:lang w:val="en-US" w:eastAsia="zh-CN"/>
        </w:rPr>
        <w:t xml:space="preserve">复用框架工具机制接管任务增删改查，禁用原生 Cron 工具及本地调度进程，通过稳定任务 ID、服务端幂等与失败关闭避 免双调度和重复创建。 </w:t>
      </w:r>
    </w:p>
    <w:p w14:paraId="7E944356">
      <w:pPr>
        <w:keepNext w:val="0"/>
        <w:keepLines w:val="0"/>
        <w:widowControl/>
        <w:suppressLineNumbers w:val="0"/>
        <w:ind w:left="340" w:leftChars="100" w:hanging="170" w:hangingChars="100"/>
        <w:jc w:val="left"/>
        <w:rPr>
          <w:rFonts w:hint="eastAsia"/>
        </w:rPr>
      </w:pPr>
      <w:r>
        <w:rPr>
          <w:rFonts w:hint="eastAsia" w:ascii="Arial" w:hAnsi="Arial" w:eastAsia="微软雅黑"/>
          <w:b/>
          <w:color w:val="1F2937"/>
          <w:sz w:val="17"/>
          <w:lang w:val="en-US" w:eastAsia="zh-CN"/>
        </w:rPr>
        <w:t>• 基于 Run 执行账与后台补偿 Worker 处理任务卡滞和响应丢失</w:t>
      </w:r>
      <w:r>
        <w:rPr>
          <w:rFonts w:hint="eastAsia"/>
          <w:lang w:val="en-US" w:eastAsia="zh-CN"/>
        </w:rPr>
        <w:t>，并基于现有 Agent 生命周期 Hook 与 CFS 日志设计 Append-only Checkpoint 上报方案，支持执行轨迹可视化及失败定位。</w:t>
      </w:r>
    </w:p>
    <w:p w14:paraId="2EB91227">
      <w:pPr>
        <w:keepNext/>
        <w:shd w:val="clear" w:color="auto" w:fill="EEF1F4"/>
        <w:tabs>
          <w:tab w:val="right" w:pos="10080"/>
        </w:tabs>
        <w:spacing w:before="30" w:after="20"/>
      </w:pPr>
      <w:r>
        <w:rPr>
          <w:rFonts w:ascii="Arial" w:hAnsi="Arial" w:eastAsia="微软雅黑"/>
          <w:b/>
          <w:color w:val="1F2937"/>
          <w:sz w:val="18"/>
        </w:rPr>
        <w:t>北京快手科技有限公司 · 主站推荐架构中心</w:t>
      </w:r>
      <w:r>
        <w:rPr>
          <w:rFonts w:ascii="Arial" w:hAnsi="Arial" w:eastAsia="微软雅黑"/>
          <w:color w:val="374151"/>
          <w:sz w:val="16"/>
        </w:rPr>
        <w:tab/>
      </w:r>
      <w:r>
        <w:rPr>
          <w:rFonts w:ascii="Arial" w:hAnsi="Arial" w:eastAsia="微软雅黑"/>
          <w:color w:val="374151"/>
          <w:sz w:val="16"/>
        </w:rPr>
        <w:t>2026.04 - 2026.06</w:t>
      </w:r>
    </w:p>
    <w:p w14:paraId="798482BB">
      <w:pPr>
        <w:pStyle w:val="4"/>
        <w:keepNext/>
        <w:keepLines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KRP2</w:t>
      </w:r>
      <w:r>
        <w:rPr>
          <w:rFonts w:hint="eastAsia" w:ascii="黑体" w:hAnsi="黑体" w:eastAsia="黑体" w:cs="黑体"/>
        </w:rPr>
        <w:t xml:space="preserve"> | 云原生 PaaS </w:t>
      </w:r>
      <w:r>
        <w:rPr>
          <w:rFonts w:hint="eastAsia" w:ascii="黑体" w:hAnsi="黑体" w:eastAsia="黑体" w:cs="黑体"/>
          <w:lang w:val="en-US" w:eastAsia="zh-CN"/>
        </w:rPr>
        <w:t>管控</w:t>
      </w:r>
      <w:r>
        <w:rPr>
          <w:rFonts w:hint="eastAsia" w:ascii="黑体" w:hAnsi="黑体" w:eastAsia="黑体" w:cs="黑体"/>
        </w:rPr>
        <w:t>平台</w:t>
      </w:r>
    </w:p>
    <w:p w14:paraId="05220FE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808080" w:themeColor="text1" w:themeTint="80"/>
          <w:kern w:val="0"/>
          <w:sz w:val="15"/>
          <w:szCs w:val="15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color w:val="808080" w:themeColor="text1" w:themeTint="80"/>
          <w:kern w:val="0"/>
          <w:sz w:val="15"/>
          <w:szCs w:val="15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Go · Kafka · Kubernetes｜面向推荐引擎服务，统一对接多套容器平台，支持临时环境回收、资源配额管理及跨系统状态一致性治理。</w:t>
      </w:r>
    </w:p>
    <w:p w14:paraId="5872F15E">
      <w:pPr>
        <w:numPr>
          <w:ilvl w:val="0"/>
          <w:numId w:val="7"/>
        </w:numPr>
        <w:spacing w:before="0" w:after="12" w:line="240" w:lineRule="auto"/>
      </w:pPr>
      <w:r>
        <w:rPr>
          <w:rFonts w:ascii="Arial" w:hAnsi="Arial" w:eastAsia="微软雅黑"/>
          <w:b/>
          <w:color w:val="1F2937"/>
          <w:sz w:val="17"/>
        </w:rPr>
        <w:t>临时环境自动回收：</w:t>
      </w:r>
      <w:r>
        <w:rPr>
          <w:rFonts w:ascii="Arial" w:hAnsi="Arial" w:eastAsia="微软雅黑"/>
          <w:color w:val="1F2937"/>
          <w:sz w:val="17"/>
        </w:rPr>
        <w:t>基于消息队列消费到期事件，批量清理跨服务关联环境；兼容两套容器编排平台的直接删除与异步下线策略，并以幂等消费、失败重试、操作审计和结果通知保障释放链路一致性。</w:t>
      </w:r>
    </w:p>
    <w:p w14:paraId="77D4BF4A">
      <w:pPr>
        <w:numPr>
          <w:ilvl w:val="0"/>
          <w:numId w:val="7"/>
        </w:numPr>
        <w:spacing w:before="0" w:after="12" w:line="240" w:lineRule="auto"/>
      </w:pPr>
      <w:r>
        <w:rPr>
          <w:rFonts w:ascii="Arial" w:hAnsi="Arial" w:eastAsia="微软雅黑"/>
          <w:b/>
          <w:color w:val="1F2937"/>
          <w:sz w:val="17"/>
        </w:rPr>
        <w:t>共享资源池配额锁定：</w:t>
      </w:r>
      <w:r>
        <w:rPr>
          <w:rFonts w:ascii="Arial" w:hAnsi="Arial" w:eastAsia="微软雅黑"/>
          <w:color w:val="1F2937"/>
          <w:sz w:val="17"/>
        </w:rPr>
        <w:t>面向服务缩容和下线等资源抢占场景，设计白名单与锁定时长机制；通过 SDK 透传调度平台、异步生成配额账单，并提供权限过滤查询与主动释放接口。</w:t>
      </w:r>
    </w:p>
    <w:p w14:paraId="0E6A213D">
      <w:pPr>
        <w:numPr>
          <w:ilvl w:val="0"/>
          <w:numId w:val="7"/>
        </w:numPr>
        <w:spacing w:before="0" w:after="12" w:line="240" w:lineRule="auto"/>
      </w:pPr>
      <w:r>
        <w:rPr>
          <w:rFonts w:ascii="Arial" w:hAnsi="Arial" w:eastAsia="微软雅黑"/>
          <w:b/>
          <w:color w:val="1F2937"/>
          <w:sz w:val="17"/>
        </w:rPr>
        <w:t>跨系统一致性：</w:t>
      </w:r>
      <w:r>
        <w:rPr>
          <w:rFonts w:ascii="Arial" w:hAnsi="Arial" w:eastAsia="微软雅黑"/>
          <w:color w:val="1F2937"/>
          <w:sz w:val="17"/>
        </w:rPr>
        <w:t>针对业务库与容器云调度引擎的双写，采用补偿事务并按“外部优先”收敛脏数据窗口；对多类失败场景差异化回滚，回滚失败时记录审计信息以便追溯。</w:t>
      </w:r>
    </w:p>
    <w:p w14:paraId="5EF3C811">
      <w:pPr>
        <w:numPr>
          <w:ilvl w:val="0"/>
          <w:numId w:val="7"/>
        </w:numPr>
        <w:spacing w:before="0" w:after="12" w:line="240" w:lineRule="auto"/>
      </w:pPr>
      <w:r>
        <w:rPr>
          <w:rFonts w:ascii="Arial" w:hAnsi="Arial" w:eastAsia="微软雅黑"/>
          <w:b/>
          <w:color w:val="1F2937"/>
          <w:sz w:val="17"/>
        </w:rPr>
        <w:t>迁移与可观测治理：</w:t>
      </w:r>
      <w:r>
        <w:rPr>
          <w:rFonts w:ascii="Arial" w:hAnsi="Arial" w:eastAsia="微软雅黑"/>
          <w:color w:val="1F2937"/>
          <w:sz w:val="17"/>
        </w:rPr>
        <w:t>在服务创建后端入口按地域与服务类型白名单双重校验，阻断绕过迁移规则的请求；为服务环境列表补充国内外平台跳转与边界兜底，提升跨平台排障效率。</w:t>
      </w:r>
    </w:p>
    <w:p w14:paraId="5D11600A">
      <w:pPr>
        <w:keepNext/>
        <w:shd w:val="clear" w:color="auto" w:fill="EEF1F4"/>
        <w:tabs>
          <w:tab w:val="right" w:pos="10080"/>
        </w:tabs>
        <w:spacing w:before="30" w:after="20"/>
        <w:rPr>
          <w:rFonts w:ascii="Arial" w:hAnsi="Arial" w:eastAsia="微软雅黑"/>
          <w:b/>
          <w:color w:val="1F2937"/>
          <w:sz w:val="18"/>
        </w:rPr>
      </w:pPr>
      <w:r>
        <w:rPr>
          <w:rFonts w:ascii="Arial" w:hAnsi="Arial" w:eastAsia="微软雅黑"/>
          <w:b/>
          <w:color w:val="1F2937"/>
          <w:sz w:val="18"/>
        </w:rPr>
        <w:t>上海蔚来汽车有限公司 · 数字系统效能工具部</w:t>
      </w:r>
      <w:r>
        <w:rPr>
          <w:rFonts w:ascii="Arial" w:hAnsi="Arial" w:eastAsia="微软雅黑"/>
          <w:b/>
          <w:color w:val="1F2937"/>
          <w:sz w:val="18"/>
        </w:rPr>
        <w:tab/>
      </w:r>
      <w:r>
        <w:rPr>
          <w:rFonts w:ascii="Arial" w:hAnsi="Arial" w:eastAsia="微软雅黑"/>
          <w:color w:val="374151"/>
          <w:sz w:val="16"/>
        </w:rPr>
        <w:t>2026.01 - 2026.04</w:t>
      </w:r>
    </w:p>
    <w:p w14:paraId="3462C803">
      <w:pPr>
        <w:pStyle w:val="4"/>
        <w:keepNext/>
        <w:keepLines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Xshark</w:t>
      </w:r>
      <w:r>
        <w:rPr>
          <w:rFonts w:hint="eastAsia" w:ascii="黑体" w:hAnsi="黑体" w:eastAsia="黑体" w:cs="黑体"/>
        </w:rPr>
        <w:t xml:space="preserve"> | </w:t>
      </w:r>
      <w:r>
        <w:rPr>
          <w:rFonts w:hint="eastAsia" w:ascii="黑体" w:hAnsi="黑体" w:eastAsia="黑体" w:cs="黑体"/>
          <w:lang w:val="en-US" w:eastAsia="zh-CN"/>
        </w:rPr>
        <w:t>远程车载日志解析与可视化</w:t>
      </w:r>
      <w:bookmarkStart w:id="0" w:name="_GoBack"/>
      <w:bookmarkEnd w:id="0"/>
      <w:r>
        <w:rPr>
          <w:rFonts w:hint="eastAsia" w:ascii="黑体" w:hAnsi="黑体" w:eastAsia="黑体" w:cs="黑体"/>
          <w:lang w:val="en-US" w:eastAsia="zh-CN"/>
        </w:rPr>
        <w:t>平台</w:t>
      </w:r>
    </w:p>
    <w:p w14:paraId="58F686E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808080" w:themeColor="text1" w:themeTint="80"/>
          <w:kern w:val="0"/>
          <w:sz w:val="15"/>
          <w:szCs w:val="15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color w:val="808080" w:themeColor="text1" w:themeTint="80"/>
          <w:kern w:val="0"/>
          <w:sz w:val="15"/>
          <w:szCs w:val="15"/>
          <w:lang w:val="en-US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Go · Python · MCP · Agent Skills｜面向研发日志分析，优化多格式日志解析与数据处理，串联异常提取、模型诊断及报告生成。</w:t>
      </w:r>
    </w:p>
    <w:p w14:paraId="2B46DA18">
      <w:pPr>
        <w:numPr>
          <w:ilvl w:val="0"/>
          <w:numId w:val="7"/>
        </w:numPr>
        <w:spacing w:before="0" w:after="12" w:line="240" w:lineRule="auto"/>
      </w:pPr>
      <w:r>
        <w:rPr>
          <w:rFonts w:ascii="Arial" w:hAnsi="Arial" w:eastAsia="微软雅黑"/>
          <w:b/>
          <w:color w:val="1F2937"/>
          <w:sz w:val="17"/>
        </w:rPr>
        <w:t>日志解析性能优化：</w:t>
      </w:r>
      <w:r>
        <w:rPr>
          <w:rFonts w:ascii="Arial" w:hAnsi="Arial" w:eastAsia="微软雅黑"/>
          <w:color w:val="1F2937"/>
          <w:sz w:val="17"/>
        </w:rPr>
        <w:t>以全局内存索引替代循环 IO，结合 Goroutine 并发与互斥锁优化元数据处理，并通过预编译正则和确定性序列化消除冗余计算，解析耗时由 11.8 秒降至 1.8 秒。</w:t>
      </w:r>
    </w:p>
    <w:p w14:paraId="59F974C7">
      <w:pPr>
        <w:numPr>
          <w:ilvl w:val="0"/>
          <w:numId w:val="7"/>
        </w:numPr>
        <w:spacing w:before="0" w:after="12" w:line="240" w:lineRule="auto"/>
      </w:pPr>
      <w:r>
        <w:rPr>
          <w:rFonts w:ascii="Arial" w:hAnsi="Arial" w:eastAsia="微软雅黑"/>
          <w:b/>
          <w:color w:val="1F2937"/>
          <w:sz w:val="17"/>
        </w:rPr>
        <w:t>数据层鲁棒性：</w:t>
      </w:r>
      <w:r>
        <w:rPr>
          <w:rFonts w:ascii="Arial" w:hAnsi="Arial" w:eastAsia="微软雅黑"/>
          <w:color w:val="1F2937"/>
          <w:sz w:val="17"/>
        </w:rPr>
        <w:t>针对数据库 NULL 值导致的服务崩溃，将读取链路重构为基于 sql.Null* 的保护性机制，在数据层统一完成默认值填充与清洗，降低业务逻辑对脏数据的耦合。</w:t>
      </w:r>
    </w:p>
    <w:p w14:paraId="15FB9288">
      <w:pPr>
        <w:numPr>
          <w:ilvl w:val="0"/>
          <w:numId w:val="7"/>
        </w:numPr>
        <w:spacing w:before="0" w:after="12" w:line="240" w:lineRule="auto"/>
      </w:pPr>
      <w:r>
        <w:rPr>
          <w:rFonts w:ascii="Arial" w:hAnsi="Arial" w:eastAsia="微软雅黑"/>
          <w:b/>
          <w:color w:val="1F2937"/>
          <w:sz w:val="17"/>
        </w:rPr>
        <w:t>多格式数据服务：</w:t>
      </w:r>
      <w:r>
        <w:rPr>
          <w:rFonts w:ascii="Arial" w:hAnsi="Arial" w:eastAsia="微软雅黑"/>
          <w:color w:val="1F2937"/>
          <w:sz w:val="17"/>
        </w:rPr>
        <w:t>基于独立解析引擎为 CSV / TXT 提供标准化 JSON 接口；CSV 采用时间索引优化查询，TXT 支持全量错误回传，打通前端数据消费链路。</w:t>
      </w:r>
    </w:p>
    <w:p w14:paraId="6BBC7AD8">
      <w:pPr>
        <w:numPr>
          <w:ilvl w:val="0"/>
          <w:numId w:val="7"/>
        </w:numPr>
        <w:spacing w:before="0" w:after="12" w:line="240" w:lineRule="auto"/>
      </w:pPr>
      <w:r>
        <w:rPr>
          <w:rFonts w:ascii="Arial" w:hAnsi="Arial" w:eastAsia="微软雅黑"/>
          <w:b/>
          <w:color w:val="1F2937"/>
          <w:sz w:val="17"/>
        </w:rPr>
        <w:t>MCP 智能诊断：</w:t>
      </w:r>
      <w:r>
        <w:rPr>
          <w:rFonts w:ascii="Arial" w:hAnsi="Arial" w:eastAsia="微软雅黑"/>
          <w:color w:val="1F2937"/>
          <w:sz w:val="17"/>
        </w:rPr>
        <w:t>采用 Server / CLI 分离架构开发并部署 3 个 MCP Server 及配套 CLI；搭建后端 Agent 服务与 Skills 机制，串联日志解析、异常提取、模型调用和报告生成。</w:t>
      </w:r>
    </w:p>
    <w:p w14:paraId="5E0C35E4">
      <w:pPr>
        <w:pStyle w:val="3"/>
        <w:keepNext/>
        <w:keepLines/>
        <w:pBdr>
          <w:bottom w:val="single" w:color="1F5FAE" w:sz="8" w:space="1"/>
        </w:pBdr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专业技能</w:t>
      </w:r>
    </w:p>
    <w:p w14:paraId="345E0CBA">
      <w:pPr>
        <w:numPr>
          <w:ilvl w:val="0"/>
          <w:numId w:val="7"/>
        </w:numPr>
        <w:spacing w:before="0" w:after="12" w:line="240" w:lineRule="auto"/>
      </w:pPr>
      <w:r>
        <w:rPr>
          <w:rFonts w:ascii="Arial" w:hAnsi="Arial" w:eastAsia="微软雅黑"/>
          <w:b/>
          <w:color w:val="1F2937"/>
          <w:sz w:val="17"/>
        </w:rPr>
        <w:t>Golang：</w:t>
      </w:r>
      <w:r>
        <w:rPr>
          <w:rFonts w:ascii="Arial" w:hAnsi="Arial" w:eastAsia="微软雅黑"/>
          <w:color w:val="1F2937"/>
          <w:sz w:val="17"/>
        </w:rPr>
        <w:t>掌握 Map、Slice、Interface、Goroutine、Channel、Context、Sync / Mutex、GMP、内存逃逸与 GC；使用 Gin、Kratos、GORM 开发后端服务。</w:t>
      </w:r>
    </w:p>
    <w:p w14:paraId="5C274026">
      <w:pPr>
        <w:numPr>
          <w:ilvl w:val="0"/>
          <w:numId w:val="7"/>
        </w:numPr>
        <w:spacing w:before="0" w:after="12" w:line="240" w:lineRule="auto"/>
      </w:pPr>
      <w:r>
        <w:rPr>
          <w:rFonts w:ascii="Arial" w:hAnsi="Arial" w:eastAsia="微软雅黑"/>
          <w:b/>
          <w:color w:val="1F2937"/>
          <w:sz w:val="17"/>
        </w:rPr>
        <w:t>微服务与分布式：</w:t>
      </w:r>
      <w:r>
        <w:rPr>
          <w:rFonts w:ascii="Arial" w:hAnsi="Arial" w:eastAsia="微软雅黑"/>
          <w:color w:val="1F2937"/>
          <w:sz w:val="17"/>
        </w:rPr>
        <w:t>使用 gRPC + Protobuf，了解拦截器、超时、重试与负载均衡；具备 CQRS、CDC、服务降级、配置热更新、补偿事务和跨系统一致性实践，理解 Raft 核心机制。</w:t>
      </w:r>
    </w:p>
    <w:p w14:paraId="4A132196">
      <w:pPr>
        <w:numPr>
          <w:ilvl w:val="0"/>
          <w:numId w:val="7"/>
        </w:numPr>
        <w:spacing w:before="0" w:after="12" w:line="240" w:lineRule="auto"/>
      </w:pPr>
      <w:r>
        <w:rPr>
          <w:rFonts w:ascii="Arial" w:hAnsi="Arial" w:eastAsia="微软雅黑"/>
          <w:b/>
          <w:color w:val="1F2937"/>
          <w:sz w:val="17"/>
        </w:rPr>
        <w:t>存储与中间件：</w:t>
      </w:r>
      <w:r>
        <w:rPr>
          <w:rFonts w:ascii="Arial" w:hAnsi="Arial" w:eastAsia="微软雅黑"/>
          <w:color w:val="1F2937"/>
          <w:sz w:val="17"/>
        </w:rPr>
        <w:t>MySQL（索引、事务、锁、日志、隔离级别）· Redis（缓存异常、持久化、淘汰策略）· Kafka（分区副本、消费组、积压处理）· Elasticsearch · Canal · Consul。</w:t>
      </w:r>
    </w:p>
    <w:p w14:paraId="572B287C">
      <w:pPr>
        <w:numPr>
          <w:ilvl w:val="0"/>
          <w:numId w:val="7"/>
        </w:numPr>
        <w:spacing w:before="0" w:after="12" w:line="240" w:lineRule="auto"/>
      </w:pPr>
      <w:r>
        <w:rPr>
          <w:rFonts w:ascii="Arial" w:hAnsi="Arial" w:eastAsia="微软雅黑"/>
          <w:b/>
          <w:color w:val="1F2937"/>
          <w:sz w:val="17"/>
        </w:rPr>
        <w:t>工程基础：</w:t>
      </w:r>
      <w:r>
        <w:rPr>
          <w:rFonts w:ascii="Arial" w:hAnsi="Arial" w:eastAsia="微软雅黑"/>
          <w:color w:val="1F2937"/>
          <w:sz w:val="17"/>
        </w:rPr>
        <w:t>TCP / UDP · HTTP / WebSocket · Docker / Docker Compose · Git · Linux；能进行接口、联调、日志与监控指标建设。</w:t>
      </w:r>
    </w:p>
    <w:p w14:paraId="6B69E0DB">
      <w:pPr>
        <w:numPr>
          <w:ilvl w:val="0"/>
          <w:numId w:val="7"/>
        </w:numPr>
        <w:spacing w:before="0" w:after="12" w:line="240" w:lineRule="auto"/>
      </w:pPr>
      <w:r>
        <w:rPr>
          <w:rFonts w:ascii="Arial" w:hAnsi="Arial" w:eastAsia="微软雅黑"/>
          <w:b/>
          <w:color w:val="1F2937"/>
          <w:sz w:val="17"/>
        </w:rPr>
        <w:t>AI 工程：</w:t>
      </w:r>
      <w:r>
        <w:rPr>
          <w:rFonts w:ascii="Arial" w:hAnsi="Arial" w:eastAsia="微软雅黑"/>
          <w:color w:val="1F2937"/>
          <w:sz w:val="17"/>
        </w:rPr>
        <w:t>具备 MCP Server / CLI、Agent 服务与 Skills 工作流开发经验；使用 Cursor、Copilot、Claude Code、Codex 辅助研发。</w:t>
      </w:r>
    </w:p>
    <w:p w14:paraId="1D189EB5">
      <w:pPr>
        <w:pStyle w:val="3"/>
        <w:keepNext/>
        <w:keepLines/>
        <w:pBdr>
          <w:bottom w:val="single" w:color="1F5FAE" w:sz="8" w:space="1"/>
        </w:pBd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个人项目</w:t>
      </w:r>
    </w:p>
    <w:p w14:paraId="4BBC1511">
      <w:pPr>
        <w:keepNext/>
        <w:shd w:val="clear" w:color="auto" w:fill="EEF1F4"/>
        <w:tabs>
          <w:tab w:val="right" w:pos="10080"/>
        </w:tabs>
        <w:spacing w:before="30" w:after="20"/>
      </w:pPr>
      <w:r>
        <w:rPr>
          <w:rFonts w:ascii="Arial" w:hAnsi="Arial" w:eastAsia="微软雅黑"/>
          <w:b/>
          <w:color w:val="1F2937"/>
          <w:sz w:val="18"/>
        </w:rPr>
        <w:t>电商评价微服务系统</w:t>
      </w:r>
      <w:r>
        <w:rPr>
          <w:rFonts w:ascii="Arial" w:hAnsi="Arial" w:eastAsia="微软雅黑"/>
          <w:color w:val="374151"/>
          <w:sz w:val="16"/>
        </w:rPr>
        <w:tab/>
      </w:r>
      <w:r>
        <w:rPr>
          <w:rFonts w:ascii="Arial" w:hAnsi="Arial" w:eastAsia="微软雅黑"/>
          <w:color w:val="374151"/>
          <w:sz w:val="16"/>
        </w:rPr>
        <w:t>2025.10 - 2025.12</w:t>
      </w:r>
    </w:p>
    <w:p w14:paraId="49F6D211">
      <w:pPr>
        <w:spacing w:before="0" w:after="20"/>
      </w:pPr>
      <w:r>
        <w:rPr>
          <w:rFonts w:ascii="Arial" w:hAnsi="Arial" w:eastAsia="微软雅黑"/>
          <w:b/>
          <w:color w:val="374151"/>
          <w:sz w:val="16"/>
        </w:rPr>
        <w:t>技术栈：</w:t>
      </w:r>
      <w:r>
        <w:rPr>
          <w:rFonts w:ascii="Arial" w:hAnsi="Arial" w:eastAsia="微软雅黑"/>
          <w:color w:val="374151"/>
          <w:sz w:val="16"/>
        </w:rPr>
        <w:t>Kratos · Protobuf · MySQL · Redis · Elasticsearch · Canal · Consul · Kafka</w:t>
      </w:r>
    </w:p>
    <w:p w14:paraId="5379B376">
      <w:pPr>
        <w:pStyle w:val="4"/>
        <w:keepNext/>
        <w:keepLines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评价全生命周期服务  |  CQRS、缓存治理与 CDC 索引同步</w:t>
      </w:r>
    </w:p>
    <w:p w14:paraId="2B137A8A">
      <w:pPr>
        <w:numPr>
          <w:ilvl w:val="0"/>
          <w:numId w:val="7"/>
        </w:numPr>
        <w:spacing w:before="0" w:after="12" w:line="240" w:lineRule="auto"/>
      </w:pPr>
      <w:r>
        <w:rPr>
          <w:rFonts w:ascii="Arial" w:hAnsi="Arial" w:eastAsia="微软雅黑"/>
          <w:b/>
          <w:color w:val="1F2937"/>
          <w:sz w:val="17"/>
        </w:rPr>
        <w:t>接口与服务拆分：</w:t>
      </w:r>
      <w:r>
        <w:rPr>
          <w:rFonts w:ascii="Arial" w:hAnsi="Arial" w:eastAsia="微软雅黑"/>
          <w:color w:val="1F2937"/>
          <w:sz w:val="17"/>
        </w:rPr>
        <w:t>基于 Kratos + Protobuf 设计 RPC / HTTP 接口，覆盖评价创建、互动回复、申诉、审核与检索等业务流程，统一接口契约与服务边界。</w:t>
      </w:r>
    </w:p>
    <w:p w14:paraId="454A2F59">
      <w:pPr>
        <w:numPr>
          <w:ilvl w:val="0"/>
          <w:numId w:val="7"/>
        </w:numPr>
        <w:spacing w:before="0" w:after="12" w:line="240" w:lineRule="auto"/>
      </w:pPr>
      <w:r>
        <w:rPr>
          <w:rFonts w:ascii="Arial" w:hAnsi="Arial" w:eastAsia="微软雅黑"/>
          <w:b/>
          <w:color w:val="1F2937"/>
          <w:sz w:val="17"/>
        </w:rPr>
        <w:t>CQRS 读写分离：</w:t>
      </w:r>
      <w:r>
        <w:rPr>
          <w:rFonts w:ascii="Arial" w:hAnsi="Arial" w:eastAsia="微软雅黑"/>
          <w:color w:val="1F2937"/>
          <w:sz w:val="17"/>
        </w:rPr>
        <w:t>以 MySQL + Redis 承载写模型，以 Elasticsearch 构建读模型，解耦交易写入与检索查询链路。</w:t>
      </w:r>
    </w:p>
    <w:p w14:paraId="2FE181D0">
      <w:pPr>
        <w:numPr>
          <w:ilvl w:val="0"/>
          <w:numId w:val="7"/>
        </w:numPr>
        <w:spacing w:before="0" w:after="12" w:line="240" w:lineRule="auto"/>
      </w:pPr>
      <w:r>
        <w:rPr>
          <w:rFonts w:ascii="Arial" w:hAnsi="Arial" w:eastAsia="微软雅黑"/>
          <w:b/>
          <w:color w:val="1F2937"/>
          <w:sz w:val="17"/>
        </w:rPr>
        <w:t>热点缓存治理：</w:t>
      </w:r>
      <w:r>
        <w:rPr>
          <w:rFonts w:ascii="Arial" w:hAnsi="Arial" w:eastAsia="微软雅黑"/>
          <w:color w:val="1F2937"/>
          <w:sz w:val="17"/>
        </w:rPr>
        <w:t>使用 Redis + Singleflight 合并并发请求，降低热点 Key 失效时的缓存击穿与回源放大。</w:t>
      </w:r>
    </w:p>
    <w:p w14:paraId="01B0C924">
      <w:pPr>
        <w:numPr>
          <w:ilvl w:val="0"/>
          <w:numId w:val="7"/>
        </w:numPr>
        <w:spacing w:before="0" w:after="12" w:line="240" w:lineRule="auto"/>
      </w:pPr>
      <w:r>
        <w:rPr>
          <w:rFonts w:ascii="Arial" w:hAnsi="Arial" w:eastAsia="微软雅黑"/>
          <w:b/>
          <w:color w:val="1F2937"/>
          <w:sz w:val="17"/>
        </w:rPr>
        <w:t>异步索引同步：</w:t>
      </w:r>
      <w:r>
        <w:rPr>
          <w:rFonts w:ascii="Arial" w:hAnsi="Arial" w:eastAsia="微软雅黑"/>
          <w:color w:val="1F2937"/>
          <w:sz w:val="17"/>
        </w:rPr>
        <w:t>设计 Canal + Kafka CDC 链路，将 MySQL 变更异步同步至 Elasticsearch；通过消息解耦提升索引链路的扩展性与可维护性。</w:t>
      </w:r>
    </w:p>
    <w:sectPr>
      <w:footerReference r:id="rId5" w:type="default"/>
      <w:pgSz w:w="11905" w:h="16838"/>
      <w:pgMar w:top="605" w:right="792" w:bottom="605" w:left="792" w:header="288" w:footer="31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EFF1DD">
    <w:pPr>
      <w:pStyle w:val="24"/>
      <w:spacing w:before="0" w:after="0"/>
      <w:jc w:val="center"/>
    </w:pPr>
    <w:r>
      <w:rPr>
        <w:rFonts w:ascii="Arial" w:hAnsi="Arial" w:eastAsia="微软雅黑"/>
        <w:color w:val="64748B"/>
        <w:sz w:val="14"/>
      </w:rPr>
      <w:t xml:space="preserve">周泽华 | Golang 后端开发 · 第 </w:t>
    </w:r>
    <w:r>
      <w:rPr>
        <w:rFonts w:ascii="Arial" w:hAnsi="Arial" w:eastAsia="微软雅黑"/>
        <w:color w:val="64748B"/>
        <w:sz w:val="14"/>
      </w:rPr>
      <w:fldChar w:fldCharType="begin"/>
    </w:r>
    <w:r>
      <w:rPr>
        <w:rFonts w:ascii="Arial" w:hAnsi="Arial" w:eastAsia="微软雅黑"/>
        <w:color w:val="64748B"/>
        <w:sz w:val="14"/>
      </w:rPr>
      <w:instrText xml:space="preserve"> PAGE </w:instrText>
    </w:r>
    <w:r>
      <w:rPr>
        <w:rFonts w:ascii="Arial" w:hAnsi="Arial" w:eastAsia="微软雅黑"/>
        <w:color w:val="64748B"/>
        <w:sz w:val="14"/>
      </w:rPr>
      <w:fldChar w:fldCharType="end"/>
    </w:r>
    <w:r>
      <w:rPr>
        <w:rFonts w:ascii="Arial" w:hAnsi="Arial" w:eastAsia="微软雅黑"/>
        <w:color w:val="64748B"/>
        <w:sz w:val="1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5" w:lineRule="auto"/>
      </w:pPr>
      <w:r>
        <w:separator/>
      </w:r>
    </w:p>
  </w:footnote>
  <w:footnote w:type="continuationSeparator" w:id="1">
    <w:p>
      <w:pPr>
        <w:spacing w:before="0" w:after="0" w:line="245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tabs>
          <w:tab w:val="left" w:pos="320"/>
        </w:tabs>
        <w:ind w:left="320" w:hanging="180"/>
      </w:pPr>
      <w:rPr>
        <w:rFonts w:ascii="Arial" w:hAnsi="Aria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237F25"/>
    <w:rsid w:val="17AE30E6"/>
    <w:rsid w:val="4B3270A9"/>
    <w:rsid w:val="599F62A7"/>
    <w:rsid w:val="64C46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20" w:line="245" w:lineRule="auto"/>
    </w:pPr>
    <w:rPr>
      <w:rFonts w:ascii="Arial" w:hAnsi="Arial" w:eastAsia="微软雅黑" w:cstheme="minorBidi"/>
      <w:color w:val="1F2937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80" w:after="40" w:line="240" w:lineRule="auto"/>
      <w:outlineLvl w:val="0"/>
    </w:pPr>
    <w:rPr>
      <w:rFonts w:asciiTheme="majorHAnsi" w:hAnsiTheme="majorHAnsi" w:eastAsiaTheme="majorEastAsia" w:cstheme="majorBidi"/>
      <w:b/>
      <w:bCs/>
      <w:color w:val="1F5FAE"/>
      <w:sz w:val="29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40" w:after="20" w:line="240" w:lineRule="auto"/>
      <w:outlineLvl w:val="1"/>
    </w:pPr>
    <w:rPr>
      <w:rFonts w:asciiTheme="majorHAnsi" w:hAnsiTheme="majorHAnsi" w:eastAsiaTheme="majorEastAsia" w:cstheme="majorBidi"/>
      <w:b/>
      <w:bCs/>
      <w:color w:val="174A86"/>
      <w:sz w:val="2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" w:after="10" w:line="240" w:lineRule="auto"/>
      <w:outlineLvl w:val="2"/>
    </w:pPr>
    <w:rPr>
      <w:rFonts w:asciiTheme="majorHAnsi" w:hAnsiTheme="majorHAnsi" w:eastAsiaTheme="majorEastAsia" w:cstheme="majorBidi"/>
      <w:b/>
      <w:bCs/>
      <w:color w:val="174A86"/>
      <w:sz w:val="1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1684</Words>
  <Characters>2227</Characters>
  <Lines>0</Lines>
  <Paragraphs>0</Paragraphs>
  <TotalTime>69</TotalTime>
  <ScaleCrop>false</ScaleCrop>
  <LinksUpToDate>false</LinksUpToDate>
  <CharactersWithSpaces>2444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周泽华</dc:creator>
  <dc:description>generated by python-docx</dc:description>
  <cp:lastModifiedBy>家成</cp:lastModifiedBy>
  <dcterms:modified xsi:type="dcterms:W3CDTF">2026-09-10T06:49:37Z</dcterms:modified>
  <dc:subject>Golang 后端开发求职简历</dc:subject>
  <dc:title>周泽华 - Golang 后端开发简历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eyJoZGlkIjoiNGZlZmE1Y2Y2OGY2NTQwNDNhMDM4MGZjNjZlMzc0YjAiLCJ1c2VySWQiOiI0NDQzODA4MTkifQ==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1179655708B54B50B5A4429B3F38A299_12</vt:lpwstr>
  </property>
</Properties>
</file>