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Calibri" w:hAnsi="Calibri" w:eastAsia="Microsoft YaHei"/>
          <w:b/>
          <w:color w:val="0B2545"/>
          <w:sz w:val="48"/>
        </w:rPr>
        <w:t>Artsee 用户角色体系分析</w:t>
      </w:r>
    </w:p>
    <w:p>
      <w:pPr>
        <w:pStyle w:val="Subtitle"/>
        <w:spacing w:after="240"/>
      </w:pPr>
      <w:r>
        <w:rPr>
          <w:rFonts w:ascii="Calibri" w:hAnsi="Calibri" w:eastAsia="Microsoft YaHei"/>
          <w:color w:val="5C5C5C"/>
          <w:sz w:val="24"/>
        </w:rPr>
        <w:t>社会学角色理论视角 × STAR+Loop 场景展开（修订版）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修订原则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32323"/>
                <w:sz w:val="21"/>
              </w:rPr>
              <w:t>本版将原稿中的“用户角色”拆成系统权限、账号主体、业务身份和组织成员关系四层；将 STAR 从一次性案例改写为可触发、可反馈、可度量的循环场景；并补充隐私、AI 边界、认证与平台信任机制。</w:t>
            </w:r>
          </w:p>
        </w:tc>
      </w:tr>
    </w:tbl>
    <w:p/>
    <w:p>
      <w:pPr>
        <w:pStyle w:val="Heading1"/>
        <w:spacing w:before="320" w:after="160"/>
        <w:jc w:val="left"/>
      </w:pPr>
      <w:r>
        <w:rPr>
          <w:rFonts w:ascii="Calibri" w:hAnsi="Calibri" w:eastAsia="Microsoft YaHei"/>
          <w:b/>
          <w:color w:val="2E74B5"/>
          <w:sz w:val="32"/>
        </w:rPr>
        <w:t>一、核心结论</w:t>
      </w:r>
    </w:p>
    <w:p>
      <w:pPr>
        <w:spacing w:after="120" w:line="264" w:lineRule="auto"/>
      </w:pPr>
      <w:r>
        <w:rPr>
          <w:rFonts w:ascii="Calibri" w:hAnsi="Calibri" w:eastAsia="Microsoft YaHei"/>
          <w:color w:val="232323"/>
          <w:sz w:val="22"/>
        </w:rPr>
        <w:t>Artsee 的用户角色体系不应被理解为一次注册时选择的静态标签，而应被设计成一个可演化、可认证、可切换的身份系统。用户在平台中同时受到社会角色期待、平台权限结构、商业关系和个人能动性的影响。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角色不是单一字段：至少需要区分系统权限、账号主体、业务身份和组织成员关系。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个人角色与组织角色必须分层：学生、艺术家、收藏者、家长是个人使用动机；机构、画廊、酒店/文旅空间是组织主体；顾问、管理员、成员是组织内岗位。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STAR 场景应服务产品决策：每个场景都应对应入口、关键行为、风险点、成功指标和下一轮动作。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平台信任机制是角色冲突的缓冲器：认证、评价、匿名反馈、AI 中立声明和数据授权要一起设计。</w:t>
      </w:r>
    </w:p>
    <w:p>
      <w:pPr>
        <w:pStyle w:val="Heading1"/>
        <w:spacing w:before="320" w:after="160"/>
        <w:jc w:val="left"/>
      </w:pPr>
      <w:r>
        <w:rPr>
          <w:rFonts w:ascii="Calibri" w:hAnsi="Calibri" w:eastAsia="Microsoft YaHei"/>
          <w:b/>
          <w:color w:val="2E74B5"/>
          <w:sz w:val="32"/>
        </w:rPr>
        <w:t>二、角色层级模型</w:t>
      </w:r>
    </w:p>
    <w:p>
      <w:pPr>
        <w:spacing w:after="120" w:line="264" w:lineRule="auto"/>
      </w:pPr>
      <w:r>
        <w:rPr>
          <w:rFonts w:ascii="Calibri" w:hAnsi="Calibri" w:eastAsia="Microsoft YaHei"/>
          <w:color w:val="232323"/>
          <w:sz w:val="22"/>
        </w:rPr>
        <w:t>建议将当前角色体系拆成四层。这样既能解释用户行为，也能直接指导数据库字段、权限校验、导航分流和运营指标。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2400"/>
        <w:gridCol w:w="28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层级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含义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示例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产品影响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系统权限</w:t>
            </w:r>
          </w:p>
        </w:tc>
        <w:tc>
          <w:tcPr>
            <w:tcW w:type="dxa" w:w="25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平台治理与后台权限</w:t>
            </w:r>
          </w:p>
        </w:tc>
        <w:tc>
          <w:tcPr>
            <w:tcW w:type="dxa" w:w="24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user / admin / mentor</w:t>
            </w:r>
          </w:p>
        </w:tc>
        <w:tc>
          <w:tcPr>
            <w:tcW w:type="dxa" w:w="2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决定是否能进入后台、审核、管理内容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账号主体</w:t>
            </w:r>
          </w:p>
        </w:tc>
        <w:tc>
          <w:tcPr>
            <w:tcW w:type="dxa" w:w="25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账号代表个人还是组织</w:t>
            </w:r>
          </w:p>
        </w:tc>
        <w:tc>
          <w:tcPr>
            <w:tcW w:type="dxa" w:w="24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personal / business</w:t>
            </w:r>
          </w:p>
        </w:tc>
        <w:tc>
          <w:tcPr>
            <w:tcW w:type="dxa" w:w="2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决定是否启用工作台、组织资料、团队成员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业务身份</w:t>
            </w:r>
          </w:p>
        </w:tc>
        <w:tc>
          <w:tcPr>
            <w:tcW w:type="dxa" w:w="25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用户在业务场景中的主要动机</w:t>
            </w:r>
          </w:p>
        </w:tc>
        <w:tc>
          <w:tcPr>
            <w:tcW w:type="dxa" w:w="24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student / artist / collector / parent / study_abroad_agency</w:t>
            </w:r>
          </w:p>
        </w:tc>
        <w:tc>
          <w:tcPr>
            <w:tcW w:type="dxa" w:w="2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影响推荐、onboarding、首页模块和关键 CTA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组织成员关系</w:t>
            </w:r>
          </w:p>
        </w:tc>
        <w:tc>
          <w:tcPr>
            <w:tcW w:type="dxa" w:w="25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用户在某个组织里的岗位</w:t>
            </w:r>
          </w:p>
        </w:tc>
        <w:tc>
          <w:tcPr>
            <w:tcW w:type="dxa" w:w="24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owner / admin / advisor / member</w:t>
            </w:r>
          </w:p>
        </w:tc>
        <w:tc>
          <w:tcPr>
            <w:tcW w:type="dxa" w:w="2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决定机构工作台内的数据范围与操作权限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写法修正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32323"/>
                <w:sz w:val="21"/>
              </w:rPr>
              <w:t>原稿中“user_type vs user_role 的分离设计”方向正确，但建议进一步明确：user_type 更适合表达 personal/business，user_role 表达具体业务身份，组织成员岗位应由 organization_memberships 一类关系表承载，而不是全部塞进用户主表。</w:t>
            </w:r>
          </w:p>
        </w:tc>
      </w:tr>
    </w:tbl>
    <w:p/>
    <w:p>
      <w:pPr>
        <w:pStyle w:val="Heading1"/>
        <w:spacing w:before="320" w:after="160"/>
        <w:jc w:val="left"/>
      </w:pPr>
      <w:r>
        <w:rPr>
          <w:rFonts w:ascii="Calibri" w:hAnsi="Calibri" w:eastAsia="Microsoft YaHei"/>
          <w:b/>
          <w:color w:val="2E74B5"/>
          <w:sz w:val="32"/>
        </w:rPr>
        <w:t>三、理论框架：从社会学角色理论看用户设计</w:t>
      </w:r>
    </w:p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1. 角色期望</w:t>
      </w:r>
    </w:p>
    <w:p>
      <w:pPr>
        <w:spacing w:after="120" w:line="264" w:lineRule="auto"/>
      </w:pPr>
      <w:r>
        <w:rPr>
          <w:rFonts w:ascii="Calibri" w:hAnsi="Calibri" w:eastAsia="Microsoft YaHei"/>
          <w:color w:val="232323"/>
          <w:sz w:val="22"/>
        </w:rPr>
        <w:t>每个角色都伴随他人对其行为的期待。产品设计的任务，是把这些期待转译成可见入口、可执行任务和可验证结果。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角色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社会期望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产品映射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学生</w:t>
            </w:r>
          </w:p>
        </w:tc>
        <w:tc>
          <w:tcPr>
            <w:tcW w:type="dxa" w:w="30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学习、申请、准备作品集</w:t>
            </w:r>
          </w:p>
        </w:tc>
        <w:tc>
          <w:tcPr>
            <w:tcW w:type="dxa" w:w="4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院校浏览、案例查看、AI 咨询、申请追踪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艺术家</w:t>
            </w:r>
          </w:p>
        </w:tc>
        <w:tc>
          <w:tcPr>
            <w:tcW w:type="dxa" w:w="30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创作、展示、获得机会、商业化</w:t>
            </w:r>
          </w:p>
        </w:tc>
        <w:tc>
          <w:tcPr>
            <w:tcW w:type="dxa" w:w="4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作品主页、展览申请、品牌合作、版权授权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收藏者</w:t>
            </w:r>
          </w:p>
        </w:tc>
        <w:tc>
          <w:tcPr>
            <w:tcW w:type="dxa" w:w="30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鉴赏、收藏、进入圈层</w:t>
            </w:r>
          </w:p>
        </w:tc>
        <w:tc>
          <w:tcPr>
            <w:tcW w:type="dxa" w:w="4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活动发现、艺术家资料、收藏者认证、高端活动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家长</w:t>
            </w:r>
          </w:p>
        </w:tc>
        <w:tc>
          <w:tcPr>
            <w:tcW w:type="dxa" w:w="30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决策支持、风险控制、资金规划</w:t>
            </w:r>
          </w:p>
        </w:tc>
        <w:tc>
          <w:tcPr>
            <w:tcW w:type="dxa" w:w="4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费用拆解、申请路径、机构对比、授权式进度查看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机构</w:t>
            </w:r>
          </w:p>
        </w:tc>
        <w:tc>
          <w:tcPr>
            <w:tcW w:type="dxa" w:w="30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服务提供、招生、学员管理、口碑转化</w:t>
            </w:r>
          </w:p>
        </w:tc>
        <w:tc>
          <w:tcPr>
            <w:tcW w:type="dxa" w:w="4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组织认证、线索管理、学员服务、案例发布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2. 角色集合</w:t>
      </w:r>
    </w:p>
    <w:p>
      <w:pPr>
        <w:spacing w:after="120" w:line="264" w:lineRule="auto"/>
      </w:pPr>
      <w:r>
        <w:rPr>
          <w:rFonts w:ascii="Calibri" w:hAnsi="Calibri" w:eastAsia="Microsoft YaHei"/>
          <w:color w:val="232323"/>
          <w:sz w:val="22"/>
        </w:rPr>
        <w:t>用户不是孤立地扮演一个角色，而是嵌在多重关系网络中。以留学机构为例，它面对学生时是服务提供者，面对家长时是信任建立者，面对平台时是付费组织，面对同行时又是竞争者。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机构工作台不只是后台页面，而是多关系情境的操作枢纽。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同一组织内还要区分 owner、admin、advisor、member 等岗位。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面向学生的公开主页、面向家长的信任材料、面向内部的服务进度，不应混用同一套信息密度。</w:t>
      </w:r>
    </w:p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3. 角色冲突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冲突类型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具体表现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产品机制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跨角色冲突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同一用户既是学生又在机构任职</w:t>
            </w:r>
          </w:p>
        </w:tc>
        <w:tc>
          <w:tcPr>
            <w:tcW w:type="dxa" w:w="42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个人账号与组织身份关联切换，明确当前身份上下文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角色内紧张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家长既想支持孩子，又担心费用与就业</w:t>
            </w:r>
          </w:p>
        </w:tc>
        <w:tc>
          <w:tcPr>
            <w:tcW w:type="dxa" w:w="42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费用/就业数据透明化，提供共同决策工具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平台与用户冲突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机构需要曝光，学生需要中立信息</w:t>
            </w:r>
          </w:p>
        </w:tc>
        <w:tc>
          <w:tcPr>
            <w:tcW w:type="dxa" w:w="42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广告标注、认证等级、评价体系、AI 中立声明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隐私与监督冲突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家长希望看进度，学生可能不愿全部开放</w:t>
            </w:r>
          </w:p>
        </w:tc>
        <w:tc>
          <w:tcPr>
            <w:tcW w:type="dxa" w:w="42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孩子授权、机构授权、服务合同三者缺一不可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4. 角色距离</w:t>
      </w:r>
    </w:p>
    <w:p>
      <w:pPr>
        <w:spacing w:after="120" w:line="264" w:lineRule="auto"/>
      </w:pPr>
      <w:r>
        <w:rPr>
          <w:rFonts w:ascii="Calibri" w:hAnsi="Calibri" w:eastAsia="Microsoft YaHei"/>
          <w:color w:val="232323"/>
          <w:sz w:val="22"/>
        </w:rPr>
        <w:t>Goffman 所说的角色距离，提醒我们不要把用户过早固定在某个身份中。用户可能只是试探性进入平台，暂时不愿认证、填写完整画像或承担某个角色的全部责任。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Onboarding 应拆成基础信息与深度画像，基础信息服务推荐，深度画像服务高价值功能。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允许用户先探索，再在关键节点触发认证或补充资料。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机构员工也应保留个人用户体验，避免一旦加入组织就被完全后台化。</w:t>
      </w:r>
    </w:p>
    <w:p>
      <w:pPr>
        <w:pStyle w:val="Heading1"/>
        <w:spacing w:before="320" w:after="160"/>
        <w:jc w:val="left"/>
      </w:pPr>
      <w:r>
        <w:rPr>
          <w:rFonts w:ascii="Calibri" w:hAnsi="Calibri" w:eastAsia="Microsoft YaHei"/>
          <w:b/>
          <w:color w:val="2E74B5"/>
          <w:sz w:val="32"/>
        </w:rPr>
        <w:t>四、STAR+Loop 方法定义</w:t>
      </w:r>
    </w:p>
    <w:p>
      <w:pPr>
        <w:spacing w:after="120" w:line="264" w:lineRule="auto"/>
      </w:pPr>
      <w:r>
        <w:rPr>
          <w:rFonts w:ascii="Calibri" w:hAnsi="Calibri" w:eastAsia="Microsoft YaHei"/>
          <w:color w:val="232323"/>
          <w:sz w:val="22"/>
        </w:rPr>
        <w:t>原稿中的 STAR 适合描述单次场景，但如果要指导产品增长与运营，需要补上循环要素。建议采用 STAR+Loop：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元素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问题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产出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S / Situation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用户处于什么现实处境？</w:t>
            </w:r>
          </w:p>
        </w:tc>
        <w:tc>
          <w:tcPr>
            <w:tcW w:type="dxa" w:w="44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人群、阶段、约束、焦虑点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T / Task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用户当下要完成什么任务？</w:t>
            </w:r>
          </w:p>
        </w:tc>
        <w:tc>
          <w:tcPr>
            <w:tcW w:type="dxa" w:w="44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明确目标与时间窗口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A / Action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用户在产品里做了什么？</w:t>
            </w:r>
          </w:p>
        </w:tc>
        <w:tc>
          <w:tcPr>
            <w:tcW w:type="dxa" w:w="44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入口、路径、关键交互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R / Result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用户得到什么结果？</w:t>
            </w:r>
          </w:p>
        </w:tc>
        <w:tc>
          <w:tcPr>
            <w:tcW w:type="dxa" w:w="44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业务结果与认知变化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Loop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什么让用户回来进入下一轮？</w:t>
            </w:r>
          </w:p>
        </w:tc>
        <w:tc>
          <w:tcPr>
            <w:tcW w:type="dxa" w:w="44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提醒、沉淀、关系、推荐、指标</w:t>
            </w:r>
          </w:p>
        </w:tc>
      </w:tr>
    </w:tbl>
    <w:p/>
    <w:p>
      <w:pPr>
        <w:pStyle w:val="Heading1"/>
        <w:spacing w:before="320" w:after="160"/>
        <w:jc w:val="left"/>
      </w:pPr>
      <w:r>
        <w:rPr>
          <w:rFonts w:ascii="Calibri" w:hAnsi="Calibri" w:eastAsia="Microsoft YaHei"/>
          <w:b/>
          <w:color w:val="2E74B5"/>
          <w:sz w:val="32"/>
        </w:rPr>
        <w:t>五、个人角色场景</w:t>
      </w:r>
    </w:p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1. 学生 / 申请者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3300"/>
        <w:gridCol w:w="17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Loop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核心任务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关键动作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成功指标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选校决策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在 3 周内形成目标院校清单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AI 需求输入、院校对比、案例查看、收藏清单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收藏 5 所院校；生成冲刺/匹配/保底组合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作品集准备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评估现有作品并制定项目框架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上传作品、查看录取案例、比较机构方案、预约评估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形成 4-5 个项目框架；完成首个新项目初稿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申请追踪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跟踪状态并准备面试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更新申请状态、搜索面试经验、AI 模拟面试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关键 DDL 无遗漏；面试准备完成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行前准备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完成签证、住宿和新生连接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社区搜索、加入新生群、AI 咨询租房区域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签证完成；住宿确定；建立同届连接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场景注意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32323"/>
                <w:sz w:val="21"/>
              </w:rPr>
              <w:t>RCA、CSM、UAL 等学校/学院名称在文档中要注意层级关系：CSM 是 UAL 下属学院，不宜完全和 UAL 并列。家长和学生案例也要明确是本科、预科还是硕士申请，避免费用与周期口径混乱。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2. 艺术家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3300"/>
        <w:gridCol w:w="17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Loop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核心任务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关键动作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成功指标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建立专业形象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从社媒接单转向专业主页与被邀约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认证、上传作品系列、润色 artist statement、发布过程内容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主页完成度、作品浏览、有效邀约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展览申请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匹配征集主题并提交材料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研究往期风格、选择作品、重写阐释、提交申请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入围/回复率；申请材料复用率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品牌合作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获得商业项目并形成案例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查看需求、提交提案、沟通报价与交付、签约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签约金额、交付满意度、后续询盘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版权授权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避免低价买断，争取长期收益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AI 整理授权模式、生成谈判清单、协商分成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授权期限合理；收益高于一次性报价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AI 边界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32323"/>
                <w:sz w:val="21"/>
              </w:rPr>
              <w:t>AI 可以帮助整理公开信息、生成提问清单和谈判框架，但版权、合同和财务判断应提示用户咨询专业人士。文档中不宜写成 AI 可直接给出最终法律/投资建议。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3. 收藏者 / 爱好者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50"/>
        <w:gridCol w:w="3350"/>
        <w:gridCol w:w="15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Loop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核心任务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关键动作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成功指标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活动发现</w:t>
            </w:r>
          </w:p>
        </w:tc>
        <w:tc>
          <w:tcPr>
            <w:tcW w:type="dxa" w:w="27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从看不懂到建立入门鉴赏框架</w:t>
            </w:r>
          </w:p>
        </w:tc>
        <w:tc>
          <w:tcPr>
            <w:tcW w:type="dxa" w:w="33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按城市/时间/类型筛选活动，查看评价后报名</w:t>
            </w:r>
          </w:p>
        </w:tc>
        <w:tc>
          <w:tcPr>
            <w:tcW w:type="dxa" w:w="15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报名转化；活动后收藏/关注行为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首次收藏</w:t>
            </w:r>
          </w:p>
        </w:tc>
        <w:tc>
          <w:tcPr>
            <w:tcW w:type="dxa" w:w="27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判断喜欢的作品是否适合买</w:t>
            </w:r>
          </w:p>
        </w:tc>
        <w:tc>
          <w:tcPr>
            <w:tcW w:type="dxa" w:w="33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查看艺术家履历、询问社群、分析价格区间</w:t>
            </w:r>
          </w:p>
        </w:tc>
        <w:tc>
          <w:tcPr>
            <w:tcW w:type="dxa" w:w="15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完成收藏；记录购买凭证与收藏故事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圈层社交</w:t>
            </w:r>
          </w:p>
        </w:tc>
        <w:tc>
          <w:tcPr>
            <w:tcW w:type="dxa" w:w="27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进入更高质量的信息网络</w:t>
            </w:r>
          </w:p>
        </w:tc>
        <w:tc>
          <w:tcPr>
            <w:tcW w:type="dxa" w:w="33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收藏者认证、参加 VIP 活动、发布收藏内容</w:t>
            </w:r>
          </w:p>
        </w:tc>
        <w:tc>
          <w:tcPr>
            <w:tcW w:type="dxa" w:w="15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认证通过；高端活动参与；有效人脉建立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color w:val="232323"/>
          <w:sz w:val="22"/>
        </w:rPr>
        <w:t>收藏场景应避免过度投资化表达。更稳妥的产品立场是帮助用户理解作品、艺术家履历和价格区间，而不是承诺升值或暗示投资收益。</w:t>
      </w:r>
    </w:p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4. 家长 / 陪同决策者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3300"/>
        <w:gridCol w:w="17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Loop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核心任务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关键动作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成功指标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建立认知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从焦虑到理解艺术留学基本框架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家长身份 onboarding、费用拆解、路径说明、案例阅读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完成基础认知；收藏院校/机构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机构筛选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从候选机构中识别靠谱服务方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查看认证、家长评价、合同 checklist、预约咨询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排除高风险机构；形成 2-3 家候选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过程沟通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在不越界的情况下了解学习进度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授权式进度查看、时间线对照、与机构老师沟通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建立月度同步机制；减少亲子冲突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申请决策</w:t>
            </w:r>
          </w:p>
        </w:tc>
        <w:tc>
          <w:tcPr>
            <w:tcW w:type="dxa" w:w="26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平衡梦想、成本与就业预期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费用/就业/案例对比，生成 pros/cons 表</w:t>
            </w:r>
          </w:p>
        </w:tc>
        <w:tc>
          <w:tcPr>
            <w:tcW w:type="dxa" w:w="17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达成家庭共识；决策过程透明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隐私与授权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32323"/>
                <w:sz w:val="21"/>
              </w:rPr>
              <w:t>家长角色必须增加授权前提：孩子授权、机构服务关系和资料可见范围需要被明确设计。否则“过程监督”容易变成隐私风险。</w:t>
            </w:r>
          </w:p>
        </w:tc>
      </w:tr>
    </w:tbl>
    <w:p/>
    <w:p>
      <w:pPr>
        <w:pStyle w:val="Heading1"/>
        <w:spacing w:before="320" w:after="160"/>
        <w:jc w:val="left"/>
      </w:pPr>
      <w:r>
        <w:rPr>
          <w:rFonts w:ascii="Calibri" w:hAnsi="Calibri" w:eastAsia="Microsoft YaHei"/>
          <w:b/>
          <w:color w:val="2E74B5"/>
          <w:sz w:val="32"/>
        </w:rPr>
        <w:t>六、组织角色场景</w:t>
      </w:r>
    </w:p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1. 留学机构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线上获客：通过组织认证、真实案例、社区答疑和活动专题降低线索成本。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学员服务：通过学员档案、里程碑提醒、家长月报、模拟面试和案例沉淀提升交付透明度。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口碑转化：把 offer 结果、服务过程评价和转介绍入口连接起来，而不是只展示最终录取结果。</w:t>
      </w:r>
    </w:p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2. 画廊 / 展览机构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艺术家发掘：用风格、年龄、媒介、展览经历、地域等维度筛选艺术家库。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征集管理：支持投稿、初筛、约看原作、协议签署和展后复盘。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平台价值：降低发现新艺术家的成本，并形成可复用的策展人才池。</w:t>
      </w:r>
    </w:p>
    <w:p>
      <w:pPr>
        <w:pStyle w:val="Heading2"/>
        <w:spacing w:before="240" w:after="120"/>
        <w:jc w:val="left"/>
      </w:pPr>
      <w:r>
        <w:rPr>
          <w:rFonts w:ascii="Calibri" w:hAnsi="Calibri" w:eastAsia="Microsoft YaHei"/>
          <w:b/>
          <w:color w:val="2E74B5"/>
          <w:sz w:val="26"/>
        </w:rPr>
        <w:t>3. 酒店 / 文旅空间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艺术内容采购：发布空间需求、预算区间、风格方向和交付时间。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活动策划：连接艺术家、开业活动、媒体传播和预约报名。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结果衡量：曝光量、活动报名、住客评价、品牌内容资产沉淀。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组织角色补充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32323"/>
                <w:sz w:val="21"/>
              </w:rPr>
              <w:t>原稿列出了 study_abroad_agency、gallery_exhibition、hotel_culture_space，但当前产品还存在 portfolio_training、event_organizer、brand_partner、art_media_community、other_service 等组织类型。文档若用于产品评审，建议保持枚举口径一致。</w:t>
            </w:r>
          </w:p>
        </w:tc>
      </w:tr>
    </w:tbl>
    <w:p/>
    <w:p>
      <w:pPr>
        <w:pStyle w:val="Heading1"/>
        <w:spacing w:before="320" w:after="160"/>
        <w:jc w:val="left"/>
      </w:pPr>
      <w:r>
        <w:rPr>
          <w:rFonts w:ascii="Calibri" w:hAnsi="Calibri" w:eastAsia="Microsoft YaHei"/>
          <w:b/>
          <w:color w:val="2E74B5"/>
          <w:sz w:val="32"/>
        </w:rPr>
        <w:t>七、产品设计启示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支持角色演化，而不是一次选择后长期锁定。学生可能成为艺术家，收藏者可能成为画廊合伙人，家长也可能演化为艺术活动参与者。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机构工作台应支持视角切换。机构需要分别面向学生、家长、内部成员和平台审核呈现不同信息。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显性化角色冲突。同一账号涉及个人和组织身份时，要在关键操作前提示当前身份上下文。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把角色距离视为健康状态。允许用户跳过深度画像，在关键节点再补充信息或认证。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232323"/>
          <w:sz w:val="22"/>
        </w:rPr>
        <w:t>用平台信任机制缓冲利益冲突。认证、评价、广告标注、匿名反馈和 AI 中立声明要共同出现。</w:t>
      </w:r>
    </w:p>
    <w:p>
      <w:pPr>
        <w:pStyle w:val="Heading1"/>
        <w:spacing w:before="320" w:after="160"/>
        <w:jc w:val="left"/>
      </w:pPr>
      <w:r>
        <w:rPr>
          <w:rFonts w:ascii="Calibri" w:hAnsi="Calibri" w:eastAsia="Microsoft YaHei"/>
          <w:b/>
          <w:color w:val="2E74B5"/>
          <w:sz w:val="32"/>
        </w:rPr>
        <w:t>八、功能优先级建议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200"/>
        <w:gridCol w:w="38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优先级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建设内容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理由</w:t>
            </w:r>
          </w:p>
        </w:tc>
      </w:tr>
      <w:tr>
        <w:tc>
          <w:tcPr>
            <w:tcW w:type="dxa" w:w="13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MVP</w:t>
            </w:r>
          </w:p>
        </w:tc>
        <w:tc>
          <w:tcPr>
            <w:tcW w:type="dxa" w:w="42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角色字段统一、onboarding 分层、个人/组织入口分流、认证基础流程</w:t>
            </w:r>
          </w:p>
        </w:tc>
        <w:tc>
          <w:tcPr>
            <w:tcW w:type="dxa" w:w="3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先保证身份系统不混乱，避免后续权限和推荐全部返工</w:t>
            </w:r>
          </w:p>
        </w:tc>
      </w:tr>
      <w:tr>
        <w:tc>
          <w:tcPr>
            <w:tcW w:type="dxa" w:w="13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P1</w:t>
            </w:r>
          </w:p>
        </w:tc>
        <w:tc>
          <w:tcPr>
            <w:tcW w:type="dxa" w:w="42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学生申请清单、机构主页、家长费用/路径工具、艺术家主页</w:t>
            </w:r>
          </w:p>
        </w:tc>
        <w:tc>
          <w:tcPr>
            <w:tcW w:type="dxa" w:w="3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覆盖最高频、最高价值的核心 Loop</w:t>
            </w:r>
          </w:p>
        </w:tc>
      </w:tr>
      <w:tr>
        <w:tc>
          <w:tcPr>
            <w:tcW w:type="dxa" w:w="13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P2</w:t>
            </w:r>
          </w:p>
        </w:tc>
        <w:tc>
          <w:tcPr>
            <w:tcW w:type="dxa" w:w="42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组织工作台视角切换、收藏者认证、版权授权辅助、展览征集管理</w:t>
            </w:r>
          </w:p>
        </w:tc>
        <w:tc>
          <w:tcPr>
            <w:tcW w:type="dxa" w:w="38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提升多角色生态价值，但需要更高运营和审核能力</w:t>
            </w:r>
          </w:p>
        </w:tc>
      </w:tr>
    </w:tbl>
    <w:p/>
    <w:p>
      <w:pPr>
        <w:pStyle w:val="Heading1"/>
        <w:spacing w:before="320" w:after="160"/>
        <w:jc w:val="left"/>
      </w:pPr>
      <w:r>
        <w:rPr>
          <w:rFonts w:ascii="Calibri" w:hAnsi="Calibri" w:eastAsia="Microsoft YaHei"/>
          <w:b/>
          <w:color w:val="2E74B5"/>
          <w:sz w:val="32"/>
        </w:rPr>
        <w:t>九、关键指标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对象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指标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32323"/>
                <w:sz w:val="20"/>
              </w:rPr>
              <w:t>说明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学生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选校清单完成率、案例查看深度、申请追踪活跃度</w:t>
            </w:r>
          </w:p>
        </w:tc>
        <w:tc>
          <w:tcPr>
            <w:tcW w:type="dxa" w:w="45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衡量是否完成从信息浏览到申请行动的转化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艺术家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主页完成度、作品浏览、合作/展览申请回复率</w:t>
            </w:r>
          </w:p>
        </w:tc>
        <w:tc>
          <w:tcPr>
            <w:tcW w:type="dxa" w:w="45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衡量专业身份建立和机会获取效率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收藏者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活动报名率、认证通过率、复访率</w:t>
            </w:r>
          </w:p>
        </w:tc>
        <w:tc>
          <w:tcPr>
            <w:tcW w:type="dxa" w:w="45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衡量从兴趣到圈层参与的演化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家长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费用工具使用率、机构对比完成率、授权进度查看率</w:t>
            </w:r>
          </w:p>
        </w:tc>
        <w:tc>
          <w:tcPr>
            <w:tcW w:type="dxa" w:w="45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衡量是否降低决策焦虑并促进家庭共识</w:t>
            </w:r>
          </w:p>
        </w:tc>
      </w:tr>
      <w:tr>
        <w:tc>
          <w:tcPr>
            <w:tcW w:type="dxa" w:w="15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232323"/>
                <w:sz w:val="20"/>
              </w:rPr>
              <w:t>机构</w:t>
            </w:r>
          </w:p>
        </w:tc>
        <w:tc>
          <w:tcPr>
            <w:tcW w:type="dxa" w:w="330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有效咨询数、签约转化率、服务进度同步率、评价沉淀率</w:t>
            </w:r>
          </w:p>
        </w:tc>
        <w:tc>
          <w:tcPr>
            <w:tcW w:type="dxa" w:w="456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232323"/>
                <w:sz w:val="20"/>
              </w:rPr>
              <w:t>衡量获客与交付两端的闭环质量</w:t>
            </w:r>
          </w:p>
        </w:tc>
      </w:tr>
    </w:tbl>
    <w:p/>
    <w:p>
      <w:pPr>
        <w:pStyle w:val="Heading1"/>
        <w:spacing w:before="320" w:after="160"/>
        <w:jc w:val="left"/>
      </w:pPr>
      <w:r>
        <w:rPr>
          <w:rFonts w:ascii="Calibri" w:hAnsi="Calibri" w:eastAsia="Microsoft YaHei"/>
          <w:b/>
          <w:color w:val="2E74B5"/>
          <w:sz w:val="32"/>
        </w:rPr>
        <w:t>十、结语</w:t>
      </w:r>
    </w:p>
    <w:p>
      <w:pPr>
        <w:spacing w:after="120" w:line="264" w:lineRule="auto"/>
      </w:pPr>
      <w:r>
        <w:rPr>
          <w:rFonts w:ascii="Calibri" w:hAnsi="Calibri" w:eastAsia="Microsoft YaHei"/>
          <w:color w:val="232323"/>
          <w:sz w:val="22"/>
        </w:rPr>
        <w:t>Artsee 的角色体系不只是注册页上的几个选项，而是整个平台生态的结构基础。好的角色设计需要同时回答四个问题：用户是谁，用户此刻代表谁，用户被允许做什么，以及用户下一阶段可能成为什么。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232323"/>
          <w:sz w:val="22"/>
        </w:rPr>
        <w:t>因此，产品设计的核心挑战不是给用户贴标签，而是在满足不同角色期望的同时，管理角色之间的利益冲突，并为用户保留足够的能动空间，让身份可以被探索、认证、切换和演化。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5C5C"/>
        <w:sz w:val="18"/>
      </w:rPr>
      <w:t>内部产品分析草案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C5C5C"/>
        <w:sz w:val="18"/>
      </w:rPr>
      <w:t>Artsee 用户角色体系分析（修订版）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C5C5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